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174.xml" ContentType="application/vnd.openxmlformats-officedocument.wordprocessingml.foot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7.xml" ContentType="application/vnd.openxmlformats-officedocument.wordprocessingml.foot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180.xml" ContentType="application/vnd.openxmlformats-officedocument.wordprocessingml.foot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footer1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13D5" w14:textId="38A43C67" w:rsidR="00302FC1" w:rsidRPr="00AB26B3" w:rsidRDefault="00842005" w:rsidP="00842005">
      <w:pPr>
        <w:pStyle w:val="Pagedecouverture"/>
        <w:rPr>
          <w:noProof/>
          <w:lang w:val="sk-SK"/>
        </w:rPr>
      </w:pPr>
      <w:bookmarkStart w:id="0" w:name="LW_BM_COVERPAGE"/>
      <w:r>
        <w:rPr>
          <w:noProof/>
          <w:lang w:val="sk-SK"/>
        </w:rPr>
        <w:pict w14:anchorId="36F40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3F0E868-73B1-4DCB-9D25-1501D5A920DA" style="width:455.25pt;height:372.75pt">
            <v:imagedata r:id="rId11" o:title=""/>
          </v:shape>
        </w:pict>
      </w:r>
    </w:p>
    <w:bookmarkEnd w:id="0"/>
    <w:p w14:paraId="7E66D77A" w14:textId="77777777" w:rsidR="00302FC1" w:rsidRPr="00AB26B3" w:rsidRDefault="00302FC1">
      <w:pPr>
        <w:rPr>
          <w:rFonts w:ascii="Times New Roman" w:hAnsi="Times New Roman"/>
          <w:noProof/>
          <w:spacing w:val="-6"/>
          <w:lang w:val="sk-SK"/>
        </w:rPr>
        <w:sectPr w:rsidR="00302FC1" w:rsidRPr="00AB26B3" w:rsidSect="0084200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A389CCB" w14:textId="77777777" w:rsidR="00302FC1" w:rsidRPr="00AB26B3" w:rsidRDefault="00D64F26">
      <w:pPr>
        <w:pStyle w:val="P68B1DB1-Normal1"/>
        <w:spacing w:before="120" w:after="120" w:line="240" w:lineRule="auto"/>
        <w:jc w:val="center"/>
        <w:rPr>
          <w:bCs/>
          <w:noProof/>
          <w:spacing w:val="-6"/>
          <w:lang w:val="sk-SK"/>
        </w:rPr>
      </w:pPr>
      <w:bookmarkStart w:id="1" w:name="_GoBack"/>
      <w:bookmarkEnd w:id="1"/>
      <w:r w:rsidRPr="00AB26B3">
        <w:rPr>
          <w:noProof/>
          <w:spacing w:val="-6"/>
          <w:lang w:val="sk-SK"/>
        </w:rPr>
        <w:lastRenderedPageBreak/>
        <w:t>PRÍLOHA</w:t>
      </w:r>
    </w:p>
    <w:p w14:paraId="18E3FBA1" w14:textId="77777777" w:rsidR="00302FC1" w:rsidRPr="00AB26B3" w:rsidRDefault="00302FC1">
      <w:pPr>
        <w:spacing w:before="120" w:after="120" w:line="240" w:lineRule="auto"/>
        <w:jc w:val="center"/>
        <w:rPr>
          <w:rFonts w:ascii="Times New Roman" w:hAnsi="Times New Roman" w:cs="Times New Roman"/>
          <w:b/>
          <w:bCs/>
          <w:noProof/>
          <w:spacing w:val="-6"/>
          <w:lang w:val="sk-SK"/>
        </w:rPr>
      </w:pPr>
    </w:p>
    <w:p w14:paraId="7D3907D5" w14:textId="59E0A34E" w:rsidR="00302FC1" w:rsidRPr="00AB26B3" w:rsidRDefault="00D64F26">
      <w:pPr>
        <w:pStyle w:val="P68B1DB1-Normal2"/>
        <w:keepNext/>
        <w:tabs>
          <w:tab w:val="num" w:pos="850"/>
        </w:tabs>
        <w:spacing w:before="360" w:after="0" w:line="259" w:lineRule="auto"/>
        <w:jc w:val="both"/>
        <w:outlineLvl w:val="0"/>
        <w:rPr>
          <w:noProof/>
          <w:spacing w:val="-6"/>
          <w:lang w:val="sk-SK"/>
        </w:rPr>
      </w:pPr>
      <w:r w:rsidRPr="00AB26B3">
        <w:rPr>
          <w:noProof/>
          <w:spacing w:val="-6"/>
          <w:lang w:val="sk-SK"/>
        </w:rPr>
        <w:t>ODDIEL 1: REFORMY A INVESTÍCIE</w:t>
      </w:r>
      <w:r w:rsidR="00AB26B3" w:rsidRPr="00AB26B3">
        <w:rPr>
          <w:noProof/>
          <w:spacing w:val="-6"/>
          <w:lang w:val="sk-SK"/>
        </w:rPr>
        <w:t xml:space="preserve"> V </w:t>
      </w:r>
      <w:r w:rsidRPr="00AB26B3">
        <w:rPr>
          <w:noProof/>
          <w:spacing w:val="-6"/>
          <w:lang w:val="sk-SK"/>
        </w:rPr>
        <w:t>RÁMCI PLÁNU OBNOVY A ODOLNOSTI</w:t>
      </w:r>
    </w:p>
    <w:p w14:paraId="0FEE6700" w14:textId="77777777" w:rsidR="00302FC1" w:rsidRPr="00AB26B3" w:rsidRDefault="00302FC1">
      <w:pPr>
        <w:spacing w:before="120" w:after="120" w:line="240" w:lineRule="auto"/>
        <w:jc w:val="both"/>
        <w:rPr>
          <w:rFonts w:ascii="Times New Roman" w:hAnsi="Times New Roman" w:cs="Times New Roman"/>
          <w:noProof/>
          <w:spacing w:val="-6"/>
          <w:sz w:val="24"/>
          <w:lang w:val="sk-SK"/>
        </w:rPr>
      </w:pPr>
    </w:p>
    <w:p w14:paraId="60B97DC7" w14:textId="77777777" w:rsidR="00AB26B3" w:rsidRPr="00AB26B3" w:rsidRDefault="00D64F26">
      <w:pPr>
        <w:pStyle w:val="P68B1DB1-ListParagraph3"/>
        <w:keepNext/>
        <w:numPr>
          <w:ilvl w:val="0"/>
          <w:numId w:val="94"/>
        </w:numPr>
        <w:spacing w:before="240" w:after="240" w:line="259" w:lineRule="auto"/>
        <w:ind w:left="714" w:hanging="357"/>
        <w:contextualSpacing w:val="0"/>
        <w:jc w:val="both"/>
        <w:outlineLvl w:val="1"/>
        <w:rPr>
          <w:noProof/>
          <w:spacing w:val="-6"/>
          <w:lang w:val="sk-SK"/>
        </w:rPr>
      </w:pPr>
      <w:r w:rsidRPr="00AB26B3">
        <w:rPr>
          <w:noProof/>
          <w:spacing w:val="-6"/>
          <w:lang w:val="sk-SK"/>
        </w:rPr>
        <w:t>Opis reforiem</w:t>
      </w:r>
      <w:r w:rsidR="00AB26B3" w:rsidRPr="00AB26B3">
        <w:rPr>
          <w:noProof/>
          <w:spacing w:val="-6"/>
          <w:lang w:val="sk-SK"/>
        </w:rPr>
        <w:t xml:space="preserve"> a </w:t>
      </w:r>
      <w:r w:rsidRPr="00AB26B3">
        <w:rPr>
          <w:noProof/>
          <w:spacing w:val="-6"/>
          <w:lang w:val="sk-SK"/>
        </w:rPr>
        <w:t>investícií</w:t>
      </w:r>
    </w:p>
    <w:p w14:paraId="50B2E9A4" w14:textId="7B82B728" w:rsidR="00302FC1" w:rsidRPr="00AB26B3" w:rsidRDefault="00D64F26">
      <w:pPr>
        <w:pStyle w:val="P68B1DB1-ListParagraph4"/>
        <w:numPr>
          <w:ilvl w:val="0"/>
          <w:numId w:val="2"/>
        </w:numPr>
        <w:spacing w:before="240" w:after="120" w:line="240" w:lineRule="auto"/>
        <w:ind w:left="363" w:hanging="357"/>
        <w:jc w:val="both"/>
        <w:outlineLvl w:val="3"/>
        <w:rPr>
          <w:rFonts w:cs="Times New Roman"/>
          <w:bCs/>
          <w:noProof/>
          <w:spacing w:val="-6"/>
          <w:lang w:val="sk-SK"/>
        </w:rPr>
      </w:pPr>
      <w:r w:rsidRPr="00AB26B3">
        <w:rPr>
          <w:noProof/>
          <w:spacing w:val="-6"/>
          <w:lang w:val="sk-SK"/>
        </w:rPr>
        <w:t>ZLOŽKA 1.1: NAPÁJANIE</w:t>
      </w:r>
    </w:p>
    <w:p w14:paraId="50B2E9A5" w14:textId="44A91CF7" w:rsidR="00302FC1" w:rsidRPr="00AB26B3" w:rsidRDefault="00D64F26">
      <w:pPr>
        <w:pStyle w:val="P68B1DB1-Normal5"/>
        <w:jc w:val="both"/>
        <w:rPr>
          <w:rFonts w:cs="Times New Roman"/>
          <w:b/>
          <w:bCs/>
          <w:noProof/>
          <w:spacing w:val="-6"/>
          <w:lang w:val="sk-SK"/>
        </w:rPr>
      </w:pPr>
      <w:r w:rsidRPr="00AB26B3">
        <w:rPr>
          <w:noProof/>
          <w:spacing w:val="-6"/>
          <w:lang w:val="sk-SK"/>
        </w:rPr>
        <w:t>Tento komponent gréckeho plánu obnovy</w:t>
      </w:r>
      <w:r w:rsidR="00AB26B3" w:rsidRPr="00AB26B3">
        <w:rPr>
          <w:noProof/>
          <w:spacing w:val="-6"/>
          <w:lang w:val="sk-SK"/>
        </w:rPr>
        <w:t xml:space="preserve"> a </w:t>
      </w:r>
      <w:r w:rsidRPr="00AB26B3">
        <w:rPr>
          <w:noProof/>
          <w:spacing w:val="-6"/>
          <w:lang w:val="sk-SK"/>
        </w:rPr>
        <w:t>odolnosti sa zameriava na reformy</w:t>
      </w:r>
      <w:r w:rsidR="00AB26B3" w:rsidRPr="00AB26B3">
        <w:rPr>
          <w:noProof/>
          <w:spacing w:val="-6"/>
          <w:lang w:val="sk-SK"/>
        </w:rPr>
        <w:t xml:space="preserve"> a </w:t>
      </w:r>
      <w:r w:rsidRPr="00AB26B3">
        <w:rPr>
          <w:noProof/>
          <w:spacing w:val="-6"/>
          <w:lang w:val="sk-SK"/>
        </w:rPr>
        <w:t>investície</w:t>
      </w:r>
      <w:r w:rsidR="00AB26B3" w:rsidRPr="00AB26B3">
        <w:rPr>
          <w:noProof/>
          <w:spacing w:val="-6"/>
          <w:lang w:val="sk-SK"/>
        </w:rPr>
        <w:t xml:space="preserve"> s </w:t>
      </w:r>
      <w:r w:rsidRPr="00AB26B3">
        <w:rPr>
          <w:noProof/>
          <w:spacing w:val="-6"/>
          <w:lang w:val="sk-SK"/>
        </w:rPr>
        <w:t>cieľom zvýšiť váhu obnoviteľných zdrojov energie</w:t>
      </w:r>
      <w:r w:rsidR="00AB26B3" w:rsidRPr="00AB26B3">
        <w:rPr>
          <w:noProof/>
          <w:spacing w:val="-6"/>
          <w:lang w:val="sk-SK"/>
        </w:rPr>
        <w:t xml:space="preserve"> v </w:t>
      </w:r>
      <w:r w:rsidRPr="00AB26B3">
        <w:rPr>
          <w:noProof/>
          <w:spacing w:val="-6"/>
          <w:lang w:val="sk-SK"/>
        </w:rPr>
        <w:t>elektrizačnej sústave</w:t>
      </w:r>
      <w:r w:rsidR="00AB26B3" w:rsidRPr="00AB26B3">
        <w:rPr>
          <w:noProof/>
          <w:spacing w:val="-6"/>
          <w:lang w:val="sk-SK"/>
        </w:rPr>
        <w:t xml:space="preserve"> a </w:t>
      </w:r>
      <w:r w:rsidRPr="00AB26B3">
        <w:rPr>
          <w:noProof/>
          <w:spacing w:val="-6"/>
          <w:lang w:val="sk-SK"/>
        </w:rPr>
        <w:t>uľahčiť proces dekarbonizácie Grécka. Reformami sa zjednodušia pravidlá udeľovania licencií na investície do energie</w:t>
      </w:r>
      <w:r w:rsidR="00AB26B3" w:rsidRPr="00AB26B3">
        <w:rPr>
          <w:noProof/>
          <w:spacing w:val="-6"/>
          <w:lang w:val="sk-SK"/>
        </w:rPr>
        <w:t xml:space="preserve"> z </w:t>
      </w:r>
      <w:r w:rsidRPr="00AB26B3">
        <w:rPr>
          <w:noProof/>
          <w:spacing w:val="-6"/>
          <w:lang w:val="sk-SK"/>
        </w:rPr>
        <w:t>obnoviteľných zdrojov, zefektívni sa trh</w:t>
      </w:r>
      <w:r w:rsidR="00AB26B3" w:rsidRPr="00AB26B3">
        <w:rPr>
          <w:noProof/>
          <w:spacing w:val="-6"/>
          <w:lang w:val="sk-SK"/>
        </w:rPr>
        <w:t xml:space="preserve"> s </w:t>
      </w:r>
      <w:r w:rsidRPr="00AB26B3">
        <w:rPr>
          <w:noProof/>
          <w:spacing w:val="-6"/>
          <w:lang w:val="sk-SK"/>
        </w:rPr>
        <w:t>elektrinou</w:t>
      </w:r>
      <w:r w:rsidR="00AB26B3" w:rsidRPr="00AB26B3">
        <w:rPr>
          <w:noProof/>
          <w:spacing w:val="-6"/>
          <w:lang w:val="sk-SK"/>
        </w:rPr>
        <w:t xml:space="preserve"> a </w:t>
      </w:r>
      <w:r w:rsidRPr="00AB26B3">
        <w:rPr>
          <w:noProof/>
          <w:spacing w:val="-6"/>
          <w:lang w:val="sk-SK"/>
        </w:rPr>
        <w:t>zabezpečí sa finančná udržateľnosť systémov podpory. Komponent zahŕňa aj kľúčové investície do sietí</w:t>
      </w:r>
      <w:r w:rsidR="00AB26B3" w:rsidRPr="00AB26B3">
        <w:rPr>
          <w:noProof/>
          <w:spacing w:val="-6"/>
          <w:lang w:val="sk-SK"/>
        </w:rPr>
        <w:t xml:space="preserve"> s </w:t>
      </w:r>
      <w:r w:rsidRPr="00AB26B3">
        <w:rPr>
          <w:noProof/>
          <w:spacing w:val="-6"/>
          <w:lang w:val="sk-SK"/>
        </w:rPr>
        <w:t>cieľom dokončiť prepojenie</w:t>
      </w:r>
      <w:r w:rsidR="00AB26B3" w:rsidRPr="00AB26B3">
        <w:rPr>
          <w:noProof/>
          <w:spacing w:val="-6"/>
          <w:lang w:val="sk-SK"/>
        </w:rPr>
        <w:t xml:space="preserve"> s </w:t>
      </w:r>
      <w:r w:rsidRPr="00AB26B3">
        <w:rPr>
          <w:noProof/>
          <w:spacing w:val="-6"/>
          <w:lang w:val="sk-SK"/>
        </w:rPr>
        <w:t>ostrovmi Kyklady</w:t>
      </w:r>
      <w:r w:rsidR="00AB26B3" w:rsidRPr="00AB26B3">
        <w:rPr>
          <w:noProof/>
          <w:spacing w:val="-6"/>
          <w:lang w:val="sk-SK"/>
        </w:rPr>
        <w:t xml:space="preserve"> a </w:t>
      </w:r>
      <w:r w:rsidRPr="00AB26B3">
        <w:rPr>
          <w:noProof/>
          <w:spacing w:val="-6"/>
          <w:lang w:val="sk-SK"/>
        </w:rPr>
        <w:t>zabezpečiť, aby bola distribúcia elektrickej energie šetrnejšia</w:t>
      </w:r>
      <w:r w:rsidR="00AB26B3" w:rsidRPr="00AB26B3">
        <w:rPr>
          <w:noProof/>
          <w:spacing w:val="-6"/>
          <w:lang w:val="sk-SK"/>
        </w:rPr>
        <w:t xml:space="preserve"> k </w:t>
      </w:r>
      <w:r w:rsidRPr="00AB26B3">
        <w:rPr>
          <w:noProof/>
          <w:spacing w:val="-6"/>
          <w:lang w:val="sk-SK"/>
        </w:rPr>
        <w:t>životnému prostrediu</w:t>
      </w:r>
      <w:r w:rsidR="00AB26B3" w:rsidRPr="00AB26B3">
        <w:rPr>
          <w:noProof/>
          <w:spacing w:val="-6"/>
          <w:lang w:val="sk-SK"/>
        </w:rPr>
        <w:t xml:space="preserve"> a </w:t>
      </w:r>
      <w:r w:rsidRPr="00AB26B3">
        <w:rPr>
          <w:noProof/>
          <w:spacing w:val="-6"/>
          <w:lang w:val="sk-SK"/>
        </w:rPr>
        <w:t>schopná absorbovať väčší podiel energie</w:t>
      </w:r>
      <w:r w:rsidR="00AB26B3" w:rsidRPr="00AB26B3">
        <w:rPr>
          <w:noProof/>
          <w:spacing w:val="-6"/>
          <w:lang w:val="sk-SK"/>
        </w:rPr>
        <w:t xml:space="preserve"> z </w:t>
      </w:r>
      <w:r w:rsidRPr="00AB26B3">
        <w:rPr>
          <w:noProof/>
          <w:spacing w:val="-6"/>
          <w:lang w:val="sk-SK"/>
        </w:rPr>
        <w:t>obnoviteľných zdrojov. Systémy skladovania podporujú aj dekarbonizáciu hospodárstva prostredníctvom akumulácie prebytku elektriny</w:t>
      </w:r>
      <w:r w:rsidR="00AB26B3" w:rsidRPr="00AB26B3">
        <w:rPr>
          <w:noProof/>
          <w:spacing w:val="-6"/>
          <w:lang w:val="sk-SK"/>
        </w:rPr>
        <w:t xml:space="preserve"> z </w:t>
      </w:r>
      <w:r w:rsidRPr="00AB26B3">
        <w:rPr>
          <w:noProof/>
          <w:spacing w:val="-6"/>
          <w:lang w:val="sk-SK"/>
        </w:rPr>
        <w:t>obnoviteľných zdrojov. Obnova pôdy sa podporuje aj</w:t>
      </w:r>
      <w:r w:rsidR="00AB26B3" w:rsidRPr="00AB26B3">
        <w:rPr>
          <w:noProof/>
          <w:spacing w:val="-6"/>
          <w:lang w:val="sk-SK"/>
        </w:rPr>
        <w:t xml:space="preserve"> v </w:t>
      </w:r>
      <w:r w:rsidRPr="00AB26B3">
        <w:rPr>
          <w:noProof/>
          <w:spacing w:val="-6"/>
          <w:lang w:val="sk-SK"/>
        </w:rPr>
        <w:t>oblastiach, ktoré sa</w:t>
      </w:r>
      <w:r w:rsidR="00AB26B3" w:rsidRPr="00AB26B3">
        <w:rPr>
          <w:noProof/>
          <w:spacing w:val="-6"/>
          <w:lang w:val="sk-SK"/>
        </w:rPr>
        <w:t xml:space="preserve"> v </w:t>
      </w:r>
      <w:r w:rsidRPr="00AB26B3">
        <w:rPr>
          <w:noProof/>
          <w:spacing w:val="-6"/>
          <w:lang w:val="sk-SK"/>
        </w:rPr>
        <w:t>súčasnosti využívajú ako hnedouhoľné bane, ako krok procesu spravodlivej transformácie na územiach najviac postihnutých postupným zatváraním hnedouhoľných elektrární. Komponent je</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národným energetickým</w:t>
      </w:r>
      <w:r w:rsidR="00AB26B3" w:rsidRPr="00AB26B3">
        <w:rPr>
          <w:noProof/>
          <w:spacing w:val="-6"/>
          <w:lang w:val="sk-SK"/>
        </w:rPr>
        <w:t xml:space="preserve"> a </w:t>
      </w:r>
      <w:r w:rsidRPr="00AB26B3">
        <w:rPr>
          <w:noProof/>
          <w:spacing w:val="-6"/>
          <w:lang w:val="sk-SK"/>
        </w:rPr>
        <w:t>klimatickým plánom (NEKP)</w:t>
      </w:r>
      <w:r w:rsidR="00AB26B3" w:rsidRPr="00AB26B3">
        <w:rPr>
          <w:noProof/>
          <w:spacing w:val="-6"/>
          <w:lang w:val="sk-SK"/>
        </w:rPr>
        <w:t xml:space="preserve"> a </w:t>
      </w:r>
      <w:r w:rsidRPr="00AB26B3">
        <w:rPr>
          <w:noProof/>
          <w:spacing w:val="-6"/>
          <w:lang w:val="sk-SK"/>
        </w:rPr>
        <w:t>podporuje riešenie odporúčaní pre jednotlivé krajiny týkajúcich sa verejných</w:t>
      </w:r>
      <w:r w:rsidR="00AB26B3" w:rsidRPr="00AB26B3">
        <w:rPr>
          <w:noProof/>
          <w:spacing w:val="-6"/>
          <w:lang w:val="sk-SK"/>
        </w:rPr>
        <w:t xml:space="preserve"> a </w:t>
      </w:r>
      <w:r w:rsidRPr="00AB26B3">
        <w:rPr>
          <w:noProof/>
          <w:spacing w:val="-6"/>
          <w:lang w:val="sk-SK"/>
        </w:rPr>
        <w:t xml:space="preserve">súkromných investícií (odporúčanie pre jednotlivé krajiny </w:t>
      </w:r>
      <w:r w:rsidR="00AB26B3" w:rsidRPr="00AB26B3">
        <w:rPr>
          <w:noProof/>
          <w:spacing w:val="-6"/>
          <w:lang w:val="sk-SK"/>
        </w:rPr>
        <w:t>č. </w:t>
      </w:r>
      <w:r w:rsidRPr="00AB26B3">
        <w:rPr>
          <w:noProof/>
          <w:spacing w:val="-6"/>
          <w:lang w:val="sk-SK"/>
        </w:rPr>
        <w:t>3</w:t>
      </w:r>
      <w:r w:rsidR="00AB26B3" w:rsidRPr="00AB26B3">
        <w:rPr>
          <w:noProof/>
          <w:spacing w:val="-6"/>
          <w:lang w:val="sk-SK"/>
        </w:rPr>
        <w:t xml:space="preserve"> z </w:t>
      </w:r>
      <w:r w:rsidRPr="00AB26B3">
        <w:rPr>
          <w:noProof/>
          <w:spacing w:val="-6"/>
          <w:lang w:val="sk-SK"/>
        </w:rPr>
        <w:t>roku 2020</w:t>
      </w:r>
      <w:r w:rsidR="00AB26B3" w:rsidRPr="00AB26B3">
        <w:rPr>
          <w:noProof/>
          <w:spacing w:val="-6"/>
          <w:lang w:val="sk-SK"/>
        </w:rPr>
        <w:t xml:space="preserve"> a </w:t>
      </w:r>
      <w:r w:rsidRPr="00AB26B3">
        <w:rPr>
          <w:noProof/>
          <w:spacing w:val="-6"/>
          <w:lang w:val="sk-SK"/>
        </w:rPr>
        <w:t xml:space="preserve">odporúčanie pre jednotlivé krajiny </w:t>
      </w:r>
      <w:r w:rsidR="00AB26B3" w:rsidRPr="00AB26B3">
        <w:rPr>
          <w:noProof/>
          <w:spacing w:val="-6"/>
          <w:lang w:val="sk-SK"/>
        </w:rPr>
        <w:t>č. </w:t>
      </w:r>
      <w:r w:rsidRPr="00AB26B3">
        <w:rPr>
          <w:noProof/>
          <w:spacing w:val="-6"/>
          <w:lang w:val="sk-SK"/>
        </w:rPr>
        <w:t>2</w:t>
      </w:r>
      <w:r w:rsidR="00AB26B3" w:rsidRPr="00AB26B3">
        <w:rPr>
          <w:noProof/>
          <w:spacing w:val="-6"/>
          <w:lang w:val="sk-SK"/>
        </w:rPr>
        <w:t xml:space="preserve"> z </w:t>
      </w:r>
      <w:r w:rsidRPr="00AB26B3">
        <w:rPr>
          <w:noProof/>
          <w:spacing w:val="-6"/>
          <w:lang w:val="sk-SK"/>
        </w:rPr>
        <w:t>roku 2019).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50B2E9A6" w14:textId="387FDF70" w:rsidR="00302FC1" w:rsidRPr="00AB26B3" w:rsidRDefault="00D64F26">
      <w:pPr>
        <w:pStyle w:val="P68B1DB1-Normal6"/>
        <w:spacing w:before="120" w:after="120" w:line="240" w:lineRule="auto"/>
        <w:jc w:val="both"/>
        <w:rPr>
          <w:rFonts w:cs="Times New Roman"/>
          <w:noProof/>
          <w:spacing w:val="-6"/>
          <w:lang w:val="sk-SK"/>
        </w:rPr>
      </w:pPr>
      <w:r w:rsidRPr="00AB26B3">
        <w:rPr>
          <w:noProof/>
          <w:spacing w:val="-6"/>
          <w:lang w:val="sk-SK"/>
        </w:rPr>
        <w:t>A.1.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50B2E9A7" w14:textId="5EC2C570"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 xml:space="preserve">Investície: </w:t>
      </w:r>
      <w:r w:rsidRPr="00AB26B3">
        <w:rPr>
          <w:noProof/>
          <w:spacing w:val="-6"/>
          <w:lang w:val="sk-SK"/>
        </w:rPr>
        <w:t>Podpora inštalácie skladovacích systémov na zvýšenie prieniku energie</w:t>
      </w:r>
      <w:r w:rsidR="00AB26B3" w:rsidRPr="00AB26B3">
        <w:rPr>
          <w:noProof/>
          <w:spacing w:val="-6"/>
          <w:lang w:val="sk-SK"/>
        </w:rPr>
        <w:t xml:space="preserve"> z </w:t>
      </w:r>
      <w:r w:rsidRPr="00AB26B3">
        <w:rPr>
          <w:noProof/>
          <w:spacing w:val="-6"/>
          <w:lang w:val="sk-SK"/>
        </w:rPr>
        <w:t>obnoviteľných zdrojov (opatrenie ID: 16926)</w:t>
      </w:r>
    </w:p>
    <w:p w14:paraId="50B2E9A8" w14:textId="22FA1E3F"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zmierniť preťaženie siete</w:t>
      </w:r>
      <w:r w:rsidR="00AB26B3" w:rsidRPr="00AB26B3">
        <w:rPr>
          <w:noProof/>
          <w:spacing w:val="-6"/>
          <w:lang w:val="sk-SK"/>
        </w:rPr>
        <w:t xml:space="preserve"> a </w:t>
      </w:r>
      <w:r w:rsidRPr="00AB26B3">
        <w:rPr>
          <w:noProof/>
          <w:spacing w:val="-6"/>
          <w:lang w:val="sk-SK"/>
        </w:rPr>
        <w:t>zvýšiť flexibilitu elektrizačnej sústavy. Opatrenie pozostáva</w:t>
      </w:r>
      <w:r w:rsidR="00AB26B3" w:rsidRPr="00AB26B3">
        <w:rPr>
          <w:noProof/>
          <w:spacing w:val="-6"/>
          <w:lang w:val="sk-SK"/>
        </w:rPr>
        <w:t xml:space="preserve"> z </w:t>
      </w:r>
      <w:r w:rsidRPr="00AB26B3">
        <w:rPr>
          <w:noProof/>
          <w:spacing w:val="-6"/>
          <w:lang w:val="sk-SK"/>
        </w:rPr>
        <w:t>inštalácie batériových systémov uskladňovania energie</w:t>
      </w:r>
      <w:r w:rsidR="00AB26B3" w:rsidRPr="00AB26B3">
        <w:rPr>
          <w:noProof/>
          <w:spacing w:val="-6"/>
          <w:lang w:val="sk-SK"/>
        </w:rPr>
        <w:t xml:space="preserve"> a </w:t>
      </w:r>
      <w:r w:rsidRPr="00AB26B3">
        <w:rPr>
          <w:noProof/>
          <w:spacing w:val="-6"/>
          <w:lang w:val="sk-SK"/>
        </w:rPr>
        <w:t>výstavby prečerpávacích vodných zásobníkov.</w:t>
      </w:r>
    </w:p>
    <w:p w14:paraId="50B2E9A9" w14:textId="7CC46E00"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 xml:space="preserve">Investície: </w:t>
      </w:r>
      <w:r w:rsidRPr="00AB26B3">
        <w:rPr>
          <w:noProof/>
          <w:spacing w:val="-6"/>
          <w:lang w:val="sk-SK"/>
        </w:rPr>
        <w:t>Revitalizačné opatrenia na územiach zapojených do spravodlivej transformácie (identifikačné číslo opatrenia: 16871)</w:t>
      </w:r>
    </w:p>
    <w:p w14:paraId="6634DA67" w14:textId="3C336163"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revitalizácia území zapojených do spravodlivej transformácie. Opatrenie pozostáva</w:t>
      </w:r>
      <w:r w:rsidR="00AB26B3" w:rsidRPr="00AB26B3">
        <w:rPr>
          <w:noProof/>
          <w:spacing w:val="-6"/>
          <w:lang w:val="sk-SK"/>
        </w:rPr>
        <w:t xml:space="preserve"> z </w:t>
      </w:r>
      <w:r w:rsidRPr="00AB26B3">
        <w:rPr>
          <w:noProof/>
          <w:spacing w:val="-6"/>
          <w:lang w:val="sk-SK"/>
        </w:rPr>
        <w:t>grantov na financovanie obnovy pôdy</w:t>
      </w:r>
      <w:r w:rsidR="00AB26B3" w:rsidRPr="00AB26B3">
        <w:rPr>
          <w:noProof/>
          <w:spacing w:val="-6"/>
          <w:lang w:val="sk-SK"/>
        </w:rPr>
        <w:t xml:space="preserve"> v </w:t>
      </w:r>
      <w:r w:rsidRPr="00AB26B3">
        <w:rPr>
          <w:noProof/>
          <w:spacing w:val="-6"/>
          <w:lang w:val="sk-SK"/>
        </w:rPr>
        <w:t>presunutých oblastiach bývalých hnedouhoľných baní</w:t>
      </w:r>
      <w:r w:rsidR="00AB26B3" w:rsidRPr="00AB26B3">
        <w:rPr>
          <w:noProof/>
          <w:spacing w:val="-6"/>
          <w:lang w:val="sk-SK"/>
        </w:rPr>
        <w:t xml:space="preserve"> v </w:t>
      </w:r>
      <w:r w:rsidRPr="00AB26B3">
        <w:rPr>
          <w:noProof/>
          <w:spacing w:val="-6"/>
          <w:lang w:val="sk-SK"/>
        </w:rPr>
        <w:t>západnom Macedónsku</w:t>
      </w:r>
      <w:r w:rsidR="00AB26B3" w:rsidRPr="00AB26B3">
        <w:rPr>
          <w:noProof/>
          <w:spacing w:val="-6"/>
          <w:lang w:val="sk-SK"/>
        </w:rPr>
        <w:t xml:space="preserve"> a </w:t>
      </w:r>
      <w:r w:rsidRPr="00AB26B3">
        <w:rPr>
          <w:noProof/>
          <w:spacing w:val="-6"/>
          <w:lang w:val="sk-SK"/>
        </w:rPr>
        <w:t>Megalopolise</w:t>
      </w:r>
      <w:r w:rsidR="00AB26B3" w:rsidRPr="00AB26B3">
        <w:rPr>
          <w:noProof/>
          <w:spacing w:val="-6"/>
          <w:lang w:val="sk-SK"/>
        </w:rPr>
        <w:t>.</w:t>
      </w:r>
    </w:p>
    <w:p w14:paraId="50B2E9AB" w14:textId="23BADA6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Intervencie na prepojenie elektrických sietí ostrovov</w:t>
      </w:r>
      <w:r w:rsidR="00AB26B3" w:rsidRPr="00AB26B3">
        <w:rPr>
          <w:noProof/>
          <w:spacing w:val="-6"/>
          <w:lang w:val="sk-SK"/>
        </w:rPr>
        <w:t xml:space="preserve"> a </w:t>
      </w:r>
      <w:r w:rsidRPr="00AB26B3">
        <w:rPr>
          <w:noProof/>
          <w:spacing w:val="-6"/>
          <w:lang w:val="sk-SK"/>
        </w:rPr>
        <w:t>investície do elektrickej siete (opatrenie ID: 16870)</w:t>
      </w:r>
    </w:p>
    <w:p w14:paraId="147E8F44" w14:textId="7F30BD89" w:rsidR="00AB26B3" w:rsidRPr="00AB26B3" w:rsidRDefault="00D64F26">
      <w:pPr>
        <w:pStyle w:val="P68B1DB1-Normal8"/>
        <w:spacing w:before="120" w:after="120" w:line="240" w:lineRule="auto"/>
        <w:jc w:val="both"/>
        <w:rPr>
          <w:rFonts w:ascii="Times New Roman" w:eastAsiaTheme="minorEastAsia" w:hAnsi="Times New Roman" w:cs="Times New Roman"/>
          <w:noProof/>
          <w:spacing w:val="-6"/>
          <w:lang w:val="sk-SK"/>
        </w:rPr>
      </w:pPr>
      <w:r w:rsidRPr="00AB26B3">
        <w:rPr>
          <w:rFonts w:ascii="Times New Roman" w:hAnsi="Times New Roman"/>
          <w:noProof/>
          <w:spacing w:val="-6"/>
          <w:lang w:val="sk-SK"/>
        </w:rPr>
        <w:t>Cieľom opatrenia je investovať do bezpečnosti energetického systému prostredníctvom prepojenia ostrovov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realizácie investícií do elektrizačnej sústavy. Investícia pozostáva</w:t>
      </w:r>
      <w:r w:rsidR="00AB26B3" w:rsidRPr="00AB26B3">
        <w:rPr>
          <w:rFonts w:ascii="Times New Roman" w:hAnsi="Times New Roman"/>
          <w:noProof/>
          <w:spacing w:val="-6"/>
          <w:lang w:val="sk-SK"/>
        </w:rPr>
        <w:t xml:space="preserve"> z </w:t>
      </w:r>
      <w:r w:rsidRPr="00AB26B3">
        <w:rPr>
          <w:rFonts w:ascii="Times New Roman" w:hAnsi="Times New Roman"/>
          <w:noProof/>
          <w:spacing w:val="-6"/>
          <w:lang w:val="sk-SK"/>
        </w:rPr>
        <w:t>výstavby elektrického prepojenia Kyklady (fáza D), modernizácie centra veľmi vysokého napätia (EHVC) Koumoundouros</w:t>
      </w:r>
      <w:r w:rsidR="00AB26B3" w:rsidRPr="00AB26B3">
        <w:rPr>
          <w:rFonts w:ascii="Times New Roman" w:hAnsi="Times New Roman"/>
          <w:noProof/>
          <w:spacing w:val="-6"/>
          <w:lang w:val="sk-SK"/>
        </w:rPr>
        <w:t xml:space="preserve"> a </w:t>
      </w:r>
      <w:r w:rsidRPr="00AB26B3">
        <w:rPr>
          <w:rFonts w:ascii="Times New Roman" w:hAnsi="Times New Roman" w:cs="Times New Roman"/>
          <w:noProof/>
          <w:color w:val="000000" w:themeColor="text1"/>
          <w:spacing w:val="-6"/>
          <w:lang w:val="sk-SK"/>
        </w:rPr>
        <w:t xml:space="preserve">výstavby nadzemného vedenia spájajúceho </w:t>
      </w:r>
      <w:r w:rsidRPr="00AB26B3">
        <w:rPr>
          <w:rFonts w:ascii="Times New Roman" w:hAnsi="Times New Roman"/>
          <w:noProof/>
          <w:spacing w:val="-6"/>
          <w:lang w:val="sk-SK"/>
        </w:rPr>
        <w:t>centrum</w:t>
      </w:r>
      <w:r w:rsidRPr="00AB26B3">
        <w:rPr>
          <w:rFonts w:ascii="Times New Roman" w:eastAsiaTheme="minorEastAsia" w:hAnsi="Times New Roman" w:cs="Times New Roman"/>
          <w:noProof/>
          <w:spacing w:val="-6"/>
          <w:lang w:val="sk-SK"/>
        </w:rPr>
        <w:t>veľmi vysokého napätia (EHVC) Korint</w:t>
      </w:r>
      <w:r w:rsidR="00AB26B3" w:rsidRPr="00AB26B3">
        <w:rPr>
          <w:rFonts w:ascii="Times New Roman" w:eastAsiaTheme="minorEastAsia" w:hAnsi="Times New Roman" w:cs="Times New Roman"/>
          <w:noProof/>
          <w:spacing w:val="-6"/>
          <w:lang w:val="sk-SK"/>
        </w:rPr>
        <w:t xml:space="preserve"> a </w:t>
      </w:r>
      <w:r w:rsidRPr="00AB26B3">
        <w:rPr>
          <w:rFonts w:ascii="Times New Roman" w:eastAsiaTheme="minorEastAsia" w:hAnsi="Times New Roman" w:cs="Times New Roman"/>
          <w:noProof/>
          <w:spacing w:val="-6"/>
          <w:lang w:val="sk-SK"/>
        </w:rPr>
        <w:t>EHVC Koumoundouros</w:t>
      </w:r>
      <w:r w:rsidR="00AB26B3" w:rsidRPr="00AB26B3">
        <w:rPr>
          <w:rFonts w:ascii="Times New Roman" w:eastAsiaTheme="minorEastAsia" w:hAnsi="Times New Roman" w:cs="Times New Roman"/>
          <w:noProof/>
          <w:spacing w:val="-6"/>
          <w:lang w:val="sk-SK"/>
        </w:rPr>
        <w:t>.</w:t>
      </w:r>
    </w:p>
    <w:p w14:paraId="50B2E9AD" w14:textId="4BB917E5"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 xml:space="preserve">Investície: Modernizácia siete </w:t>
      </w:r>
      <w:r w:rsidRPr="00AB26B3">
        <w:rPr>
          <w:noProof/>
          <w:spacing w:val="-6"/>
          <w:lang w:val="sk-SK"/>
        </w:rPr>
        <w:t>gréckeho prevádzkovateľa distribučnej siete elektrickej energie (HEDNO) zameraná na zvýšenie odolnosti</w:t>
      </w:r>
      <w:r w:rsidR="00AB26B3" w:rsidRPr="00AB26B3">
        <w:rPr>
          <w:noProof/>
          <w:spacing w:val="-6"/>
          <w:lang w:val="sk-SK"/>
        </w:rPr>
        <w:t xml:space="preserve"> a </w:t>
      </w:r>
      <w:r w:rsidRPr="00AB26B3">
        <w:rPr>
          <w:noProof/>
          <w:spacing w:val="-6"/>
          <w:lang w:val="sk-SK"/>
        </w:rPr>
        <w:t>ochranu životného prostredia (opatrenie ID: 16901)</w:t>
      </w:r>
    </w:p>
    <w:p w14:paraId="17D60E77" w14:textId="1CB4F07D"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Investícia pozostáva</w:t>
      </w:r>
      <w:r w:rsidR="00AB26B3" w:rsidRPr="00AB26B3">
        <w:rPr>
          <w:noProof/>
          <w:spacing w:val="-6"/>
          <w:lang w:val="sk-SK"/>
        </w:rPr>
        <w:t xml:space="preserve"> z </w:t>
      </w:r>
      <w:r w:rsidRPr="00AB26B3">
        <w:rPr>
          <w:noProof/>
          <w:spacing w:val="-6"/>
          <w:lang w:val="sk-SK"/>
        </w:rPr>
        <w:t>podzemnej</w:t>
      </w:r>
      <w:r w:rsidR="00AB26B3" w:rsidRPr="00AB26B3">
        <w:rPr>
          <w:noProof/>
          <w:spacing w:val="-6"/>
          <w:lang w:val="sk-SK"/>
        </w:rPr>
        <w:t xml:space="preserve"> a </w:t>
      </w:r>
      <w:r w:rsidRPr="00AB26B3">
        <w:rPr>
          <w:noProof/>
          <w:spacing w:val="-6"/>
          <w:lang w:val="sk-SK"/>
        </w:rPr>
        <w:t>presmerovanej elektrickej distribučnej siete</w:t>
      </w:r>
      <w:r w:rsidR="00AB26B3" w:rsidRPr="00AB26B3">
        <w:rPr>
          <w:noProof/>
          <w:spacing w:val="-6"/>
          <w:lang w:val="sk-SK"/>
        </w:rPr>
        <w:t xml:space="preserve"> v </w:t>
      </w:r>
      <w:r w:rsidRPr="00AB26B3">
        <w:rPr>
          <w:noProof/>
          <w:spacing w:val="-6"/>
          <w:lang w:val="sk-SK"/>
        </w:rPr>
        <w:t>sídlach osobitného významu</w:t>
      </w:r>
      <w:r w:rsidR="00AB26B3" w:rsidRPr="00AB26B3">
        <w:rPr>
          <w:noProof/>
          <w:spacing w:val="-6"/>
          <w:lang w:val="sk-SK"/>
        </w:rPr>
        <w:t xml:space="preserve"> z </w:t>
      </w:r>
      <w:r w:rsidRPr="00AB26B3">
        <w:rPr>
          <w:noProof/>
          <w:spacing w:val="-6"/>
          <w:lang w:val="sk-SK"/>
        </w:rPr>
        <w:t>hľadiska kultúry alebo cestovného ruchu, ako aj</w:t>
      </w:r>
      <w:r w:rsidR="00AB26B3" w:rsidRPr="00AB26B3">
        <w:rPr>
          <w:noProof/>
          <w:spacing w:val="-6"/>
          <w:lang w:val="sk-SK"/>
        </w:rPr>
        <w:t xml:space="preserve"> v </w:t>
      </w:r>
      <w:r w:rsidRPr="00AB26B3">
        <w:rPr>
          <w:noProof/>
          <w:spacing w:val="-6"/>
          <w:lang w:val="sk-SK"/>
        </w:rPr>
        <w:t>mestských oblastiach, pričom prioritou sú oblasti,</w:t>
      </w:r>
      <w:r w:rsidR="00AB26B3" w:rsidRPr="00AB26B3">
        <w:rPr>
          <w:noProof/>
          <w:spacing w:val="-6"/>
          <w:lang w:val="sk-SK"/>
        </w:rPr>
        <w:t xml:space="preserve"> v </w:t>
      </w:r>
      <w:r w:rsidRPr="00AB26B3">
        <w:rPr>
          <w:noProof/>
          <w:spacing w:val="-6"/>
          <w:lang w:val="sk-SK"/>
        </w:rPr>
        <w:t>ktorých je infraštruktúra zraniteľná voči extrémnemu počasiu. Jeho cieľom je zlepšiť odolnosť distribučnej siete</w:t>
      </w:r>
      <w:r w:rsidR="00AB26B3" w:rsidRPr="00AB26B3">
        <w:rPr>
          <w:noProof/>
          <w:spacing w:val="-6"/>
          <w:lang w:val="sk-SK"/>
        </w:rPr>
        <w:t xml:space="preserve"> a </w:t>
      </w:r>
      <w:r w:rsidRPr="00AB26B3">
        <w:rPr>
          <w:noProof/>
          <w:spacing w:val="-6"/>
          <w:lang w:val="sk-SK"/>
        </w:rPr>
        <w:t>prispieť</w:t>
      </w:r>
      <w:r w:rsidR="00AB26B3" w:rsidRPr="00AB26B3">
        <w:rPr>
          <w:noProof/>
          <w:spacing w:val="-6"/>
          <w:lang w:val="sk-SK"/>
        </w:rPr>
        <w:t xml:space="preserve"> k </w:t>
      </w:r>
      <w:r w:rsidRPr="00AB26B3">
        <w:rPr>
          <w:noProof/>
          <w:spacing w:val="-6"/>
          <w:lang w:val="sk-SK"/>
        </w:rPr>
        <w:t>ochrane životného prostredia. Realizácia investície sa ukončí do 31</w:t>
      </w:r>
      <w:r w:rsidR="00AB26B3" w:rsidRPr="00AB26B3">
        <w:rPr>
          <w:noProof/>
          <w:spacing w:val="-6"/>
          <w:lang w:val="sk-SK"/>
        </w:rPr>
        <w:t>. decembra</w:t>
      </w:r>
      <w:r w:rsidRPr="00AB26B3">
        <w:rPr>
          <w:noProof/>
          <w:spacing w:val="-6"/>
          <w:lang w:val="sk-SK"/>
        </w:rPr>
        <w:t xml:space="preserve"> 2025.</w:t>
      </w:r>
    </w:p>
    <w:p w14:paraId="50B2E9AF" w14:textId="2B1607FF"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Nadzemná sieť gréckeho prevádzkovateľa distribučnej siete elektrickej energie (HEDNO) (identifikačné číslo opatrenia: 16900)</w:t>
      </w:r>
    </w:p>
    <w:p w14:paraId="130510AB" w14:textId="20AF744B"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podporiť odolnosť</w:t>
      </w:r>
      <w:r w:rsidR="00AB26B3" w:rsidRPr="00AB26B3">
        <w:rPr>
          <w:noProof/>
          <w:spacing w:val="-6"/>
          <w:lang w:val="sk-SK"/>
        </w:rPr>
        <w:t xml:space="preserve"> a </w:t>
      </w:r>
      <w:r w:rsidRPr="00AB26B3">
        <w:rPr>
          <w:noProof/>
          <w:spacing w:val="-6"/>
          <w:lang w:val="sk-SK"/>
        </w:rPr>
        <w:t>spoľahlivosť elektrizačnej distribučnej sústavy. Opatrenie spočíva</w:t>
      </w:r>
      <w:r w:rsidR="00AB26B3" w:rsidRPr="00AB26B3">
        <w:rPr>
          <w:noProof/>
          <w:spacing w:val="-6"/>
          <w:lang w:val="sk-SK"/>
        </w:rPr>
        <w:t xml:space="preserve"> v </w:t>
      </w:r>
      <w:r w:rsidRPr="00AB26B3">
        <w:rPr>
          <w:noProof/>
          <w:spacing w:val="-6"/>
          <w:lang w:val="sk-SK"/>
        </w:rPr>
        <w:t>nahradení holých vodičov</w:t>
      </w:r>
      <w:r w:rsidR="00AB26B3" w:rsidRPr="00AB26B3">
        <w:rPr>
          <w:noProof/>
          <w:spacing w:val="-6"/>
          <w:lang w:val="sk-SK"/>
        </w:rPr>
        <w:t xml:space="preserve"> v </w:t>
      </w:r>
      <w:r w:rsidRPr="00AB26B3">
        <w:rPr>
          <w:noProof/>
          <w:spacing w:val="-6"/>
          <w:lang w:val="sk-SK"/>
        </w:rPr>
        <w:t>nadzemnej sieti, inštalácii izolačných krytov</w:t>
      </w:r>
      <w:r w:rsidR="00AB26B3" w:rsidRPr="00AB26B3">
        <w:rPr>
          <w:noProof/>
          <w:spacing w:val="-6"/>
          <w:lang w:val="sk-SK"/>
        </w:rPr>
        <w:t xml:space="preserve"> a </w:t>
      </w:r>
      <w:r w:rsidRPr="00AB26B3">
        <w:rPr>
          <w:noProof/>
          <w:spacing w:val="-6"/>
          <w:lang w:val="sk-SK"/>
        </w:rPr>
        <w:t>podzemnom vedení alebo presmerovaní elektrických vedení</w:t>
      </w:r>
      <w:r w:rsidR="00AB26B3" w:rsidRPr="00AB26B3">
        <w:rPr>
          <w:noProof/>
          <w:spacing w:val="-6"/>
          <w:lang w:val="sk-SK"/>
        </w:rPr>
        <w:t xml:space="preserve"> v </w:t>
      </w:r>
      <w:r w:rsidRPr="00AB26B3">
        <w:rPr>
          <w:noProof/>
          <w:spacing w:val="-6"/>
          <w:lang w:val="sk-SK"/>
        </w:rPr>
        <w:t>lesných oblastiach</w:t>
      </w:r>
      <w:r w:rsidR="00AB26B3" w:rsidRPr="00AB26B3">
        <w:rPr>
          <w:noProof/>
          <w:spacing w:val="-6"/>
          <w:lang w:val="sk-SK"/>
        </w:rPr>
        <w:t xml:space="preserve"> a </w:t>
      </w:r>
      <w:r w:rsidRPr="00AB26B3">
        <w:rPr>
          <w:noProof/>
          <w:spacing w:val="-6"/>
          <w:lang w:val="sk-SK"/>
        </w:rPr>
        <w:t>mestských zónach</w:t>
      </w:r>
      <w:r w:rsidR="00AB26B3" w:rsidRPr="00AB26B3">
        <w:rPr>
          <w:noProof/>
          <w:spacing w:val="-6"/>
          <w:lang w:val="sk-SK"/>
        </w:rPr>
        <w:t>.</w:t>
      </w:r>
    </w:p>
    <w:p w14:paraId="50B2E9B1" w14:textId="564AEA22"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Rozvodne vysokého/stredného napätia gréckeho prevádzkovateľa elektrickej distribučnej siete (HEDNO) (identifikačné číslo opatrenia: 16899)</w:t>
      </w:r>
    </w:p>
    <w:p w14:paraId="3EC1D9CB" w14:textId="77777777"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zmierniť preťaženie elektrizačnej distribučnej sústavy. Opatrenie pozostáva zo zvýšenia kapacity existujúcich rozvodní sústavy</w:t>
      </w:r>
      <w:r w:rsidR="00AB26B3" w:rsidRPr="00AB26B3">
        <w:rPr>
          <w:noProof/>
          <w:spacing w:val="-6"/>
          <w:lang w:val="sk-SK"/>
        </w:rPr>
        <w:t>.</w:t>
      </w:r>
    </w:p>
    <w:p w14:paraId="50B2E9B3" w14:textId="6F6FD22E"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Reštrukturalizácia</w:t>
      </w:r>
      <w:r w:rsidR="00AB26B3" w:rsidRPr="00AB26B3">
        <w:rPr>
          <w:noProof/>
          <w:spacing w:val="-6"/>
          <w:lang w:val="sk-SK"/>
        </w:rPr>
        <w:t xml:space="preserve"> a </w:t>
      </w:r>
      <w:r w:rsidRPr="00AB26B3">
        <w:rPr>
          <w:noProof/>
          <w:spacing w:val="-6"/>
          <w:lang w:val="sk-SK"/>
        </w:rPr>
        <w:t>posilnenie príjmov</w:t>
      </w:r>
      <w:r w:rsidR="00AB26B3" w:rsidRPr="00AB26B3">
        <w:rPr>
          <w:noProof/>
          <w:spacing w:val="-6"/>
          <w:lang w:val="sk-SK"/>
        </w:rPr>
        <w:t xml:space="preserve"> z </w:t>
      </w:r>
      <w:r w:rsidRPr="00AB26B3">
        <w:rPr>
          <w:noProof/>
          <w:spacing w:val="-6"/>
          <w:lang w:val="sk-SK"/>
        </w:rPr>
        <w:t>účtu kombinovanej výroby tepla</w:t>
      </w:r>
      <w:r w:rsidR="00AB26B3" w:rsidRPr="00AB26B3">
        <w:rPr>
          <w:noProof/>
          <w:spacing w:val="-6"/>
          <w:lang w:val="sk-SK"/>
        </w:rPr>
        <w:t xml:space="preserve"> a </w:t>
      </w:r>
      <w:r w:rsidRPr="00AB26B3">
        <w:rPr>
          <w:noProof/>
          <w:spacing w:val="-6"/>
          <w:lang w:val="sk-SK"/>
        </w:rPr>
        <w:t>elektrickej energie</w:t>
      </w:r>
      <w:r w:rsidR="00AB26B3" w:rsidRPr="00AB26B3">
        <w:rPr>
          <w:noProof/>
          <w:spacing w:val="-6"/>
          <w:lang w:val="sk-SK"/>
        </w:rPr>
        <w:t xml:space="preserve"> z </w:t>
      </w:r>
      <w:r w:rsidRPr="00AB26B3">
        <w:rPr>
          <w:noProof/>
          <w:spacing w:val="-6"/>
          <w:lang w:val="sk-SK"/>
        </w:rPr>
        <w:t>obnoviteľných zdrojov (RES – KVET) (identifikačné číslo opatrenia: 16865)</w:t>
      </w:r>
    </w:p>
    <w:p w14:paraId="4314A2CC" w14:textId="73CD3E11" w:rsidR="00AB26B3" w:rsidRPr="00AB26B3" w:rsidRDefault="00D64F26">
      <w:pPr>
        <w:pStyle w:val="P68B1DB1-Normal5"/>
        <w:spacing w:before="120" w:after="120" w:line="240" w:lineRule="auto"/>
        <w:jc w:val="both"/>
        <w:rPr>
          <w:noProof/>
          <w:spacing w:val="-6"/>
          <w:lang w:val="sk-SK"/>
        </w:rPr>
      </w:pPr>
      <w:r w:rsidRPr="00AB26B3">
        <w:rPr>
          <w:noProof/>
          <w:spacing w:val="-6"/>
          <w:lang w:val="sk-SK"/>
        </w:rPr>
        <w:t>Reforma pozostáva z: a) reštrukturalizácia existujúcej štruktúry odmeňovania výrobcov OZE prostredníctvom zriadenia nového účtu pre OZE-KVET (uvedeného do prevádzky po 1. januári 2021), ktorý nahradí súčasný účet doplnený</w:t>
      </w:r>
      <w:r w:rsidR="00AB26B3" w:rsidRPr="00AB26B3">
        <w:rPr>
          <w:noProof/>
          <w:spacing w:val="-6"/>
          <w:lang w:val="sk-SK"/>
        </w:rPr>
        <w:t xml:space="preserve"> o </w:t>
      </w:r>
      <w:r w:rsidRPr="00AB26B3">
        <w:rPr>
          <w:noProof/>
          <w:spacing w:val="-6"/>
          <w:lang w:val="sk-SK"/>
        </w:rPr>
        <w:t>nové mechanizmy, ktoré zaručia finančnú životaschopnosť existujúcich aj nových účtov OZE-KVET;</w:t>
      </w:r>
      <w:r w:rsidR="00AB26B3" w:rsidRPr="00AB26B3">
        <w:rPr>
          <w:noProof/>
          <w:spacing w:val="-6"/>
          <w:lang w:val="sk-SK"/>
        </w:rPr>
        <w:t xml:space="preserve"> a </w:t>
      </w:r>
      <w:r w:rsidRPr="00AB26B3">
        <w:rPr>
          <w:noProof/>
          <w:spacing w:val="-6"/>
          <w:lang w:val="sk-SK"/>
        </w:rPr>
        <w:t>b) zavedenie systému obchodovania so zárukami pôvodu, mimoriadnej „dane súvisiacej</w:t>
      </w:r>
      <w:r w:rsidR="00AB26B3" w:rsidRPr="00AB26B3">
        <w:rPr>
          <w:noProof/>
          <w:spacing w:val="-6"/>
          <w:lang w:val="sk-SK"/>
        </w:rPr>
        <w:t xml:space="preserve"> s </w:t>
      </w:r>
      <w:r w:rsidRPr="00AB26B3">
        <w:rPr>
          <w:noProof/>
          <w:spacing w:val="-6"/>
          <w:lang w:val="sk-SK"/>
        </w:rPr>
        <w:t>ochorením COVID-19“ pre výrobcov</w:t>
      </w:r>
      <w:r w:rsidR="00AB26B3" w:rsidRPr="00AB26B3">
        <w:rPr>
          <w:noProof/>
          <w:spacing w:val="-6"/>
          <w:lang w:val="sk-SK"/>
        </w:rPr>
        <w:t xml:space="preserve"> a </w:t>
      </w:r>
      <w:r w:rsidRPr="00AB26B3">
        <w:rPr>
          <w:noProof/>
          <w:spacing w:val="-6"/>
          <w:lang w:val="sk-SK"/>
        </w:rPr>
        <w:t>dodávateľov OZE</w:t>
      </w:r>
      <w:r w:rsidR="00AB26B3" w:rsidRPr="00AB26B3">
        <w:rPr>
          <w:noProof/>
          <w:spacing w:val="-6"/>
          <w:lang w:val="sk-SK"/>
        </w:rPr>
        <w:t xml:space="preserve"> a </w:t>
      </w:r>
      <w:r w:rsidRPr="00AB26B3">
        <w:rPr>
          <w:noProof/>
          <w:spacing w:val="-6"/>
          <w:lang w:val="sk-SK"/>
        </w:rPr>
        <w:t>stálej „uhlíkovej dane“</w:t>
      </w:r>
      <w:r w:rsidR="00AB26B3" w:rsidRPr="00AB26B3">
        <w:rPr>
          <w:noProof/>
          <w:spacing w:val="-6"/>
          <w:lang w:val="sk-SK"/>
        </w:rPr>
        <w:t xml:space="preserve"> z </w:t>
      </w:r>
      <w:r w:rsidRPr="00AB26B3">
        <w:rPr>
          <w:noProof/>
          <w:spacing w:val="-6"/>
          <w:lang w:val="sk-SK"/>
        </w:rPr>
        <w:t>motorovej nafty. Opatreniami sa zabezpečí životaschopnosť existujúcej inštalovanej kapacity OZE</w:t>
      </w:r>
      <w:r w:rsidR="00AB26B3" w:rsidRPr="00AB26B3">
        <w:rPr>
          <w:noProof/>
          <w:spacing w:val="-6"/>
          <w:lang w:val="sk-SK"/>
        </w:rPr>
        <w:t xml:space="preserve"> a </w:t>
      </w:r>
      <w:r w:rsidRPr="00AB26B3">
        <w:rPr>
          <w:noProof/>
          <w:spacing w:val="-6"/>
          <w:lang w:val="sk-SK"/>
        </w:rPr>
        <w:t>uľahčí sa financovanie nových projektov</w:t>
      </w:r>
      <w:r w:rsidR="00AB26B3" w:rsidRPr="00AB26B3">
        <w:rPr>
          <w:noProof/>
          <w:spacing w:val="-6"/>
          <w:lang w:val="sk-SK"/>
        </w:rPr>
        <w:t xml:space="preserve"> v </w:t>
      </w:r>
      <w:r w:rsidRPr="00AB26B3">
        <w:rPr>
          <w:noProof/>
          <w:spacing w:val="-6"/>
          <w:lang w:val="sk-SK"/>
        </w:rPr>
        <w:t>oblasti OZE, keďže akýkoľvek neočakávaný prílev/odlev vedúci</w:t>
      </w:r>
      <w:r w:rsidR="00AB26B3" w:rsidRPr="00AB26B3">
        <w:rPr>
          <w:noProof/>
          <w:spacing w:val="-6"/>
          <w:lang w:val="sk-SK"/>
        </w:rPr>
        <w:t xml:space="preserve"> k </w:t>
      </w:r>
      <w:r w:rsidRPr="00AB26B3">
        <w:rPr>
          <w:noProof/>
          <w:spacing w:val="-6"/>
          <w:lang w:val="sk-SK"/>
        </w:rPr>
        <w:t>negatívnemu vplyvu na účet (účty) OZE sa rieši prostredníctvom regulačných poplatkov, ktoré sa prenášajú na zákazníkov</w:t>
      </w:r>
      <w:r w:rsidR="00AB26B3" w:rsidRPr="00AB26B3">
        <w:rPr>
          <w:noProof/>
          <w:spacing w:val="-6"/>
          <w:lang w:val="sk-SK"/>
        </w:rPr>
        <w:t>.</w:t>
      </w:r>
    </w:p>
    <w:p w14:paraId="50B2E9B5" w14:textId="38CFBE8A"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Implementácia reformy vrátane zvýšenia kapacity výroby elektrickej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o </w:t>
      </w:r>
      <w:r w:rsidRPr="00AB26B3">
        <w:rPr>
          <w:noProof/>
          <w:spacing w:val="-6"/>
          <w:lang w:val="sk-SK"/>
        </w:rPr>
        <w:t>3 gigawatty sa dokončí do 30</w:t>
      </w:r>
      <w:r w:rsidR="00AB26B3" w:rsidRPr="00AB26B3">
        <w:rPr>
          <w:noProof/>
          <w:spacing w:val="-6"/>
          <w:lang w:val="sk-SK"/>
        </w:rPr>
        <w:t>. júna</w:t>
      </w:r>
      <w:r w:rsidRPr="00AB26B3">
        <w:rPr>
          <w:noProof/>
          <w:spacing w:val="-6"/>
          <w:lang w:val="sk-SK"/>
        </w:rPr>
        <w:t xml:space="preserve"> 2025.</w:t>
      </w:r>
    </w:p>
    <w:p w14:paraId="50B2E9B6" w14:textId="5C84040C"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Zefektívniť efektívne fungovanie nového modelu trhu</w:t>
      </w:r>
      <w:r w:rsidR="00AB26B3" w:rsidRPr="00AB26B3">
        <w:rPr>
          <w:noProof/>
          <w:spacing w:val="-6"/>
          <w:lang w:val="sk-SK"/>
        </w:rPr>
        <w:t xml:space="preserve"> s </w:t>
      </w:r>
      <w:r w:rsidRPr="00AB26B3">
        <w:rPr>
          <w:noProof/>
          <w:spacing w:val="-6"/>
          <w:lang w:val="sk-SK"/>
        </w:rPr>
        <w:t>elektrinou</w:t>
      </w:r>
      <w:r w:rsidR="00AB26B3" w:rsidRPr="00AB26B3">
        <w:rPr>
          <w:noProof/>
          <w:spacing w:val="-6"/>
          <w:lang w:val="sk-SK"/>
        </w:rPr>
        <w:t xml:space="preserve"> a </w:t>
      </w:r>
      <w:r w:rsidRPr="00AB26B3">
        <w:rPr>
          <w:noProof/>
          <w:spacing w:val="-6"/>
          <w:lang w:val="sk-SK"/>
        </w:rPr>
        <w:t>rozvoj nových zariadení na výrobu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s </w:t>
      </w:r>
      <w:r w:rsidRPr="00AB26B3">
        <w:rPr>
          <w:noProof/>
          <w:spacing w:val="-6"/>
          <w:lang w:val="sk-SK"/>
        </w:rPr>
        <w:t>cieľom dosiahnuť ciele NEKP prostredníctvom vykonávania monitorovacieho mechanizmu, účasti reakcie na strane spotreby</w:t>
      </w:r>
      <w:r w:rsidR="00AB26B3" w:rsidRPr="00AB26B3">
        <w:rPr>
          <w:noProof/>
          <w:spacing w:val="-6"/>
          <w:lang w:val="sk-SK"/>
        </w:rPr>
        <w:t xml:space="preserve"> a </w:t>
      </w:r>
      <w:r w:rsidRPr="00AB26B3">
        <w:rPr>
          <w:noProof/>
          <w:spacing w:val="-6"/>
          <w:lang w:val="sk-SK"/>
        </w:rPr>
        <w:t>rozsiahlej reformy postupu udeľovania licencií pre nové OZE (identifikačné číslo opatrenia: 16860)</w:t>
      </w:r>
    </w:p>
    <w:p w14:paraId="50B2E9B7" w14:textId="464A5EC1"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Reforma pozostáva zo zjednodušenia licenčného rámca pre obnoviteľné zdroje energie vrátane zjednodušenia</w:t>
      </w:r>
      <w:r w:rsidR="00AB26B3" w:rsidRPr="00AB26B3">
        <w:rPr>
          <w:noProof/>
          <w:spacing w:val="-6"/>
          <w:lang w:val="sk-SK"/>
        </w:rPr>
        <w:t xml:space="preserve"> a </w:t>
      </w:r>
      <w:r w:rsidRPr="00AB26B3">
        <w:rPr>
          <w:noProof/>
          <w:spacing w:val="-6"/>
          <w:lang w:val="sk-SK"/>
        </w:rPr>
        <w:t>digitalizácie postupov, krátkych</w:t>
      </w:r>
      <w:r w:rsidR="00AB26B3" w:rsidRPr="00AB26B3">
        <w:rPr>
          <w:noProof/>
          <w:spacing w:val="-6"/>
          <w:lang w:val="sk-SK"/>
        </w:rPr>
        <w:t xml:space="preserve"> a </w:t>
      </w:r>
      <w:r w:rsidRPr="00AB26B3">
        <w:rPr>
          <w:noProof/>
          <w:spacing w:val="-6"/>
          <w:lang w:val="sk-SK"/>
        </w:rPr>
        <w:t>záväzných administratívnych lehôt reakcie</w:t>
      </w:r>
      <w:r w:rsidR="00AB26B3" w:rsidRPr="00AB26B3">
        <w:rPr>
          <w:noProof/>
          <w:spacing w:val="-6"/>
          <w:lang w:val="sk-SK"/>
        </w:rPr>
        <w:t xml:space="preserve"> a </w:t>
      </w:r>
      <w:r w:rsidRPr="00AB26B3">
        <w:rPr>
          <w:noProof/>
          <w:spacing w:val="-6"/>
          <w:lang w:val="sk-SK"/>
        </w:rPr>
        <w:t>postupov zodpovednosti za zbytočné oneskorenia, obmedzenia potrebnej dokumentácie</w:t>
      </w:r>
      <w:r w:rsidR="00AB26B3" w:rsidRPr="00AB26B3">
        <w:rPr>
          <w:noProof/>
          <w:spacing w:val="-6"/>
          <w:lang w:val="sk-SK"/>
        </w:rPr>
        <w:t xml:space="preserve"> a </w:t>
      </w:r>
      <w:r w:rsidRPr="00AB26B3">
        <w:rPr>
          <w:noProof/>
          <w:spacing w:val="-6"/>
          <w:lang w:val="sk-SK"/>
        </w:rPr>
        <w:t>postupov, ako aj nového špecializovaného rámca pre zariadenia na výrobu energie</w:t>
      </w:r>
      <w:r w:rsidR="00AB26B3" w:rsidRPr="00AB26B3">
        <w:rPr>
          <w:noProof/>
          <w:spacing w:val="-6"/>
          <w:lang w:val="sk-SK"/>
        </w:rPr>
        <w:t xml:space="preserve"> z </w:t>
      </w:r>
      <w:r w:rsidRPr="00AB26B3">
        <w:rPr>
          <w:noProof/>
          <w:spacing w:val="-6"/>
          <w:lang w:val="sk-SK"/>
        </w:rPr>
        <w:t>obnoviteľných zdrojov na mori. Cieľom je urýchliť zdvojnásobenie inštalovanej kapacity OZE vzhľadom na postupné zatváranie hnedouhoľných elektrární</w:t>
      </w:r>
      <w:r w:rsidR="00AB26B3" w:rsidRPr="00AB26B3">
        <w:rPr>
          <w:noProof/>
          <w:spacing w:val="-6"/>
          <w:lang w:val="sk-SK"/>
        </w:rPr>
        <w:t xml:space="preserve"> v </w:t>
      </w:r>
      <w:r w:rsidRPr="00AB26B3">
        <w:rPr>
          <w:noProof/>
          <w:spacing w:val="-6"/>
          <w:lang w:val="sk-SK"/>
        </w:rPr>
        <w:t>Grécku.</w:t>
      </w:r>
    </w:p>
    <w:p w14:paraId="32FF11EC" w14:textId="654EEDDB" w:rsidR="00AB26B3" w:rsidRPr="00AB26B3" w:rsidRDefault="00D64F26">
      <w:pPr>
        <w:pStyle w:val="P68B1DB1-Normal5"/>
        <w:spacing w:before="120" w:after="120" w:line="240" w:lineRule="auto"/>
        <w:jc w:val="both"/>
        <w:rPr>
          <w:noProof/>
          <w:spacing w:val="-6"/>
          <w:lang w:val="sk-SK"/>
        </w:rPr>
      </w:pPr>
      <w:r w:rsidRPr="00AB26B3">
        <w:rPr>
          <w:noProof/>
          <w:spacing w:val="-6"/>
          <w:lang w:val="sk-SK"/>
        </w:rPr>
        <w:t>Napokon sa reformou zavedie aj systém monitorovania trhu pre národný regulačný orgán (RAE)</w:t>
      </w:r>
      <w:r w:rsidR="00AB26B3" w:rsidRPr="00AB26B3">
        <w:rPr>
          <w:noProof/>
          <w:spacing w:val="-6"/>
          <w:lang w:val="sk-SK"/>
        </w:rPr>
        <w:t xml:space="preserve"> a </w:t>
      </w:r>
      <w:r w:rsidRPr="00AB26B3">
        <w:rPr>
          <w:noProof/>
          <w:spacing w:val="-6"/>
          <w:lang w:val="sk-SK"/>
        </w:rPr>
        <w:t>účasť riadenia odberu (DSR) na vyrovnávacom trhu</w:t>
      </w:r>
      <w:r w:rsidR="00AB26B3" w:rsidRPr="00AB26B3">
        <w:rPr>
          <w:noProof/>
          <w:spacing w:val="-6"/>
          <w:lang w:val="sk-SK"/>
        </w:rPr>
        <w:t>.</w:t>
      </w:r>
    </w:p>
    <w:p w14:paraId="50B2E9B9" w14:textId="2DDD6ED8"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Implementácia reformy sa dokončí do 30</w:t>
      </w:r>
      <w:r w:rsidR="00AB26B3" w:rsidRPr="00AB26B3">
        <w:rPr>
          <w:noProof/>
          <w:spacing w:val="-6"/>
          <w:lang w:val="sk-SK"/>
        </w:rPr>
        <w:t>. júna</w:t>
      </w:r>
      <w:r w:rsidRPr="00AB26B3">
        <w:rPr>
          <w:noProof/>
          <w:spacing w:val="-6"/>
          <w:lang w:val="sk-SK"/>
        </w:rPr>
        <w:t xml:space="preserve"> 2022.</w:t>
      </w:r>
    </w:p>
    <w:p w14:paraId="50B2E9BB" w14:textId="7777777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B4C83">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p>
    <w:p w14:paraId="50B2E9BC" w14:textId="37984EE2" w:rsidR="00302FC1" w:rsidRPr="00AB26B3" w:rsidRDefault="00D64F26">
      <w:pPr>
        <w:pStyle w:val="P68B1DB1-Normal6"/>
        <w:keepNext/>
        <w:keepLines/>
        <w:spacing w:before="240" w:after="0" w:line="240" w:lineRule="auto"/>
        <w:jc w:val="both"/>
        <w:outlineLvl w:val="4"/>
        <w:rPr>
          <w:rFonts w:eastAsia="Times New Roman"/>
          <w:noProof/>
          <w:color w:val="365F91"/>
          <w:spacing w:val="-6"/>
          <w:lang w:val="sk-SK"/>
        </w:rPr>
      </w:pPr>
      <w:r w:rsidRPr="00AB26B3">
        <w:rPr>
          <w:noProof/>
          <w:spacing w:val="-6"/>
          <w:lang w:val="sk-SK"/>
        </w:rPr>
        <w:t>A.2.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50B2E9BE" w14:textId="30FAF0B4" w:rsidR="00302FC1" w:rsidRPr="00AB26B3" w:rsidRDefault="00D64F26">
      <w:pPr>
        <w:pStyle w:val="P68B1DB1-Normal9"/>
        <w:keepNext/>
        <w:keepLines/>
        <w:spacing w:before="2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Najvýznamnejšia investícia 1: Intervencie na prepojenie elektrizačných sústav ostrovov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modernizáciu elektrizačnej sústavy</w:t>
      </w:r>
    </w:p>
    <w:tbl>
      <w:tblPr>
        <w:tblW w:w="149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46"/>
        <w:gridCol w:w="1173"/>
        <w:gridCol w:w="1513"/>
        <w:gridCol w:w="1690"/>
        <w:gridCol w:w="951"/>
        <w:gridCol w:w="1047"/>
        <w:gridCol w:w="651"/>
        <w:gridCol w:w="896"/>
        <w:gridCol w:w="10"/>
        <w:gridCol w:w="887"/>
        <w:gridCol w:w="3411"/>
      </w:tblGrid>
      <w:tr w:rsidR="00302FC1" w:rsidRPr="00AB26B3" w14:paraId="50B2E9C9" w14:textId="77777777">
        <w:trPr>
          <w:trHeight w:val="675"/>
          <w:tblHeader/>
        </w:trPr>
        <w:tc>
          <w:tcPr>
            <w:tcW w:w="738" w:type="dxa"/>
            <w:vMerge w:val="restart"/>
            <w:shd w:val="clear" w:color="auto" w:fill="BDD7EE"/>
            <w:vAlign w:val="center"/>
            <w:hideMark/>
          </w:tcPr>
          <w:p w14:paraId="50B2E9C0" w14:textId="10DA1D18" w:rsidR="00302FC1" w:rsidRPr="00AB26B3" w:rsidRDefault="00D64F26">
            <w:pPr>
              <w:pStyle w:val="P68B1DB1-Normal10"/>
              <w:spacing w:before="120" w:after="120" w:line="240" w:lineRule="auto"/>
              <w:jc w:val="center"/>
              <w:rPr>
                <w:noProof/>
                <w:spacing w:val="-6"/>
                <w:lang w:val="sk-SK"/>
              </w:rPr>
            </w:pPr>
            <w:r w:rsidRPr="00AB26B3">
              <w:rPr>
                <w:noProof/>
                <w:spacing w:val="-6"/>
                <w:lang w:val="sk-SK"/>
              </w:rPr>
              <w:t>A nasl.</w:t>
            </w:r>
            <w:r w:rsidRPr="00AB26B3">
              <w:rPr>
                <w:noProof/>
                <w:spacing w:val="-6"/>
                <w:lang w:val="sk-SK"/>
              </w:rPr>
              <w:br/>
              <w:t>Nie</w:t>
            </w:r>
          </w:p>
        </w:tc>
        <w:tc>
          <w:tcPr>
            <w:tcW w:w="1946" w:type="dxa"/>
            <w:vMerge w:val="restart"/>
            <w:shd w:val="clear" w:color="auto" w:fill="BDD7EE"/>
            <w:vAlign w:val="center"/>
            <w:hideMark/>
          </w:tcPr>
          <w:p w14:paraId="50B2E9C1" w14:textId="7777777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Súvisiace opatrenie (reforma alebo investícia)</w:t>
            </w:r>
          </w:p>
        </w:tc>
        <w:tc>
          <w:tcPr>
            <w:tcW w:w="1173" w:type="dxa"/>
            <w:vMerge w:val="restart"/>
            <w:shd w:val="clear" w:color="auto" w:fill="BDD7EE"/>
            <w:vAlign w:val="center"/>
            <w:hideMark/>
          </w:tcPr>
          <w:p w14:paraId="50B2E9C2" w14:textId="7777777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Míľnik/cieľ</w:t>
            </w:r>
          </w:p>
        </w:tc>
        <w:tc>
          <w:tcPr>
            <w:tcW w:w="1513" w:type="dxa"/>
            <w:vMerge w:val="restart"/>
            <w:shd w:val="clear" w:color="auto" w:fill="BDD7EE"/>
            <w:vAlign w:val="center"/>
            <w:hideMark/>
          </w:tcPr>
          <w:p w14:paraId="50B2E9C3" w14:textId="7777777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Názov</w:t>
            </w:r>
          </w:p>
        </w:tc>
        <w:tc>
          <w:tcPr>
            <w:tcW w:w="1690" w:type="dxa"/>
            <w:vMerge w:val="restart"/>
            <w:shd w:val="clear" w:color="auto" w:fill="BDD7EE"/>
            <w:vAlign w:val="center"/>
            <w:hideMark/>
          </w:tcPr>
          <w:p w14:paraId="50B2E9C4" w14:textId="7A29008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Kvalitatívne ukazovatele (pre míľniky)</w:t>
            </w:r>
          </w:p>
        </w:tc>
        <w:tc>
          <w:tcPr>
            <w:tcW w:w="2649" w:type="dxa"/>
            <w:gridSpan w:val="3"/>
            <w:shd w:val="clear" w:color="auto" w:fill="BDD7EE"/>
            <w:vAlign w:val="center"/>
            <w:hideMark/>
          </w:tcPr>
          <w:p w14:paraId="50B2E9C5" w14:textId="02F1B329"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 xml:space="preserve">Kvantitatívne ukazovatele </w:t>
            </w:r>
            <w:r w:rsidRPr="00AB26B3">
              <w:rPr>
                <w:noProof/>
                <w:spacing w:val="-6"/>
                <w:lang w:val="sk-SK"/>
              </w:rPr>
              <w:br/>
              <w:t>(pre ciele)</w:t>
            </w:r>
          </w:p>
        </w:tc>
        <w:tc>
          <w:tcPr>
            <w:tcW w:w="1793" w:type="dxa"/>
            <w:gridSpan w:val="3"/>
            <w:shd w:val="clear" w:color="auto" w:fill="BDD7EE"/>
            <w:vAlign w:val="center"/>
            <w:hideMark/>
          </w:tcPr>
          <w:p w14:paraId="50B2E9C6" w14:textId="7777777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Orientačný harmonogram dokončenia</w:t>
            </w:r>
          </w:p>
        </w:tc>
        <w:tc>
          <w:tcPr>
            <w:tcW w:w="3411" w:type="dxa"/>
            <w:vMerge w:val="restart"/>
            <w:shd w:val="clear" w:color="auto" w:fill="BDD7EE"/>
            <w:vAlign w:val="center"/>
            <w:hideMark/>
          </w:tcPr>
          <w:p w14:paraId="50B2E9C8" w14:textId="27D9B9D8" w:rsidR="00302FC1" w:rsidRPr="00AB26B3" w:rsidRDefault="00D64F26">
            <w:pPr>
              <w:pStyle w:val="P68B1DB1-Normal10"/>
              <w:spacing w:before="120" w:after="120" w:line="240" w:lineRule="auto"/>
              <w:rPr>
                <w:rFonts w:cs="Times New Roman"/>
                <w:noProof/>
                <w:spacing w:val="-6"/>
                <w:sz w:val="24"/>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0B2E9D5" w14:textId="77777777">
        <w:trPr>
          <w:trHeight w:val="268"/>
          <w:tblHeader/>
        </w:trPr>
        <w:tc>
          <w:tcPr>
            <w:tcW w:w="738" w:type="dxa"/>
            <w:vMerge/>
            <w:vAlign w:val="center"/>
          </w:tcPr>
          <w:p w14:paraId="50B2E9CA"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946" w:type="dxa"/>
            <w:vMerge/>
            <w:vAlign w:val="center"/>
          </w:tcPr>
          <w:p w14:paraId="50B2E9CB"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173" w:type="dxa"/>
            <w:vMerge/>
            <w:vAlign w:val="center"/>
          </w:tcPr>
          <w:p w14:paraId="50B2E9CC"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513" w:type="dxa"/>
            <w:vMerge/>
            <w:vAlign w:val="center"/>
          </w:tcPr>
          <w:p w14:paraId="50B2E9CD"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690" w:type="dxa"/>
            <w:vMerge/>
            <w:vAlign w:val="center"/>
          </w:tcPr>
          <w:p w14:paraId="50B2E9CE"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951" w:type="dxa"/>
            <w:shd w:val="clear" w:color="auto" w:fill="BDD7EE"/>
            <w:vAlign w:val="center"/>
          </w:tcPr>
          <w:p w14:paraId="50B2E9CF"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047" w:type="dxa"/>
            <w:shd w:val="clear" w:color="auto" w:fill="BDD7EE"/>
            <w:vAlign w:val="center"/>
          </w:tcPr>
          <w:p w14:paraId="50B2E9D0"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Základná</w:t>
            </w:r>
          </w:p>
        </w:tc>
        <w:tc>
          <w:tcPr>
            <w:tcW w:w="651" w:type="dxa"/>
            <w:shd w:val="clear" w:color="auto" w:fill="BDD7EE"/>
            <w:vAlign w:val="center"/>
          </w:tcPr>
          <w:p w14:paraId="50B2E9D1"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Cieľ</w:t>
            </w:r>
          </w:p>
        </w:tc>
        <w:tc>
          <w:tcPr>
            <w:tcW w:w="896" w:type="dxa"/>
            <w:shd w:val="clear" w:color="auto" w:fill="BDD7EE"/>
            <w:vAlign w:val="center"/>
          </w:tcPr>
          <w:p w14:paraId="50B2E9D2"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Štvrtina</w:t>
            </w:r>
          </w:p>
        </w:tc>
        <w:tc>
          <w:tcPr>
            <w:tcW w:w="897" w:type="dxa"/>
            <w:gridSpan w:val="2"/>
            <w:shd w:val="clear" w:color="auto" w:fill="BDD7EE"/>
            <w:vAlign w:val="center"/>
          </w:tcPr>
          <w:p w14:paraId="50B2E9D3"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Rok</w:t>
            </w:r>
          </w:p>
        </w:tc>
        <w:tc>
          <w:tcPr>
            <w:tcW w:w="3411" w:type="dxa"/>
            <w:vMerge/>
            <w:vAlign w:val="center"/>
          </w:tcPr>
          <w:p w14:paraId="50B2E9D4"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r>
      <w:tr w:rsidR="00302FC1" w:rsidRPr="00AB26B3" w14:paraId="50B2E9E4" w14:textId="77777777">
        <w:tc>
          <w:tcPr>
            <w:tcW w:w="738" w:type="dxa"/>
            <w:shd w:val="clear" w:color="auto" w:fill="C6EFCE"/>
            <w:noWrap/>
          </w:tcPr>
          <w:p w14:paraId="50B2E9D6" w14:textId="77777777" w:rsidR="00302FC1" w:rsidRPr="00AB26B3" w:rsidRDefault="00D64F26">
            <w:pPr>
              <w:pStyle w:val="P68B1DB1-Normal11"/>
              <w:spacing w:after="0" w:line="240" w:lineRule="auto"/>
              <w:rPr>
                <w:rFonts w:eastAsia="Times New Roman" w:cs="Times New Roman"/>
                <w:noProof/>
                <w:spacing w:val="-6"/>
                <w:lang w:val="sk-SK"/>
              </w:rPr>
            </w:pPr>
            <w:r w:rsidRPr="00AB26B3">
              <w:rPr>
                <w:noProof/>
                <w:spacing w:val="-6"/>
                <w:lang w:val="sk-SK"/>
              </w:rPr>
              <w:t>1</w:t>
            </w:r>
          </w:p>
        </w:tc>
        <w:tc>
          <w:tcPr>
            <w:tcW w:w="1946" w:type="dxa"/>
            <w:shd w:val="clear" w:color="auto" w:fill="C6EFCE"/>
            <w:noWrap/>
          </w:tcPr>
          <w:p w14:paraId="50B2E9D7" w14:textId="3BB70B6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Power up – 16870_Intervencie na prepojenie elektrických sietí ostrovov</w:t>
            </w:r>
            <w:r w:rsidR="00AB26B3" w:rsidRPr="00AB26B3">
              <w:rPr>
                <w:noProof/>
                <w:spacing w:val="-6"/>
                <w:lang w:val="sk-SK"/>
              </w:rPr>
              <w:t xml:space="preserve"> a </w:t>
            </w:r>
            <w:r w:rsidRPr="00AB26B3">
              <w:rPr>
                <w:noProof/>
                <w:spacing w:val="-6"/>
                <w:lang w:val="sk-SK"/>
              </w:rPr>
              <w:t>modernizáciu elektrickej siete</w:t>
            </w:r>
          </w:p>
        </w:tc>
        <w:tc>
          <w:tcPr>
            <w:tcW w:w="1173" w:type="dxa"/>
            <w:shd w:val="clear" w:color="auto" w:fill="C6EFCE"/>
            <w:noWrap/>
          </w:tcPr>
          <w:p w14:paraId="50B2E9D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13" w:type="dxa"/>
            <w:shd w:val="clear" w:color="auto" w:fill="C6EFCE"/>
            <w:noWrap/>
          </w:tcPr>
          <w:p w14:paraId="50B2E9D9" w14:textId="6E712E3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Prepojenie ostrovov – zadávanie zákaziek</w:t>
            </w:r>
          </w:p>
        </w:tc>
        <w:tc>
          <w:tcPr>
            <w:tcW w:w="1690" w:type="dxa"/>
            <w:shd w:val="clear" w:color="auto" w:fill="C6EFCE"/>
            <w:noWrap/>
          </w:tcPr>
          <w:p w14:paraId="50B2E9DA" w14:textId="59452E51"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w:t>
            </w:r>
          </w:p>
        </w:tc>
        <w:tc>
          <w:tcPr>
            <w:tcW w:w="951" w:type="dxa"/>
            <w:shd w:val="clear" w:color="auto" w:fill="C6EFCE"/>
            <w:noWrap/>
          </w:tcPr>
          <w:p w14:paraId="50B2E9DB"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1047" w:type="dxa"/>
            <w:shd w:val="clear" w:color="auto" w:fill="C6EFCE"/>
            <w:noWrap/>
          </w:tcPr>
          <w:p w14:paraId="50B2E9DC"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651" w:type="dxa"/>
            <w:shd w:val="clear" w:color="auto" w:fill="C6EFCE"/>
            <w:noWrap/>
          </w:tcPr>
          <w:p w14:paraId="50B2E9DD"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06" w:type="dxa"/>
            <w:gridSpan w:val="2"/>
            <w:shd w:val="clear" w:color="auto" w:fill="C6EFCE"/>
            <w:noWrap/>
          </w:tcPr>
          <w:p w14:paraId="50B2E9DE"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ŠTVRŤROK</w:t>
            </w:r>
          </w:p>
        </w:tc>
        <w:tc>
          <w:tcPr>
            <w:tcW w:w="887" w:type="dxa"/>
            <w:shd w:val="clear" w:color="auto" w:fill="C6EFCE"/>
            <w:noWrap/>
          </w:tcPr>
          <w:p w14:paraId="50B2E9DF"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2023</w:t>
            </w:r>
          </w:p>
        </w:tc>
        <w:tc>
          <w:tcPr>
            <w:tcW w:w="3411" w:type="dxa"/>
            <w:shd w:val="clear" w:color="auto" w:fill="C6EFCE"/>
            <w:noWrap/>
          </w:tcPr>
          <w:p w14:paraId="50B2E9E0" w14:textId="243F720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 nezávislým prevádzkovateľom prenosovej sústavy (IPTO) na úplnú inštaláciu:</w:t>
            </w:r>
          </w:p>
          <w:p w14:paraId="50B2E9E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Naxos – káblové spojenie Thira;</w:t>
            </w:r>
          </w:p>
          <w:p w14:paraId="50B2E9E2" w14:textId="6177443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kábel veľmi vysokého napätia (EHVC) Koumoundoros – Korinthos (časti 1</w:t>
            </w:r>
            <w:r w:rsidR="00AB26B3" w:rsidRPr="00AB26B3">
              <w:rPr>
                <w:noProof/>
                <w:spacing w:val="-6"/>
                <w:lang w:val="sk-SK"/>
              </w:rPr>
              <w:t xml:space="preserve"> a </w:t>
            </w:r>
            <w:r w:rsidRPr="00AB26B3">
              <w:rPr>
                <w:noProof/>
                <w:spacing w:val="-6"/>
                <w:lang w:val="sk-SK"/>
              </w:rPr>
              <w:t>2); podielu a</w:t>
            </w:r>
          </w:p>
          <w:p w14:paraId="50B2E9E3" w14:textId="0E081A6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Stanice Milos, Folegandros, Serifos</w:t>
            </w:r>
            <w:r w:rsidR="00AB26B3" w:rsidRPr="00AB26B3">
              <w:rPr>
                <w:noProof/>
                <w:spacing w:val="-6"/>
                <w:lang w:val="sk-SK"/>
              </w:rPr>
              <w:t xml:space="preserve"> a </w:t>
            </w:r>
            <w:r w:rsidRPr="00AB26B3">
              <w:rPr>
                <w:noProof/>
                <w:spacing w:val="-6"/>
                <w:lang w:val="sk-SK"/>
              </w:rPr>
              <w:t>káblové spojenia Lavrio-Serifos, Serifos-Milos, Milos-Folegandros, Folegandros-Thira.</w:t>
            </w:r>
          </w:p>
        </w:tc>
      </w:tr>
      <w:tr w:rsidR="00302FC1" w:rsidRPr="00AB26B3" w14:paraId="50B2E9F0" w14:textId="77777777">
        <w:tc>
          <w:tcPr>
            <w:tcW w:w="738" w:type="dxa"/>
            <w:shd w:val="clear" w:color="auto" w:fill="C6EFCE"/>
            <w:noWrap/>
            <w:hideMark/>
          </w:tcPr>
          <w:p w14:paraId="50B2E9E5" w14:textId="77777777" w:rsidR="00302FC1" w:rsidRPr="00AB26B3" w:rsidRDefault="00D64F26">
            <w:pPr>
              <w:pStyle w:val="P68B1DB1-Normal12"/>
              <w:spacing w:before="120" w:after="120" w:line="240" w:lineRule="auto"/>
              <w:rPr>
                <w:noProof/>
                <w:spacing w:val="-6"/>
                <w:sz w:val="24"/>
                <w:szCs w:val="24"/>
                <w:lang w:val="sk-SK"/>
              </w:rPr>
            </w:pPr>
            <w:r w:rsidRPr="00AB26B3">
              <w:rPr>
                <w:noProof/>
                <w:spacing w:val="-6"/>
                <w:lang w:val="sk-SK"/>
              </w:rPr>
              <w:t>3</w:t>
            </w:r>
          </w:p>
        </w:tc>
        <w:tc>
          <w:tcPr>
            <w:tcW w:w="1946" w:type="dxa"/>
            <w:shd w:val="clear" w:color="auto" w:fill="C6EFCE"/>
            <w:noWrap/>
            <w:hideMark/>
          </w:tcPr>
          <w:p w14:paraId="50B2E9E6" w14:textId="24F14E15" w:rsidR="00302FC1" w:rsidRPr="00AB26B3" w:rsidRDefault="00D64F26">
            <w:pPr>
              <w:pStyle w:val="P68B1DB1-Normal13"/>
              <w:spacing w:after="120" w:line="240" w:lineRule="auto"/>
              <w:rPr>
                <w:noProof/>
                <w:spacing w:val="-6"/>
                <w:sz w:val="24"/>
                <w:lang w:val="sk-SK"/>
              </w:rPr>
            </w:pPr>
            <w:r w:rsidRPr="00AB26B3">
              <w:rPr>
                <w:noProof/>
                <w:spacing w:val="-6"/>
                <w:lang w:val="sk-SK"/>
              </w:rPr>
              <w:t>1 – 1.1. Power up – 16870_Intervencie na prepojenie elektrických sietí ostrovov</w:t>
            </w:r>
            <w:r w:rsidR="00AB26B3" w:rsidRPr="00AB26B3">
              <w:rPr>
                <w:noProof/>
                <w:spacing w:val="-6"/>
                <w:lang w:val="sk-SK"/>
              </w:rPr>
              <w:t xml:space="preserve"> a </w:t>
            </w:r>
            <w:r w:rsidRPr="00AB26B3">
              <w:rPr>
                <w:noProof/>
                <w:spacing w:val="-6"/>
                <w:lang w:val="sk-SK"/>
              </w:rPr>
              <w:t>investície do elektrickej siete</w:t>
            </w:r>
          </w:p>
        </w:tc>
        <w:tc>
          <w:tcPr>
            <w:tcW w:w="1173" w:type="dxa"/>
            <w:shd w:val="clear" w:color="auto" w:fill="C6EFCE"/>
            <w:noWrap/>
            <w:hideMark/>
          </w:tcPr>
          <w:p w14:paraId="50B2E9E7" w14:textId="77777777" w:rsidR="00302FC1" w:rsidRPr="00AB26B3" w:rsidRDefault="00D64F26">
            <w:pPr>
              <w:pStyle w:val="P68B1DB1-Normal13"/>
              <w:spacing w:after="120" w:line="240" w:lineRule="auto"/>
              <w:rPr>
                <w:noProof/>
                <w:spacing w:val="-6"/>
                <w:sz w:val="24"/>
                <w:lang w:val="sk-SK"/>
              </w:rPr>
            </w:pPr>
            <w:r w:rsidRPr="00AB26B3">
              <w:rPr>
                <w:noProof/>
                <w:spacing w:val="-6"/>
                <w:lang w:val="sk-SK"/>
              </w:rPr>
              <w:t>Míľnik</w:t>
            </w:r>
          </w:p>
        </w:tc>
        <w:tc>
          <w:tcPr>
            <w:tcW w:w="1513" w:type="dxa"/>
            <w:shd w:val="clear" w:color="auto" w:fill="C6EFCE"/>
            <w:noWrap/>
            <w:hideMark/>
          </w:tcPr>
          <w:p w14:paraId="50B2E9E8" w14:textId="48C6B703" w:rsidR="00302FC1" w:rsidRPr="00AB26B3" w:rsidRDefault="00D64F26">
            <w:pPr>
              <w:pStyle w:val="P68B1DB1-Normal13"/>
              <w:spacing w:after="120" w:line="240" w:lineRule="auto"/>
              <w:rPr>
                <w:noProof/>
                <w:spacing w:val="-6"/>
                <w:sz w:val="24"/>
                <w:lang w:val="sk-SK"/>
              </w:rPr>
            </w:pPr>
            <w:r w:rsidRPr="00AB26B3">
              <w:rPr>
                <w:noProof/>
                <w:spacing w:val="-6"/>
                <w:lang w:val="sk-SK"/>
              </w:rPr>
              <w:t xml:space="preserve">Prepojenie ostrovov </w:t>
            </w:r>
          </w:p>
        </w:tc>
        <w:tc>
          <w:tcPr>
            <w:tcW w:w="1690" w:type="dxa"/>
            <w:shd w:val="clear" w:color="auto" w:fill="C6EFCE"/>
            <w:noWrap/>
            <w:hideMark/>
          </w:tcPr>
          <w:p w14:paraId="50B2E9E9" w14:textId="0A67DCC3" w:rsidR="00302FC1" w:rsidRPr="00AB26B3" w:rsidRDefault="00D64F26">
            <w:pPr>
              <w:pStyle w:val="P68B1DB1-Normal13"/>
              <w:spacing w:after="120" w:line="240" w:lineRule="auto"/>
              <w:rPr>
                <w:noProof/>
                <w:spacing w:val="-6"/>
                <w:sz w:val="24"/>
                <w:lang w:val="sk-SK"/>
              </w:rPr>
            </w:pPr>
            <w:r w:rsidRPr="00AB26B3">
              <w:rPr>
                <w:noProof/>
                <w:spacing w:val="-6"/>
                <w:lang w:val="sk-SK"/>
              </w:rPr>
              <w:t>Dokončenie prác, osvedčené organizáciou IPTO</w:t>
            </w:r>
          </w:p>
        </w:tc>
        <w:tc>
          <w:tcPr>
            <w:tcW w:w="951" w:type="dxa"/>
            <w:shd w:val="clear" w:color="auto" w:fill="C6EFCE"/>
            <w:noWrap/>
            <w:hideMark/>
          </w:tcPr>
          <w:p w14:paraId="50B2E9EA" w14:textId="77777777" w:rsidR="00302FC1" w:rsidRPr="00AB26B3" w:rsidRDefault="00D64F26">
            <w:pPr>
              <w:pStyle w:val="P68B1DB1-Normal13"/>
              <w:spacing w:after="120" w:line="240" w:lineRule="auto"/>
              <w:rPr>
                <w:noProof/>
                <w:spacing w:val="-6"/>
                <w:sz w:val="24"/>
                <w:lang w:val="sk-SK"/>
              </w:rPr>
            </w:pPr>
            <w:r w:rsidRPr="00AB26B3">
              <w:rPr>
                <w:noProof/>
                <w:spacing w:val="-6"/>
                <w:lang w:val="sk-SK"/>
              </w:rPr>
              <w:t xml:space="preserve"> </w:t>
            </w:r>
          </w:p>
        </w:tc>
        <w:tc>
          <w:tcPr>
            <w:tcW w:w="1047" w:type="dxa"/>
            <w:shd w:val="clear" w:color="auto" w:fill="C6EFCE"/>
            <w:noWrap/>
            <w:hideMark/>
          </w:tcPr>
          <w:p w14:paraId="50B2E9EB" w14:textId="77777777" w:rsidR="00302FC1" w:rsidRPr="00AB26B3" w:rsidRDefault="00D64F26">
            <w:pPr>
              <w:pStyle w:val="P68B1DB1-Normal13"/>
              <w:spacing w:after="120" w:line="240" w:lineRule="auto"/>
              <w:rPr>
                <w:noProof/>
                <w:spacing w:val="-6"/>
                <w:sz w:val="24"/>
                <w:lang w:val="sk-SK"/>
              </w:rPr>
            </w:pPr>
            <w:r w:rsidRPr="00AB26B3">
              <w:rPr>
                <w:noProof/>
                <w:spacing w:val="-6"/>
                <w:lang w:val="sk-SK"/>
              </w:rPr>
              <w:t xml:space="preserve"> </w:t>
            </w:r>
          </w:p>
        </w:tc>
        <w:tc>
          <w:tcPr>
            <w:tcW w:w="651" w:type="dxa"/>
            <w:shd w:val="clear" w:color="auto" w:fill="C6EFCE"/>
            <w:noWrap/>
            <w:hideMark/>
          </w:tcPr>
          <w:p w14:paraId="50B2E9EC" w14:textId="77777777" w:rsidR="00302FC1" w:rsidRPr="00AB26B3" w:rsidRDefault="00D64F26">
            <w:pPr>
              <w:pStyle w:val="P68B1DB1-Normal13"/>
              <w:spacing w:after="120" w:line="240" w:lineRule="auto"/>
              <w:rPr>
                <w:noProof/>
                <w:spacing w:val="-6"/>
                <w:sz w:val="24"/>
                <w:lang w:val="sk-SK"/>
              </w:rPr>
            </w:pPr>
            <w:r w:rsidRPr="00AB26B3">
              <w:rPr>
                <w:noProof/>
                <w:spacing w:val="-6"/>
                <w:lang w:val="sk-SK"/>
              </w:rPr>
              <w:t xml:space="preserve"> </w:t>
            </w:r>
          </w:p>
        </w:tc>
        <w:tc>
          <w:tcPr>
            <w:tcW w:w="906" w:type="dxa"/>
            <w:gridSpan w:val="2"/>
            <w:shd w:val="clear" w:color="auto" w:fill="C6EFCE"/>
            <w:noWrap/>
            <w:hideMark/>
          </w:tcPr>
          <w:p w14:paraId="50B2E9ED" w14:textId="77777777" w:rsidR="00302FC1" w:rsidRPr="00AB26B3" w:rsidRDefault="00D64F26">
            <w:pPr>
              <w:pStyle w:val="P68B1DB1-Normal13"/>
              <w:spacing w:after="120" w:line="240" w:lineRule="auto"/>
              <w:rPr>
                <w:noProof/>
                <w:spacing w:val="-6"/>
                <w:sz w:val="24"/>
                <w:lang w:val="sk-SK"/>
              </w:rPr>
            </w:pPr>
            <w:r w:rsidRPr="00AB26B3">
              <w:rPr>
                <w:noProof/>
                <w:spacing w:val="-6"/>
                <w:lang w:val="sk-SK"/>
              </w:rPr>
              <w:t>ŠTVRTÝ ŠTVRŤROK</w:t>
            </w:r>
          </w:p>
        </w:tc>
        <w:tc>
          <w:tcPr>
            <w:tcW w:w="887" w:type="dxa"/>
            <w:shd w:val="clear" w:color="auto" w:fill="C6EFCE"/>
            <w:noWrap/>
            <w:hideMark/>
          </w:tcPr>
          <w:p w14:paraId="50B2E9EE" w14:textId="77777777" w:rsidR="00302FC1" w:rsidRPr="00AB26B3" w:rsidRDefault="00D64F26">
            <w:pPr>
              <w:pStyle w:val="P68B1DB1-Normal13"/>
              <w:spacing w:after="120" w:line="240" w:lineRule="auto"/>
              <w:rPr>
                <w:noProof/>
                <w:spacing w:val="-6"/>
                <w:sz w:val="24"/>
                <w:lang w:val="sk-SK"/>
              </w:rPr>
            </w:pPr>
            <w:r w:rsidRPr="00AB26B3">
              <w:rPr>
                <w:noProof/>
                <w:spacing w:val="-6"/>
                <w:lang w:val="sk-SK"/>
              </w:rPr>
              <w:t>2025 </w:t>
            </w:r>
          </w:p>
        </w:tc>
        <w:tc>
          <w:tcPr>
            <w:tcW w:w="3411" w:type="dxa"/>
            <w:shd w:val="clear" w:color="auto" w:fill="C6EFCE"/>
            <w:noWrap/>
            <w:hideMark/>
          </w:tcPr>
          <w:p w14:paraId="50B2E9EF" w14:textId="6B8DBD94" w:rsidR="00302FC1" w:rsidRPr="00AB26B3" w:rsidRDefault="00D64F26">
            <w:pPr>
              <w:pStyle w:val="P68B1DB1-Normal12"/>
              <w:spacing w:after="120" w:line="240" w:lineRule="auto"/>
              <w:rPr>
                <w:noProof/>
                <w:spacing w:val="-6"/>
                <w:lang w:val="sk-SK"/>
              </w:rPr>
            </w:pPr>
            <w:r w:rsidRPr="00AB26B3">
              <w:rPr>
                <w:noProof/>
                <w:spacing w:val="-6"/>
                <w:lang w:val="sk-SK"/>
              </w:rPr>
              <w:t>Výstavba prepojenia Kyklady (fáza D), modernizácia EHVC Koumoundouros GIS 400 kV</w:t>
            </w:r>
            <w:r w:rsidR="00AB26B3" w:rsidRPr="00AB26B3">
              <w:rPr>
                <w:noProof/>
                <w:spacing w:val="-6"/>
                <w:lang w:val="sk-SK"/>
              </w:rPr>
              <w:t xml:space="preserve"> a </w:t>
            </w:r>
            <w:r w:rsidRPr="00AB26B3">
              <w:rPr>
                <w:noProof/>
                <w:spacing w:val="-6"/>
                <w:lang w:val="sk-SK"/>
              </w:rPr>
              <w:t>výstavba nadzemného vedenia spájajúceho EHVC Corinth</w:t>
            </w:r>
            <w:r w:rsidR="00AB26B3" w:rsidRPr="00AB26B3">
              <w:rPr>
                <w:noProof/>
                <w:spacing w:val="-6"/>
                <w:lang w:val="sk-SK"/>
              </w:rPr>
              <w:t xml:space="preserve"> a </w:t>
            </w:r>
            <w:r w:rsidRPr="00AB26B3">
              <w:rPr>
                <w:noProof/>
                <w:spacing w:val="-6"/>
                <w:lang w:val="sk-SK"/>
              </w:rPr>
              <w:t xml:space="preserve">EHVC Koumoundouros.  </w:t>
            </w:r>
          </w:p>
        </w:tc>
      </w:tr>
    </w:tbl>
    <w:p w14:paraId="440C0DF3" w14:textId="77777777" w:rsidR="00302FC1" w:rsidRPr="00AB26B3" w:rsidRDefault="00302FC1">
      <w:pPr>
        <w:keepNext/>
        <w:keepLines/>
        <w:spacing w:before="240" w:after="240" w:line="240" w:lineRule="auto"/>
        <w:jc w:val="both"/>
        <w:outlineLvl w:val="4"/>
        <w:rPr>
          <w:rFonts w:ascii="Times New Roman" w:hAnsi="Times New Roman"/>
          <w:noProof/>
          <w:color w:val="365F91"/>
          <w:spacing w:val="-6"/>
          <w:sz w:val="24"/>
          <w:lang w:val="sk-SK"/>
        </w:rPr>
        <w:sectPr w:rsidR="00302FC1" w:rsidRPr="00AB26B3" w:rsidSect="00620A46">
          <w:headerReference w:type="even" r:id="rId24"/>
          <w:headerReference w:type="default" r:id="rId25"/>
          <w:footerReference w:type="even" r:id="rId26"/>
          <w:footerReference w:type="default" r:id="rId27"/>
          <w:headerReference w:type="first" r:id="rId28"/>
          <w:footerReference w:type="first" r:id="rId29"/>
          <w:pgSz w:w="16839" w:h="11907" w:orient="landscape"/>
          <w:pgMar w:top="1134" w:right="1134" w:bottom="1134" w:left="1134" w:header="567" w:footer="567" w:gutter="0"/>
          <w:cols w:space="720"/>
          <w:docGrid w:linePitch="360"/>
        </w:sectPr>
      </w:pPr>
    </w:p>
    <w:p w14:paraId="50B2E9F1" w14:textId="629D8920" w:rsidR="00302FC1" w:rsidRPr="00AB26B3" w:rsidRDefault="00D64F26">
      <w:pPr>
        <w:pStyle w:val="P68B1DB1-Normal9"/>
        <w:keepNext/>
        <w:keepLines/>
        <w:spacing w:before="240" w:after="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Kľúčová reforma 1: Reštrukturalizácia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zvýšenie príjmov</w:t>
      </w:r>
      <w:r w:rsidR="00AB26B3" w:rsidRPr="00AB26B3">
        <w:rPr>
          <w:rFonts w:ascii="Times New Roman" w:hAnsi="Times New Roman"/>
          <w:noProof/>
          <w:spacing w:val="-6"/>
          <w:lang w:val="sk-SK"/>
        </w:rPr>
        <w:t xml:space="preserve"> z </w:t>
      </w:r>
      <w:r w:rsidRPr="00AB26B3">
        <w:rPr>
          <w:rFonts w:ascii="Times New Roman" w:hAnsi="Times New Roman"/>
          <w:noProof/>
          <w:spacing w:val="-6"/>
          <w:lang w:val="sk-SK"/>
        </w:rPr>
        <w:t>účtu RES – KVET – Zjednodušenie efektívneho fungovania nového modelu trhu</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elektrinou</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rozvoj nových zariadení na výrobu energie</w:t>
      </w:r>
      <w:r w:rsidR="00AB26B3" w:rsidRPr="00AB26B3">
        <w:rPr>
          <w:rFonts w:ascii="Times New Roman" w:hAnsi="Times New Roman"/>
          <w:noProof/>
          <w:spacing w:val="-6"/>
          <w:lang w:val="sk-SK"/>
        </w:rPr>
        <w:t xml:space="preserve"> z </w:t>
      </w:r>
      <w:r w:rsidRPr="00AB26B3">
        <w:rPr>
          <w:rFonts w:ascii="Times New Roman" w:hAnsi="Times New Roman"/>
          <w:noProof/>
          <w:spacing w:val="-6"/>
          <w:lang w:val="sk-SK"/>
        </w:rPr>
        <w:t>obnoviteľných zdrojov</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cieľom dosiahnuť ciele NEKP prostredníctvom vykonávania monitorovacieho mechanizmu, účasti reakcie na strane spotreby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rozsiahlej reformy postupu udeľovania licencií pre nové OZE</w:t>
      </w:r>
    </w:p>
    <w:tbl>
      <w:tblPr>
        <w:tblpPr w:leftFromText="180" w:rightFromText="180" w:vertAnchor="text" w:tblpX="113" w:tblpY="1"/>
        <w:tblOverlap w:val="never"/>
        <w:tblW w:w="14737" w:type="dxa"/>
        <w:tblLook w:val="04A0" w:firstRow="1" w:lastRow="0" w:firstColumn="1" w:lastColumn="0" w:noHBand="0" w:noVBand="1"/>
      </w:tblPr>
      <w:tblGrid>
        <w:gridCol w:w="819"/>
        <w:gridCol w:w="1896"/>
        <w:gridCol w:w="1067"/>
        <w:gridCol w:w="1264"/>
        <w:gridCol w:w="1607"/>
        <w:gridCol w:w="1232"/>
        <w:gridCol w:w="982"/>
        <w:gridCol w:w="641"/>
        <w:gridCol w:w="1105"/>
        <w:gridCol w:w="944"/>
        <w:gridCol w:w="3230"/>
      </w:tblGrid>
      <w:tr w:rsidR="00302FC1" w:rsidRPr="00AB26B3" w14:paraId="50B2E9FA" w14:textId="77777777">
        <w:trPr>
          <w:cantSplit/>
          <w:trHeight w:val="699"/>
          <w:tblHeader/>
        </w:trPr>
        <w:tc>
          <w:tcPr>
            <w:tcW w:w="828"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14:paraId="50B2E9F2" w14:textId="1D73B5C8"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A nasl. 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14:paraId="50B2E9F3"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Súvisiace opatrenie (reforma alebo investícia)</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14:paraId="50B2E9F4"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Míľnik/cieľ</w:t>
            </w:r>
          </w:p>
        </w:tc>
        <w:tc>
          <w:tcPr>
            <w:tcW w:w="1200" w:type="dxa"/>
            <w:vMerge w:val="restart"/>
            <w:tcBorders>
              <w:top w:val="single" w:sz="4" w:space="0" w:color="auto"/>
              <w:left w:val="nil"/>
              <w:bottom w:val="single" w:sz="4" w:space="0" w:color="auto"/>
              <w:right w:val="single" w:sz="4" w:space="0" w:color="auto"/>
            </w:tcBorders>
            <w:shd w:val="clear" w:color="auto" w:fill="B8CCE4"/>
            <w:noWrap/>
            <w:vAlign w:val="center"/>
          </w:tcPr>
          <w:p w14:paraId="50B2E9F5"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Názov</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14:paraId="50B2E9F6" w14:textId="4CD12B30"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Kvalitatívne ukazovatele (pre míľniky)</w:t>
            </w:r>
          </w:p>
        </w:tc>
        <w:tc>
          <w:tcPr>
            <w:tcW w:w="2890" w:type="dxa"/>
            <w:gridSpan w:val="3"/>
            <w:tcBorders>
              <w:top w:val="single" w:sz="4" w:space="0" w:color="auto"/>
              <w:left w:val="nil"/>
              <w:bottom w:val="single" w:sz="4" w:space="0" w:color="auto"/>
              <w:right w:val="single" w:sz="4" w:space="0" w:color="auto"/>
            </w:tcBorders>
            <w:shd w:val="clear" w:color="auto" w:fill="B8CCE4"/>
            <w:noWrap/>
            <w:vAlign w:val="center"/>
          </w:tcPr>
          <w:p w14:paraId="50B2E9F7"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Kvantitatívne ukazovatele (pre ciele)</w:t>
            </w:r>
          </w:p>
        </w:tc>
        <w:tc>
          <w:tcPr>
            <w:tcW w:w="1912" w:type="dxa"/>
            <w:gridSpan w:val="2"/>
            <w:tcBorders>
              <w:top w:val="single" w:sz="4" w:space="0" w:color="auto"/>
              <w:left w:val="nil"/>
              <w:bottom w:val="single" w:sz="4" w:space="0" w:color="auto"/>
              <w:right w:val="single" w:sz="4" w:space="0" w:color="auto"/>
            </w:tcBorders>
            <w:shd w:val="clear" w:color="auto" w:fill="B8CCE4"/>
            <w:noWrap/>
            <w:vAlign w:val="center"/>
          </w:tcPr>
          <w:p w14:paraId="50B2E9F8"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Orientačný harmonogram dokončenia</w:t>
            </w:r>
          </w:p>
        </w:tc>
        <w:tc>
          <w:tcPr>
            <w:tcW w:w="3278" w:type="dxa"/>
            <w:vMerge w:val="restart"/>
            <w:tcBorders>
              <w:top w:val="single" w:sz="4" w:space="0" w:color="auto"/>
              <w:left w:val="nil"/>
              <w:bottom w:val="single" w:sz="4" w:space="0" w:color="auto"/>
              <w:right w:val="single" w:sz="4" w:space="0" w:color="auto"/>
            </w:tcBorders>
            <w:shd w:val="clear" w:color="auto" w:fill="B8CCE4"/>
            <w:noWrap/>
            <w:vAlign w:val="center"/>
          </w:tcPr>
          <w:p w14:paraId="50B2E9F9" w14:textId="038775A3"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AB26B3" w:rsidRPr="00AB26B3" w14:paraId="50B2EA06" w14:textId="77777777">
        <w:trPr>
          <w:cantSplit/>
          <w:trHeight w:val="557"/>
          <w:tblHeader/>
        </w:trPr>
        <w:tc>
          <w:tcPr>
            <w:tcW w:w="828"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14:paraId="50B2E9F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20"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14:paraId="50B2E9F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80"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14:paraId="50B2E9F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0" w:type="dxa"/>
            <w:vMerge/>
            <w:tcBorders>
              <w:top w:val="single" w:sz="4" w:space="0" w:color="auto"/>
              <w:left w:val="nil"/>
              <w:bottom w:val="single" w:sz="4" w:space="0" w:color="auto"/>
              <w:right w:val="single" w:sz="4" w:space="0" w:color="auto"/>
            </w:tcBorders>
            <w:shd w:val="clear" w:color="auto" w:fill="B8CCE4"/>
            <w:noWrap/>
            <w:vAlign w:val="center"/>
          </w:tcPr>
          <w:p w14:paraId="50B2E9F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29"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14:paraId="50B2E9F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48" w:type="dxa"/>
            <w:tcBorders>
              <w:top w:val="single" w:sz="4" w:space="0" w:color="auto"/>
              <w:left w:val="nil"/>
              <w:bottom w:val="single" w:sz="4" w:space="0" w:color="auto"/>
              <w:right w:val="single" w:sz="4" w:space="0" w:color="auto"/>
            </w:tcBorders>
            <w:shd w:val="clear" w:color="auto" w:fill="B8CCE4"/>
            <w:noWrap/>
            <w:vAlign w:val="center"/>
          </w:tcPr>
          <w:p w14:paraId="50B2EA0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4" w:type="dxa"/>
            <w:tcBorders>
              <w:top w:val="single" w:sz="4" w:space="0" w:color="auto"/>
              <w:left w:val="nil"/>
              <w:bottom w:val="single" w:sz="4" w:space="0" w:color="auto"/>
              <w:right w:val="single" w:sz="4" w:space="0" w:color="auto"/>
            </w:tcBorders>
            <w:shd w:val="clear" w:color="auto" w:fill="B8CCE4"/>
            <w:vAlign w:val="center"/>
          </w:tcPr>
          <w:p w14:paraId="50B2EA0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Základná</w:t>
            </w:r>
          </w:p>
        </w:tc>
        <w:tc>
          <w:tcPr>
            <w:tcW w:w="648" w:type="dxa"/>
            <w:tcBorders>
              <w:top w:val="single" w:sz="4" w:space="0" w:color="auto"/>
              <w:left w:val="nil"/>
              <w:bottom w:val="single" w:sz="4" w:space="0" w:color="auto"/>
              <w:right w:val="single" w:sz="4" w:space="0" w:color="auto"/>
            </w:tcBorders>
            <w:shd w:val="clear" w:color="auto" w:fill="B8CCE4"/>
            <w:vAlign w:val="center"/>
          </w:tcPr>
          <w:p w14:paraId="50B2EA0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Cieľ</w:t>
            </w:r>
          </w:p>
        </w:tc>
        <w:tc>
          <w:tcPr>
            <w:tcW w:w="956" w:type="dxa"/>
            <w:tcBorders>
              <w:top w:val="single" w:sz="4" w:space="0" w:color="auto"/>
              <w:left w:val="nil"/>
              <w:bottom w:val="single" w:sz="4" w:space="0" w:color="auto"/>
              <w:right w:val="single" w:sz="4" w:space="0" w:color="auto"/>
            </w:tcBorders>
            <w:shd w:val="clear" w:color="auto" w:fill="B8CCE4"/>
            <w:noWrap/>
            <w:vAlign w:val="center"/>
          </w:tcPr>
          <w:p w14:paraId="50B2EA0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956" w:type="dxa"/>
            <w:tcBorders>
              <w:top w:val="single" w:sz="4" w:space="0" w:color="auto"/>
              <w:left w:val="nil"/>
              <w:bottom w:val="single" w:sz="4" w:space="0" w:color="auto"/>
              <w:right w:val="single" w:sz="4" w:space="0" w:color="auto"/>
            </w:tcBorders>
            <w:shd w:val="clear" w:color="auto" w:fill="B8CCE4"/>
            <w:vAlign w:val="center"/>
          </w:tcPr>
          <w:p w14:paraId="50B2EA0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278" w:type="dxa"/>
            <w:vMerge/>
            <w:tcBorders>
              <w:top w:val="single" w:sz="4" w:space="0" w:color="auto"/>
              <w:left w:val="nil"/>
              <w:bottom w:val="single" w:sz="4" w:space="0" w:color="auto"/>
              <w:right w:val="single" w:sz="4" w:space="0" w:color="auto"/>
            </w:tcBorders>
            <w:shd w:val="clear" w:color="auto" w:fill="B8CCE4"/>
            <w:noWrap/>
          </w:tcPr>
          <w:p w14:paraId="50B2EA0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AB26B3" w:rsidRPr="00AB26B3" w14:paraId="50B2EA19" w14:textId="77777777">
        <w:tc>
          <w:tcPr>
            <w:tcW w:w="828" w:type="dxa"/>
            <w:tcBorders>
              <w:top w:val="single" w:sz="4" w:space="0" w:color="auto"/>
              <w:left w:val="single" w:sz="4" w:space="0" w:color="auto"/>
              <w:bottom w:val="single" w:sz="4" w:space="0" w:color="auto"/>
              <w:right w:val="single" w:sz="4" w:space="0" w:color="auto"/>
            </w:tcBorders>
            <w:shd w:val="clear" w:color="auto" w:fill="C6EFCE"/>
            <w:noWrap/>
          </w:tcPr>
          <w:p w14:paraId="50B2EA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w:t>
            </w:r>
          </w:p>
        </w:tc>
        <w:tc>
          <w:tcPr>
            <w:tcW w:w="1920" w:type="dxa"/>
            <w:tcBorders>
              <w:top w:val="single" w:sz="4" w:space="0" w:color="auto"/>
              <w:left w:val="nil"/>
              <w:bottom w:val="single" w:sz="4" w:space="0" w:color="auto"/>
              <w:right w:val="single" w:sz="4" w:space="0" w:color="auto"/>
            </w:tcBorders>
            <w:shd w:val="clear" w:color="auto" w:fill="C6EFCE"/>
            <w:noWrap/>
          </w:tcPr>
          <w:p w14:paraId="50B2EA08" w14:textId="0C05F62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Power up – 16865_Reštrukturalizácia</w:t>
            </w:r>
            <w:r w:rsidR="00AB26B3" w:rsidRPr="00AB26B3">
              <w:rPr>
                <w:noProof/>
                <w:spacing w:val="-6"/>
                <w:lang w:val="sk-SK"/>
              </w:rPr>
              <w:t xml:space="preserve"> a </w:t>
            </w:r>
            <w:r w:rsidRPr="00AB26B3">
              <w:rPr>
                <w:noProof/>
                <w:spacing w:val="-6"/>
                <w:lang w:val="sk-SK"/>
              </w:rPr>
              <w:t>zvýšenie príjmov</w:t>
            </w:r>
            <w:r w:rsidR="00AB26B3" w:rsidRPr="00AB26B3">
              <w:rPr>
                <w:noProof/>
                <w:spacing w:val="-6"/>
                <w:lang w:val="sk-SK"/>
              </w:rPr>
              <w:t xml:space="preserve"> z </w:t>
            </w:r>
            <w:r w:rsidRPr="00AB26B3">
              <w:rPr>
                <w:noProof/>
                <w:spacing w:val="-6"/>
                <w:lang w:val="sk-SK"/>
              </w:rPr>
              <w:t>účtu KVET pre OZE</w:t>
            </w:r>
          </w:p>
        </w:tc>
        <w:tc>
          <w:tcPr>
            <w:tcW w:w="1080" w:type="dxa"/>
            <w:tcBorders>
              <w:top w:val="single" w:sz="4" w:space="0" w:color="auto"/>
              <w:left w:val="nil"/>
              <w:bottom w:val="single" w:sz="4" w:space="0" w:color="auto"/>
              <w:right w:val="single" w:sz="4" w:space="0" w:color="auto"/>
            </w:tcBorders>
            <w:shd w:val="clear" w:color="auto" w:fill="C6EFCE"/>
            <w:noWrap/>
          </w:tcPr>
          <w:p w14:paraId="50B2EA0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0" w:type="dxa"/>
            <w:tcBorders>
              <w:top w:val="single" w:sz="4" w:space="0" w:color="auto"/>
              <w:left w:val="nil"/>
              <w:bottom w:val="single" w:sz="4" w:space="0" w:color="auto"/>
              <w:right w:val="single" w:sz="4" w:space="0" w:color="auto"/>
            </w:tcBorders>
            <w:shd w:val="clear" w:color="auto" w:fill="C6EFCE"/>
            <w:noWrap/>
          </w:tcPr>
          <w:p w14:paraId="50B2EA0A" w14:textId="16AA23F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Účet OZE – právne predpisy, ktorými sa mení</w:t>
            </w:r>
            <w:r w:rsidR="00AB26B3" w:rsidRPr="00AB26B3">
              <w:rPr>
                <w:noProof/>
                <w:spacing w:val="-6"/>
                <w:lang w:val="sk-SK"/>
              </w:rPr>
              <w:t xml:space="preserve"> a </w:t>
            </w:r>
            <w:r w:rsidRPr="00AB26B3">
              <w:rPr>
                <w:noProof/>
                <w:spacing w:val="-6"/>
                <w:lang w:val="sk-SK"/>
              </w:rPr>
              <w:t xml:space="preserve">dopĺňa zákon </w:t>
            </w:r>
            <w:r w:rsidR="00AB26B3" w:rsidRPr="00AB26B3">
              <w:rPr>
                <w:noProof/>
                <w:spacing w:val="-6"/>
                <w:lang w:val="sk-SK"/>
              </w:rPr>
              <w:t>č. </w:t>
            </w:r>
            <w:r w:rsidRPr="00AB26B3">
              <w:rPr>
                <w:noProof/>
                <w:spacing w:val="-6"/>
                <w:lang w:val="sk-SK"/>
              </w:rPr>
              <w:t>4001/2011; nadobudnutie účinnosti všetkých príslušných rozhodnutí ministerstiev, národného regulačného orgánu (RAE)</w:t>
            </w:r>
            <w:r w:rsidR="00AB26B3" w:rsidRPr="00AB26B3">
              <w:rPr>
                <w:noProof/>
                <w:spacing w:val="-6"/>
                <w:lang w:val="sk-SK"/>
              </w:rPr>
              <w:t xml:space="preserve"> a </w:t>
            </w:r>
            <w:r w:rsidRPr="00AB26B3">
              <w:rPr>
                <w:noProof/>
                <w:spacing w:val="-6"/>
                <w:lang w:val="sk-SK"/>
              </w:rPr>
              <w:t>správcu obnoviteľných zdrojov energie</w:t>
            </w:r>
            <w:r w:rsidR="00AB26B3" w:rsidRPr="00AB26B3">
              <w:rPr>
                <w:noProof/>
                <w:spacing w:val="-6"/>
                <w:lang w:val="sk-SK"/>
              </w:rPr>
              <w:t xml:space="preserve"> a </w:t>
            </w:r>
            <w:r w:rsidRPr="00AB26B3">
              <w:rPr>
                <w:noProof/>
                <w:spacing w:val="-6"/>
                <w:lang w:val="sk-SK"/>
              </w:rPr>
              <w:t>potvrdení</w:t>
            </w:r>
            <w:r w:rsidR="00AB26B3" w:rsidRPr="00AB26B3">
              <w:rPr>
                <w:noProof/>
                <w:spacing w:val="-6"/>
                <w:lang w:val="sk-SK"/>
              </w:rPr>
              <w:t xml:space="preserve"> o </w:t>
            </w:r>
            <w:r w:rsidRPr="00AB26B3">
              <w:rPr>
                <w:noProof/>
                <w:spacing w:val="-6"/>
                <w:lang w:val="sk-SK"/>
              </w:rPr>
              <w:t>pôvode (DAPEEP) vrátane kódexov.</w:t>
            </w:r>
          </w:p>
        </w:tc>
        <w:tc>
          <w:tcPr>
            <w:tcW w:w="1629" w:type="dxa"/>
            <w:tcBorders>
              <w:top w:val="single" w:sz="4" w:space="0" w:color="auto"/>
              <w:left w:val="nil"/>
              <w:bottom w:val="single" w:sz="4" w:space="0" w:color="auto"/>
              <w:right w:val="single" w:sz="4" w:space="0" w:color="auto"/>
            </w:tcBorders>
            <w:shd w:val="clear" w:color="auto" w:fill="C6EFCE"/>
            <w:noWrap/>
          </w:tcPr>
          <w:p w14:paraId="50B2EA0B" w14:textId="4F92CBC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r w:rsidR="00AB26B3" w:rsidRPr="00AB26B3">
              <w:rPr>
                <w:noProof/>
                <w:spacing w:val="-6"/>
                <w:lang w:val="sk-SK"/>
              </w:rPr>
              <w:t xml:space="preserve"> a </w:t>
            </w:r>
            <w:r w:rsidRPr="00AB26B3">
              <w:rPr>
                <w:noProof/>
                <w:spacing w:val="-6"/>
                <w:lang w:val="sk-SK"/>
              </w:rPr>
              <w:t>príslušných vykonávacích rozhodnutí.</w:t>
            </w:r>
          </w:p>
        </w:tc>
        <w:tc>
          <w:tcPr>
            <w:tcW w:w="1248" w:type="dxa"/>
            <w:tcBorders>
              <w:top w:val="single" w:sz="4" w:space="0" w:color="auto"/>
              <w:left w:val="nil"/>
              <w:bottom w:val="single" w:sz="4" w:space="0" w:color="auto"/>
              <w:right w:val="single" w:sz="4" w:space="0" w:color="auto"/>
            </w:tcBorders>
            <w:shd w:val="clear" w:color="auto" w:fill="C6EFCE"/>
            <w:noWrap/>
          </w:tcPr>
          <w:p w14:paraId="50B2EA0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4" w:type="dxa"/>
            <w:tcBorders>
              <w:top w:val="single" w:sz="4" w:space="0" w:color="auto"/>
              <w:left w:val="nil"/>
              <w:bottom w:val="single" w:sz="4" w:space="0" w:color="auto"/>
              <w:right w:val="single" w:sz="4" w:space="0" w:color="auto"/>
            </w:tcBorders>
            <w:shd w:val="clear" w:color="auto" w:fill="C6EFCE"/>
            <w:noWrap/>
          </w:tcPr>
          <w:p w14:paraId="50B2EA0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48" w:type="dxa"/>
            <w:tcBorders>
              <w:top w:val="single" w:sz="4" w:space="0" w:color="auto"/>
              <w:left w:val="nil"/>
              <w:bottom w:val="single" w:sz="4" w:space="0" w:color="auto"/>
              <w:right w:val="single" w:sz="4" w:space="0" w:color="auto"/>
            </w:tcBorders>
            <w:shd w:val="clear" w:color="auto" w:fill="C6EFCE"/>
            <w:noWrap/>
          </w:tcPr>
          <w:p w14:paraId="50B2EA0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56" w:type="dxa"/>
            <w:tcBorders>
              <w:top w:val="single" w:sz="4" w:space="0" w:color="auto"/>
              <w:left w:val="nil"/>
              <w:bottom w:val="single" w:sz="4" w:space="0" w:color="auto"/>
              <w:right w:val="single" w:sz="4" w:space="0" w:color="auto"/>
            </w:tcBorders>
            <w:shd w:val="clear" w:color="auto" w:fill="C6EFCE"/>
            <w:noWrap/>
          </w:tcPr>
          <w:p w14:paraId="50B2EA0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56" w:type="dxa"/>
            <w:tcBorders>
              <w:top w:val="single" w:sz="4" w:space="0" w:color="auto"/>
              <w:left w:val="nil"/>
              <w:bottom w:val="single" w:sz="4" w:space="0" w:color="auto"/>
              <w:right w:val="single" w:sz="4" w:space="0" w:color="auto"/>
            </w:tcBorders>
            <w:shd w:val="clear" w:color="auto" w:fill="C6EFCE"/>
            <w:noWrap/>
          </w:tcPr>
          <w:p w14:paraId="50B2EA1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278" w:type="dxa"/>
            <w:tcBorders>
              <w:top w:val="single" w:sz="4" w:space="0" w:color="auto"/>
              <w:left w:val="nil"/>
              <w:bottom w:val="single" w:sz="4" w:space="0" w:color="auto"/>
              <w:right w:val="single" w:sz="4" w:space="0" w:color="auto"/>
            </w:tcBorders>
            <w:shd w:val="clear" w:color="auto" w:fill="C6EFCE"/>
            <w:noWrap/>
          </w:tcPr>
          <w:p w14:paraId="50B2EA11" w14:textId="70AFD56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Zriadenie nového účtu obnoviteľných zdrojov energie pre jednotky uvedené do prevádzky od 1</w:t>
            </w:r>
            <w:r w:rsidR="00AB26B3" w:rsidRPr="00AB26B3">
              <w:rPr>
                <w:noProof/>
                <w:spacing w:val="-6"/>
                <w:lang w:val="sk-SK"/>
              </w:rPr>
              <w:t>. januára</w:t>
            </w:r>
            <w:r w:rsidRPr="00AB26B3">
              <w:rPr>
                <w:noProof/>
                <w:spacing w:val="-6"/>
                <w:lang w:val="sk-SK"/>
              </w:rPr>
              <w:t xml:space="preserve"> 2021 vrátane pozmeňujúcich právnych predpisov, ministerského rozhodnutia</w:t>
            </w:r>
            <w:r w:rsidR="00AB26B3" w:rsidRPr="00AB26B3">
              <w:rPr>
                <w:noProof/>
                <w:spacing w:val="-6"/>
                <w:lang w:val="sk-SK"/>
              </w:rPr>
              <w:t xml:space="preserve"> a </w:t>
            </w:r>
            <w:r w:rsidRPr="00AB26B3">
              <w:rPr>
                <w:noProof/>
                <w:spacing w:val="-6"/>
                <w:lang w:val="sk-SK"/>
              </w:rPr>
              <w:t>regulačných rozhodnutí (kódexov). Nový účet OZE bude zahŕňať mechanizmy na zabezpečenie jeho finančnej životaschopnosti,</w:t>
            </w:r>
            <w:r w:rsidR="00AB26B3" w:rsidRPr="00AB26B3">
              <w:rPr>
                <w:noProof/>
                <w:spacing w:val="-6"/>
                <w:lang w:val="sk-SK"/>
              </w:rPr>
              <w:t xml:space="preserve"> a </w:t>
            </w:r>
            <w:r w:rsidRPr="00AB26B3">
              <w:rPr>
                <w:noProof/>
                <w:spacing w:val="-6"/>
                <w:lang w:val="sk-SK"/>
              </w:rPr>
              <w:t>to aj</w:t>
            </w:r>
            <w:r w:rsidR="00AB26B3" w:rsidRPr="00AB26B3">
              <w:rPr>
                <w:noProof/>
                <w:spacing w:val="-6"/>
                <w:lang w:val="sk-SK"/>
              </w:rPr>
              <w:t xml:space="preserve"> v </w:t>
            </w:r>
            <w:r w:rsidRPr="00AB26B3">
              <w:rPr>
                <w:noProof/>
                <w:spacing w:val="-6"/>
                <w:lang w:val="sk-SK"/>
              </w:rPr>
              <w:t>prípade nepredvídaných nerovnováh.</w:t>
            </w:r>
          </w:p>
          <w:p w14:paraId="50B2EA1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50B2EA13" w14:textId="6404C75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nadobudnutie účinnosti systému obchodovania so zárukami pôvodu, ktorý spotrebiteľom umožní dobrovoľne podporovať elektrinu</w:t>
            </w:r>
            <w:r w:rsidR="00AB26B3" w:rsidRPr="00AB26B3">
              <w:rPr>
                <w:noProof/>
                <w:spacing w:val="-6"/>
                <w:lang w:val="sk-SK"/>
              </w:rPr>
              <w:t xml:space="preserve"> z </w:t>
            </w:r>
            <w:r w:rsidRPr="00AB26B3">
              <w:rPr>
                <w:noProof/>
                <w:spacing w:val="-6"/>
                <w:lang w:val="sk-SK"/>
              </w:rPr>
              <w:t>obnoviteľných zdrojov energie.</w:t>
            </w:r>
          </w:p>
          <w:p w14:paraId="38D50C45" w14:textId="2B5F7C02" w:rsidR="00AB26B3" w:rsidRPr="00AB26B3" w:rsidRDefault="00D64F26">
            <w:pPr>
              <w:pStyle w:val="P68B1DB1-Normal12"/>
              <w:spacing w:after="0" w:line="240" w:lineRule="auto"/>
              <w:rPr>
                <w:noProof/>
                <w:spacing w:val="-6"/>
                <w:lang w:val="sk-SK"/>
              </w:rPr>
            </w:pPr>
            <w:r w:rsidRPr="00AB26B3">
              <w:rPr>
                <w:noProof/>
                <w:spacing w:val="-6"/>
                <w:lang w:val="sk-SK"/>
              </w:rPr>
              <w:t>Systém potvrdení</w:t>
            </w:r>
            <w:r w:rsidR="00AB26B3" w:rsidRPr="00AB26B3">
              <w:rPr>
                <w:noProof/>
                <w:spacing w:val="-6"/>
                <w:lang w:val="sk-SK"/>
              </w:rPr>
              <w:t xml:space="preserve"> o </w:t>
            </w:r>
            <w:r w:rsidRPr="00AB26B3">
              <w:rPr>
                <w:noProof/>
                <w:spacing w:val="-6"/>
                <w:lang w:val="sk-SK"/>
              </w:rPr>
              <w:t>pôvode (GO) zahŕňa</w:t>
            </w:r>
            <w:r w:rsidR="00AB26B3" w:rsidRPr="00AB26B3">
              <w:rPr>
                <w:noProof/>
                <w:spacing w:val="-6"/>
                <w:lang w:val="sk-SK"/>
              </w:rPr>
              <w:t>:</w:t>
            </w:r>
          </w:p>
          <w:p w14:paraId="50B2EA15" w14:textId="54C8DD0D" w:rsidR="00302FC1" w:rsidRPr="00AB26B3" w:rsidRDefault="00D64F26">
            <w:pPr>
              <w:pStyle w:val="P68B1DB1-Normal12"/>
              <w:numPr>
                <w:ilvl w:val="0"/>
                <w:numId w:val="1"/>
              </w:numPr>
              <w:spacing w:before="120" w:after="0" w:line="259" w:lineRule="auto"/>
              <w:contextualSpacing/>
              <w:jc w:val="both"/>
              <w:rPr>
                <w:rFonts w:eastAsia="Times New Roman"/>
                <w:noProof/>
                <w:spacing w:val="-6"/>
                <w:lang w:val="sk-SK"/>
              </w:rPr>
            </w:pPr>
            <w:r w:rsidRPr="00AB26B3">
              <w:rPr>
                <w:noProof/>
                <w:spacing w:val="-6"/>
                <w:lang w:val="sk-SK"/>
              </w:rPr>
              <w:t>Prijatie systému vydávania/aukcií ZP pre výkupné ceny OZE</w:t>
            </w:r>
          </w:p>
          <w:p w14:paraId="50B2EA16" w14:textId="77777777" w:rsidR="00302FC1" w:rsidRPr="00AB26B3" w:rsidRDefault="00D64F26">
            <w:pPr>
              <w:pStyle w:val="P68B1DB1-Normal12"/>
              <w:numPr>
                <w:ilvl w:val="0"/>
                <w:numId w:val="1"/>
              </w:numPr>
              <w:spacing w:before="120" w:after="0" w:line="259" w:lineRule="auto"/>
              <w:contextualSpacing/>
              <w:jc w:val="both"/>
              <w:rPr>
                <w:rFonts w:eastAsia="Times New Roman"/>
                <w:noProof/>
                <w:spacing w:val="-6"/>
                <w:lang w:val="sk-SK"/>
              </w:rPr>
            </w:pPr>
            <w:r w:rsidRPr="00AB26B3">
              <w:rPr>
                <w:noProof/>
                <w:spacing w:val="-6"/>
                <w:lang w:val="sk-SK"/>
              </w:rPr>
              <w:t>Akreditácia „zelených“ maloobchodných produktov</w:t>
            </w:r>
          </w:p>
          <w:p w14:paraId="50B2EA17" w14:textId="77777777" w:rsidR="00302FC1" w:rsidRPr="00AB26B3" w:rsidRDefault="00D64F26">
            <w:pPr>
              <w:pStyle w:val="P68B1DB1-Normal12"/>
              <w:numPr>
                <w:ilvl w:val="0"/>
                <w:numId w:val="1"/>
              </w:numPr>
              <w:spacing w:before="120" w:after="0" w:line="259" w:lineRule="auto"/>
              <w:contextualSpacing/>
              <w:jc w:val="both"/>
              <w:rPr>
                <w:rFonts w:eastAsia="Times New Roman"/>
                <w:noProof/>
                <w:spacing w:val="-6"/>
                <w:lang w:val="sk-SK"/>
              </w:rPr>
            </w:pPr>
            <w:r w:rsidRPr="00AB26B3">
              <w:rPr>
                <w:noProof/>
                <w:spacing w:val="-6"/>
                <w:lang w:val="sk-SK"/>
              </w:rPr>
              <w:t>Akreditácia noriem „zeleného podnikania“.</w:t>
            </w:r>
          </w:p>
          <w:p w14:paraId="50B2EA1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r>
      <w:tr w:rsidR="00AB26B3" w:rsidRPr="00AB26B3" w14:paraId="50B2EA26" w14:textId="77777777">
        <w:tc>
          <w:tcPr>
            <w:tcW w:w="828" w:type="dxa"/>
            <w:tcBorders>
              <w:top w:val="nil"/>
              <w:left w:val="single" w:sz="4" w:space="0" w:color="auto"/>
              <w:bottom w:val="single" w:sz="4" w:space="0" w:color="auto"/>
              <w:right w:val="single" w:sz="4" w:space="0" w:color="auto"/>
            </w:tcBorders>
            <w:shd w:val="clear" w:color="auto" w:fill="C6EFCE"/>
            <w:noWrap/>
          </w:tcPr>
          <w:p w14:paraId="50B2EA1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w:t>
            </w:r>
          </w:p>
        </w:tc>
        <w:tc>
          <w:tcPr>
            <w:tcW w:w="1920" w:type="dxa"/>
            <w:tcBorders>
              <w:top w:val="nil"/>
              <w:left w:val="nil"/>
              <w:bottom w:val="single" w:sz="4" w:space="0" w:color="auto"/>
              <w:right w:val="single" w:sz="4" w:space="0" w:color="auto"/>
            </w:tcBorders>
            <w:shd w:val="clear" w:color="auto" w:fill="C6EFCE"/>
            <w:noWrap/>
          </w:tcPr>
          <w:p w14:paraId="50B2EA1B" w14:textId="2430C5C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Power up – 16860_Zjednodušiť efektívne fungovanie nového modelu trhu</w:t>
            </w:r>
            <w:r w:rsidR="00AB26B3" w:rsidRPr="00AB26B3">
              <w:rPr>
                <w:noProof/>
                <w:spacing w:val="-6"/>
                <w:lang w:val="sk-SK"/>
              </w:rPr>
              <w:t xml:space="preserve"> s </w:t>
            </w:r>
            <w:r w:rsidRPr="00AB26B3">
              <w:rPr>
                <w:noProof/>
                <w:spacing w:val="-6"/>
                <w:lang w:val="sk-SK"/>
              </w:rPr>
              <w:t>elektrinou</w:t>
            </w:r>
            <w:r w:rsidR="00AB26B3" w:rsidRPr="00AB26B3">
              <w:rPr>
                <w:noProof/>
                <w:spacing w:val="-6"/>
                <w:lang w:val="sk-SK"/>
              </w:rPr>
              <w:t xml:space="preserve"> a </w:t>
            </w:r>
            <w:r w:rsidRPr="00AB26B3">
              <w:rPr>
                <w:noProof/>
                <w:spacing w:val="-6"/>
                <w:lang w:val="sk-SK"/>
              </w:rPr>
              <w:t>rozvoj nových zariadení na výrobu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s </w:t>
            </w:r>
            <w:r w:rsidRPr="00AB26B3">
              <w:rPr>
                <w:noProof/>
                <w:spacing w:val="-6"/>
                <w:lang w:val="sk-SK"/>
              </w:rPr>
              <w:t>cieľom dosiahnuť ciele NEKP prostredníctvom vykonávania monitorovacieho mechanizmu, účasti reakcie na strane spotreby</w:t>
            </w:r>
            <w:r w:rsidR="00AB26B3" w:rsidRPr="00AB26B3">
              <w:rPr>
                <w:noProof/>
                <w:spacing w:val="-6"/>
                <w:lang w:val="sk-SK"/>
              </w:rPr>
              <w:t xml:space="preserve"> a </w:t>
            </w:r>
            <w:r w:rsidRPr="00AB26B3">
              <w:rPr>
                <w:noProof/>
                <w:spacing w:val="-6"/>
                <w:lang w:val="sk-SK"/>
              </w:rPr>
              <w:t>rozsiahlej reformy postupu udeľovania licencií pre nové OZE</w:t>
            </w:r>
          </w:p>
        </w:tc>
        <w:tc>
          <w:tcPr>
            <w:tcW w:w="1080" w:type="dxa"/>
            <w:tcBorders>
              <w:top w:val="nil"/>
              <w:left w:val="nil"/>
              <w:bottom w:val="single" w:sz="4" w:space="0" w:color="auto"/>
              <w:right w:val="single" w:sz="4" w:space="0" w:color="auto"/>
            </w:tcBorders>
            <w:shd w:val="clear" w:color="auto" w:fill="C6EFCE"/>
            <w:noWrap/>
          </w:tcPr>
          <w:p w14:paraId="50B2EA1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0" w:type="dxa"/>
            <w:tcBorders>
              <w:top w:val="nil"/>
              <w:left w:val="nil"/>
              <w:bottom w:val="single" w:sz="4" w:space="0" w:color="auto"/>
              <w:right w:val="single" w:sz="4" w:space="0" w:color="auto"/>
            </w:tcBorders>
            <w:shd w:val="clear" w:color="auto" w:fill="C6EFCE"/>
            <w:noWrap/>
          </w:tcPr>
          <w:p w14:paraId="50B2EA1D" w14:textId="3D0E5FD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Účet OZE – trhové reformy</w:t>
            </w:r>
            <w:r w:rsidR="00AB26B3" w:rsidRPr="00AB26B3">
              <w:rPr>
                <w:noProof/>
                <w:spacing w:val="-6"/>
                <w:lang w:val="sk-SK"/>
              </w:rPr>
              <w:t xml:space="preserve"> a </w:t>
            </w:r>
            <w:r w:rsidRPr="00AB26B3">
              <w:rPr>
                <w:noProof/>
                <w:spacing w:val="-6"/>
                <w:lang w:val="sk-SK"/>
              </w:rPr>
              <w:t>zjednodušenie udeľovania licencií</w:t>
            </w:r>
          </w:p>
        </w:tc>
        <w:tc>
          <w:tcPr>
            <w:tcW w:w="1629" w:type="dxa"/>
            <w:tcBorders>
              <w:top w:val="nil"/>
              <w:left w:val="nil"/>
              <w:bottom w:val="single" w:sz="4" w:space="0" w:color="auto"/>
              <w:right w:val="single" w:sz="4" w:space="0" w:color="auto"/>
            </w:tcBorders>
            <w:shd w:val="clear" w:color="auto" w:fill="C6EFCE"/>
            <w:noWrap/>
          </w:tcPr>
          <w:p w14:paraId="50B2EA1E" w14:textId="595BE28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všetkých príslušných právnych predpisov vrátane ministerských rozhodnutí</w:t>
            </w:r>
            <w:r w:rsidR="00AB26B3" w:rsidRPr="00AB26B3">
              <w:rPr>
                <w:noProof/>
                <w:spacing w:val="-6"/>
                <w:lang w:val="sk-SK"/>
              </w:rPr>
              <w:t xml:space="preserve"> a </w:t>
            </w:r>
            <w:r w:rsidRPr="00AB26B3">
              <w:rPr>
                <w:noProof/>
                <w:spacing w:val="-6"/>
                <w:lang w:val="sk-SK"/>
              </w:rPr>
              <w:t>regulačného rámca zo strany RAE</w:t>
            </w:r>
            <w:r w:rsidR="00AB26B3" w:rsidRPr="00AB26B3">
              <w:rPr>
                <w:noProof/>
                <w:spacing w:val="-6"/>
                <w:lang w:val="sk-SK"/>
              </w:rPr>
              <w:t xml:space="preserve"> a </w:t>
            </w:r>
            <w:r w:rsidRPr="00AB26B3">
              <w:rPr>
                <w:noProof/>
                <w:spacing w:val="-6"/>
                <w:lang w:val="sk-SK"/>
              </w:rPr>
              <w:t>DAPEEP</w:t>
            </w:r>
          </w:p>
        </w:tc>
        <w:tc>
          <w:tcPr>
            <w:tcW w:w="1248" w:type="dxa"/>
            <w:tcBorders>
              <w:top w:val="nil"/>
              <w:left w:val="nil"/>
              <w:bottom w:val="single" w:sz="4" w:space="0" w:color="auto"/>
              <w:right w:val="single" w:sz="4" w:space="0" w:color="auto"/>
            </w:tcBorders>
            <w:shd w:val="clear" w:color="auto" w:fill="C6EFCE"/>
            <w:noWrap/>
          </w:tcPr>
          <w:p w14:paraId="50B2EA1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4" w:type="dxa"/>
            <w:tcBorders>
              <w:top w:val="nil"/>
              <w:left w:val="nil"/>
              <w:bottom w:val="single" w:sz="4" w:space="0" w:color="auto"/>
              <w:right w:val="single" w:sz="4" w:space="0" w:color="auto"/>
            </w:tcBorders>
            <w:shd w:val="clear" w:color="auto" w:fill="C6EFCE"/>
            <w:noWrap/>
          </w:tcPr>
          <w:p w14:paraId="50B2EA2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48" w:type="dxa"/>
            <w:tcBorders>
              <w:top w:val="nil"/>
              <w:left w:val="nil"/>
              <w:bottom w:val="single" w:sz="4" w:space="0" w:color="auto"/>
              <w:right w:val="single" w:sz="4" w:space="0" w:color="auto"/>
            </w:tcBorders>
            <w:shd w:val="clear" w:color="auto" w:fill="C6EFCE"/>
            <w:noWrap/>
          </w:tcPr>
          <w:p w14:paraId="50B2EA2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56" w:type="dxa"/>
            <w:tcBorders>
              <w:top w:val="nil"/>
              <w:left w:val="nil"/>
              <w:bottom w:val="single" w:sz="4" w:space="0" w:color="auto"/>
              <w:right w:val="single" w:sz="4" w:space="0" w:color="auto"/>
            </w:tcBorders>
            <w:shd w:val="clear" w:color="auto" w:fill="C6EFCE"/>
            <w:noWrap/>
          </w:tcPr>
          <w:p w14:paraId="50B2EA2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56" w:type="dxa"/>
            <w:tcBorders>
              <w:top w:val="nil"/>
              <w:left w:val="nil"/>
              <w:bottom w:val="single" w:sz="4" w:space="0" w:color="auto"/>
              <w:right w:val="single" w:sz="4" w:space="0" w:color="auto"/>
            </w:tcBorders>
            <w:shd w:val="clear" w:color="auto" w:fill="C6EFCE"/>
            <w:noWrap/>
          </w:tcPr>
          <w:p w14:paraId="50B2EA2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278" w:type="dxa"/>
            <w:tcBorders>
              <w:top w:val="nil"/>
              <w:left w:val="nil"/>
              <w:bottom w:val="single" w:sz="4" w:space="0" w:color="auto"/>
              <w:right w:val="single" w:sz="4" w:space="0" w:color="auto"/>
            </w:tcBorders>
            <w:shd w:val="clear" w:color="auto" w:fill="C6EFCE"/>
            <w:noWrap/>
          </w:tcPr>
          <w:p w14:paraId="50B2EA24" w14:textId="5040A0F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Zriadenie</w:t>
            </w:r>
            <w:r w:rsidR="00AB26B3" w:rsidRPr="00AB26B3">
              <w:rPr>
                <w:noProof/>
                <w:spacing w:val="-6"/>
                <w:lang w:val="sk-SK"/>
              </w:rPr>
              <w:t xml:space="preserve"> a </w:t>
            </w:r>
            <w:r w:rsidRPr="00AB26B3">
              <w:rPr>
                <w:noProof/>
                <w:spacing w:val="-6"/>
                <w:lang w:val="sk-SK"/>
              </w:rPr>
              <w:t>plné fungovanie mechanizmu monitorovania trhu</w:t>
            </w:r>
            <w:r w:rsidR="00AB26B3" w:rsidRPr="00AB26B3">
              <w:rPr>
                <w:noProof/>
                <w:spacing w:val="-6"/>
                <w:lang w:val="sk-SK"/>
              </w:rPr>
              <w:t xml:space="preserve"> a </w:t>
            </w:r>
            <w:r w:rsidRPr="00AB26B3">
              <w:rPr>
                <w:noProof/>
                <w:spacing w:val="-6"/>
                <w:lang w:val="sk-SK"/>
              </w:rPr>
              <w:t>dohľadu nad trhom, ako aj plná účasť reakcie na strane dopytu na vyrovnávacom trhu.</w:t>
            </w:r>
          </w:p>
          <w:p w14:paraId="50B2EA25" w14:textId="5982F12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Dokončenie reformy týkajúcej sa zjednodušenia udeľovania licencií na obnoviteľné zdroje energie vrátane zjednodušenia</w:t>
            </w:r>
            <w:r w:rsidR="00AB26B3" w:rsidRPr="00AB26B3">
              <w:rPr>
                <w:noProof/>
                <w:spacing w:val="-6"/>
                <w:lang w:val="sk-SK"/>
              </w:rPr>
              <w:t xml:space="preserve"> a </w:t>
            </w:r>
            <w:r w:rsidRPr="00AB26B3">
              <w:rPr>
                <w:noProof/>
                <w:spacing w:val="-6"/>
                <w:lang w:val="sk-SK"/>
              </w:rPr>
              <w:t>digitalizácie postupov, krátkych</w:t>
            </w:r>
            <w:r w:rsidR="00AB26B3" w:rsidRPr="00AB26B3">
              <w:rPr>
                <w:noProof/>
                <w:spacing w:val="-6"/>
                <w:lang w:val="sk-SK"/>
              </w:rPr>
              <w:t xml:space="preserve"> a </w:t>
            </w:r>
            <w:r w:rsidRPr="00AB26B3">
              <w:rPr>
                <w:noProof/>
                <w:spacing w:val="-6"/>
                <w:lang w:val="sk-SK"/>
              </w:rPr>
              <w:t>záväzných administratívnych lehôt reakcie</w:t>
            </w:r>
            <w:r w:rsidR="00AB26B3" w:rsidRPr="00AB26B3">
              <w:rPr>
                <w:noProof/>
                <w:spacing w:val="-6"/>
                <w:lang w:val="sk-SK"/>
              </w:rPr>
              <w:t xml:space="preserve"> a </w:t>
            </w:r>
            <w:r w:rsidRPr="00AB26B3">
              <w:rPr>
                <w:noProof/>
                <w:spacing w:val="-6"/>
                <w:lang w:val="sk-SK"/>
              </w:rPr>
              <w:t>postupov zodpovednosti za zbytočné oneskorenia, skrátenia potrebnej dokumentácie</w:t>
            </w:r>
            <w:r w:rsidR="00AB26B3" w:rsidRPr="00AB26B3">
              <w:rPr>
                <w:noProof/>
                <w:spacing w:val="-6"/>
                <w:lang w:val="sk-SK"/>
              </w:rPr>
              <w:t xml:space="preserve"> a </w:t>
            </w:r>
            <w:r w:rsidRPr="00AB26B3">
              <w:rPr>
                <w:noProof/>
                <w:spacing w:val="-6"/>
                <w:lang w:val="sk-SK"/>
              </w:rPr>
              <w:t>postupov, ako aj nového osobitného rámca pre zariadenia na výrobu energie</w:t>
            </w:r>
            <w:r w:rsidR="00AB26B3" w:rsidRPr="00AB26B3">
              <w:rPr>
                <w:noProof/>
                <w:spacing w:val="-6"/>
                <w:lang w:val="sk-SK"/>
              </w:rPr>
              <w:t xml:space="preserve"> z </w:t>
            </w:r>
            <w:r w:rsidRPr="00AB26B3">
              <w:rPr>
                <w:noProof/>
                <w:spacing w:val="-6"/>
                <w:lang w:val="sk-SK"/>
              </w:rPr>
              <w:t>obnoviteľných zdrojov na mori.</w:t>
            </w:r>
          </w:p>
        </w:tc>
      </w:tr>
      <w:tr w:rsidR="00AB26B3" w:rsidRPr="00AB26B3" w14:paraId="50B2EA32" w14:textId="77777777">
        <w:tc>
          <w:tcPr>
            <w:tcW w:w="828" w:type="dxa"/>
            <w:tcBorders>
              <w:top w:val="nil"/>
              <w:left w:val="single" w:sz="4" w:space="0" w:color="auto"/>
              <w:bottom w:val="single" w:sz="4" w:space="0" w:color="auto"/>
              <w:right w:val="single" w:sz="4" w:space="0" w:color="auto"/>
            </w:tcBorders>
            <w:shd w:val="clear" w:color="auto" w:fill="C6EFCE"/>
            <w:noWrap/>
          </w:tcPr>
          <w:p w14:paraId="50B2EA2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w:t>
            </w:r>
          </w:p>
        </w:tc>
        <w:tc>
          <w:tcPr>
            <w:tcW w:w="1920" w:type="dxa"/>
            <w:tcBorders>
              <w:top w:val="nil"/>
              <w:left w:val="nil"/>
              <w:bottom w:val="single" w:sz="4" w:space="0" w:color="auto"/>
              <w:right w:val="single" w:sz="4" w:space="0" w:color="auto"/>
            </w:tcBorders>
            <w:shd w:val="clear" w:color="auto" w:fill="C6EFCE"/>
            <w:noWrap/>
          </w:tcPr>
          <w:p w14:paraId="50B2EA28" w14:textId="596D189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Power up – 16865_Reštrukturalizácia</w:t>
            </w:r>
            <w:r w:rsidR="00AB26B3" w:rsidRPr="00AB26B3">
              <w:rPr>
                <w:noProof/>
                <w:spacing w:val="-6"/>
                <w:lang w:val="sk-SK"/>
              </w:rPr>
              <w:t xml:space="preserve"> a </w:t>
            </w:r>
            <w:r w:rsidRPr="00AB26B3">
              <w:rPr>
                <w:noProof/>
                <w:spacing w:val="-6"/>
                <w:lang w:val="sk-SK"/>
              </w:rPr>
              <w:t>zvýšenie príjmov</w:t>
            </w:r>
            <w:r w:rsidR="00AB26B3" w:rsidRPr="00AB26B3">
              <w:rPr>
                <w:noProof/>
                <w:spacing w:val="-6"/>
                <w:lang w:val="sk-SK"/>
              </w:rPr>
              <w:t xml:space="preserve"> z </w:t>
            </w:r>
            <w:r w:rsidRPr="00AB26B3">
              <w:rPr>
                <w:noProof/>
                <w:spacing w:val="-6"/>
                <w:lang w:val="sk-SK"/>
              </w:rPr>
              <w:t>účtu KVET pre OZE</w:t>
            </w:r>
          </w:p>
        </w:tc>
        <w:tc>
          <w:tcPr>
            <w:tcW w:w="1080" w:type="dxa"/>
            <w:tcBorders>
              <w:top w:val="nil"/>
              <w:left w:val="nil"/>
              <w:bottom w:val="single" w:sz="4" w:space="0" w:color="auto"/>
              <w:right w:val="single" w:sz="4" w:space="0" w:color="auto"/>
            </w:tcBorders>
            <w:shd w:val="clear" w:color="auto" w:fill="C6EFCE"/>
            <w:noWrap/>
          </w:tcPr>
          <w:p w14:paraId="50B2EA2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200" w:type="dxa"/>
            <w:tcBorders>
              <w:top w:val="nil"/>
              <w:left w:val="nil"/>
              <w:bottom w:val="single" w:sz="4" w:space="0" w:color="auto"/>
              <w:right w:val="single" w:sz="4" w:space="0" w:color="auto"/>
            </w:tcBorders>
            <w:shd w:val="clear" w:color="auto" w:fill="C6EFCE"/>
            <w:noWrap/>
          </w:tcPr>
          <w:p w14:paraId="50B2EA2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Účet OZE – cieľ zvýšenia kapacity 1</w:t>
            </w:r>
          </w:p>
        </w:tc>
        <w:tc>
          <w:tcPr>
            <w:tcW w:w="1629" w:type="dxa"/>
            <w:tcBorders>
              <w:top w:val="nil"/>
              <w:left w:val="nil"/>
              <w:bottom w:val="single" w:sz="4" w:space="0" w:color="auto"/>
              <w:right w:val="single" w:sz="4" w:space="0" w:color="auto"/>
            </w:tcBorders>
            <w:shd w:val="clear" w:color="auto" w:fill="C6EFCE"/>
            <w:noWrap/>
          </w:tcPr>
          <w:p w14:paraId="50B2EA2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48" w:type="dxa"/>
            <w:tcBorders>
              <w:top w:val="nil"/>
              <w:left w:val="nil"/>
              <w:bottom w:val="single" w:sz="4" w:space="0" w:color="auto"/>
              <w:right w:val="single" w:sz="4" w:space="0" w:color="auto"/>
            </w:tcBorders>
            <w:shd w:val="clear" w:color="auto" w:fill="C6EFCE"/>
            <w:noWrap/>
          </w:tcPr>
          <w:p w14:paraId="50B2EA2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Nová kapacita (GW) obnoviteľných zdrojov energie uvedená do prevádzky</w:t>
            </w:r>
          </w:p>
        </w:tc>
        <w:tc>
          <w:tcPr>
            <w:tcW w:w="994" w:type="dxa"/>
            <w:tcBorders>
              <w:top w:val="nil"/>
              <w:left w:val="nil"/>
              <w:bottom w:val="single" w:sz="4" w:space="0" w:color="auto"/>
              <w:right w:val="single" w:sz="4" w:space="0" w:color="auto"/>
            </w:tcBorders>
            <w:shd w:val="clear" w:color="auto" w:fill="C6EFCE"/>
            <w:noWrap/>
          </w:tcPr>
          <w:p w14:paraId="50B2EA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648" w:type="dxa"/>
            <w:tcBorders>
              <w:top w:val="nil"/>
              <w:left w:val="nil"/>
              <w:bottom w:val="single" w:sz="4" w:space="0" w:color="auto"/>
              <w:right w:val="single" w:sz="4" w:space="0" w:color="auto"/>
            </w:tcBorders>
            <w:shd w:val="clear" w:color="auto" w:fill="C6EFCE"/>
            <w:noWrap/>
          </w:tcPr>
          <w:p w14:paraId="50B2EA2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w:t>
            </w:r>
          </w:p>
        </w:tc>
        <w:tc>
          <w:tcPr>
            <w:tcW w:w="956" w:type="dxa"/>
            <w:tcBorders>
              <w:top w:val="nil"/>
              <w:left w:val="nil"/>
              <w:bottom w:val="single" w:sz="4" w:space="0" w:color="auto"/>
              <w:right w:val="single" w:sz="4" w:space="0" w:color="auto"/>
            </w:tcBorders>
            <w:shd w:val="clear" w:color="auto" w:fill="C6EFCE"/>
            <w:noWrap/>
          </w:tcPr>
          <w:p w14:paraId="50B2EA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56" w:type="dxa"/>
            <w:tcBorders>
              <w:top w:val="nil"/>
              <w:left w:val="nil"/>
              <w:bottom w:val="single" w:sz="4" w:space="0" w:color="auto"/>
              <w:right w:val="single" w:sz="4" w:space="0" w:color="auto"/>
            </w:tcBorders>
            <w:shd w:val="clear" w:color="auto" w:fill="C6EFCE"/>
            <w:noWrap/>
          </w:tcPr>
          <w:p w14:paraId="50B2EA3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278" w:type="dxa"/>
            <w:tcBorders>
              <w:top w:val="nil"/>
              <w:left w:val="nil"/>
              <w:bottom w:val="single" w:sz="4" w:space="0" w:color="auto"/>
              <w:right w:val="single" w:sz="4" w:space="0" w:color="auto"/>
            </w:tcBorders>
            <w:shd w:val="clear" w:color="auto" w:fill="C6EFCE"/>
            <w:noWrap/>
          </w:tcPr>
          <w:p w14:paraId="50B2EA31" w14:textId="4B572A6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Inštalovaná</w:t>
            </w:r>
            <w:r w:rsidR="00AB26B3" w:rsidRPr="00AB26B3">
              <w:rPr>
                <w:noProof/>
                <w:spacing w:val="-6"/>
                <w:lang w:val="sk-SK"/>
              </w:rPr>
              <w:t xml:space="preserve"> a </w:t>
            </w:r>
            <w:r w:rsidRPr="00AB26B3">
              <w:rPr>
                <w:noProof/>
                <w:spacing w:val="-6"/>
                <w:lang w:val="sk-SK"/>
              </w:rPr>
              <w:t>funkčná nová kapacita OZE</w:t>
            </w:r>
          </w:p>
        </w:tc>
      </w:tr>
      <w:tr w:rsidR="00AB26B3" w:rsidRPr="00AB26B3" w14:paraId="50B2EA3E" w14:textId="77777777">
        <w:tc>
          <w:tcPr>
            <w:tcW w:w="828" w:type="dxa"/>
            <w:tcBorders>
              <w:top w:val="nil"/>
              <w:left w:val="single" w:sz="4" w:space="0" w:color="auto"/>
              <w:bottom w:val="single" w:sz="4" w:space="0" w:color="auto"/>
              <w:right w:val="single" w:sz="4" w:space="0" w:color="auto"/>
            </w:tcBorders>
            <w:shd w:val="clear" w:color="auto" w:fill="C6EFCE"/>
            <w:noWrap/>
            <w:hideMark/>
          </w:tcPr>
          <w:p w14:paraId="50B2EA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7</w:t>
            </w:r>
          </w:p>
        </w:tc>
        <w:tc>
          <w:tcPr>
            <w:tcW w:w="1920" w:type="dxa"/>
            <w:tcBorders>
              <w:top w:val="nil"/>
              <w:left w:val="nil"/>
              <w:bottom w:val="single" w:sz="4" w:space="0" w:color="auto"/>
              <w:right w:val="single" w:sz="4" w:space="0" w:color="auto"/>
            </w:tcBorders>
            <w:shd w:val="clear" w:color="auto" w:fill="C6EFCE"/>
            <w:noWrap/>
          </w:tcPr>
          <w:p w14:paraId="50B2EA34" w14:textId="0F85924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Power up – 16865_Reštrukturalizácia</w:t>
            </w:r>
            <w:r w:rsidR="00AB26B3" w:rsidRPr="00AB26B3">
              <w:rPr>
                <w:noProof/>
                <w:spacing w:val="-6"/>
                <w:lang w:val="sk-SK"/>
              </w:rPr>
              <w:t xml:space="preserve"> a </w:t>
            </w:r>
            <w:r w:rsidRPr="00AB26B3">
              <w:rPr>
                <w:noProof/>
                <w:spacing w:val="-6"/>
                <w:lang w:val="sk-SK"/>
              </w:rPr>
              <w:t>zvýšenie príjmov</w:t>
            </w:r>
            <w:r w:rsidR="00AB26B3" w:rsidRPr="00AB26B3">
              <w:rPr>
                <w:noProof/>
                <w:spacing w:val="-6"/>
                <w:lang w:val="sk-SK"/>
              </w:rPr>
              <w:t xml:space="preserve"> z </w:t>
            </w:r>
            <w:r w:rsidRPr="00AB26B3">
              <w:rPr>
                <w:noProof/>
                <w:spacing w:val="-6"/>
                <w:lang w:val="sk-SK"/>
              </w:rPr>
              <w:t>účtu KVET pre OZE</w:t>
            </w:r>
          </w:p>
        </w:tc>
        <w:tc>
          <w:tcPr>
            <w:tcW w:w="1080" w:type="dxa"/>
            <w:tcBorders>
              <w:top w:val="nil"/>
              <w:left w:val="nil"/>
              <w:bottom w:val="single" w:sz="4" w:space="0" w:color="auto"/>
              <w:right w:val="single" w:sz="4" w:space="0" w:color="auto"/>
            </w:tcBorders>
            <w:shd w:val="clear" w:color="auto" w:fill="C6EFCE"/>
            <w:noWrap/>
            <w:hideMark/>
          </w:tcPr>
          <w:p w14:paraId="50B2EA3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Cieľ</w:t>
            </w:r>
          </w:p>
        </w:tc>
        <w:tc>
          <w:tcPr>
            <w:tcW w:w="1200" w:type="dxa"/>
            <w:tcBorders>
              <w:top w:val="nil"/>
              <w:left w:val="nil"/>
              <w:bottom w:val="single" w:sz="4" w:space="0" w:color="auto"/>
              <w:right w:val="single" w:sz="4" w:space="0" w:color="auto"/>
            </w:tcBorders>
            <w:shd w:val="clear" w:color="auto" w:fill="C6EFCE"/>
            <w:noWrap/>
            <w:hideMark/>
          </w:tcPr>
          <w:p w14:paraId="50B2EA3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Účet OZE – cieľ zvýšenia kapacity 2</w:t>
            </w:r>
          </w:p>
        </w:tc>
        <w:tc>
          <w:tcPr>
            <w:tcW w:w="1629" w:type="dxa"/>
            <w:tcBorders>
              <w:top w:val="nil"/>
              <w:left w:val="nil"/>
              <w:bottom w:val="single" w:sz="4" w:space="0" w:color="auto"/>
              <w:right w:val="single" w:sz="4" w:space="0" w:color="auto"/>
            </w:tcBorders>
            <w:shd w:val="clear" w:color="auto" w:fill="C6EFCE"/>
            <w:noWrap/>
            <w:hideMark/>
          </w:tcPr>
          <w:p w14:paraId="50B2EA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1248" w:type="dxa"/>
            <w:tcBorders>
              <w:top w:val="nil"/>
              <w:left w:val="nil"/>
              <w:bottom w:val="single" w:sz="4" w:space="0" w:color="auto"/>
              <w:right w:val="single" w:sz="4" w:space="0" w:color="auto"/>
            </w:tcBorders>
            <w:shd w:val="clear" w:color="auto" w:fill="C6EFCE"/>
            <w:noWrap/>
            <w:hideMark/>
          </w:tcPr>
          <w:p w14:paraId="50B2EA3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Nová kapacita (GW) obnoviteľných zdrojov energie uvedená do prevádzky</w:t>
            </w:r>
          </w:p>
        </w:tc>
        <w:tc>
          <w:tcPr>
            <w:tcW w:w="994" w:type="dxa"/>
            <w:tcBorders>
              <w:top w:val="nil"/>
              <w:left w:val="nil"/>
              <w:bottom w:val="single" w:sz="4" w:space="0" w:color="auto"/>
              <w:right w:val="single" w:sz="4" w:space="0" w:color="auto"/>
            </w:tcBorders>
            <w:shd w:val="clear" w:color="auto" w:fill="C6EFCE"/>
            <w:noWrap/>
            <w:hideMark/>
          </w:tcPr>
          <w:p w14:paraId="50B2EA3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1</w:t>
            </w:r>
          </w:p>
        </w:tc>
        <w:tc>
          <w:tcPr>
            <w:tcW w:w="648" w:type="dxa"/>
            <w:tcBorders>
              <w:top w:val="nil"/>
              <w:left w:val="nil"/>
              <w:bottom w:val="single" w:sz="4" w:space="0" w:color="auto"/>
              <w:right w:val="single" w:sz="4" w:space="0" w:color="auto"/>
            </w:tcBorders>
            <w:shd w:val="clear" w:color="auto" w:fill="C6EFCE"/>
            <w:noWrap/>
            <w:hideMark/>
          </w:tcPr>
          <w:p w14:paraId="50B2EA3A" w14:textId="76EF439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w:t>
            </w:r>
          </w:p>
        </w:tc>
        <w:tc>
          <w:tcPr>
            <w:tcW w:w="956" w:type="dxa"/>
            <w:tcBorders>
              <w:top w:val="nil"/>
              <w:left w:val="nil"/>
              <w:bottom w:val="single" w:sz="4" w:space="0" w:color="auto"/>
              <w:right w:val="single" w:sz="4" w:space="0" w:color="auto"/>
            </w:tcBorders>
            <w:shd w:val="clear" w:color="auto" w:fill="C6EFCE"/>
            <w:noWrap/>
            <w:hideMark/>
          </w:tcPr>
          <w:p w14:paraId="50B2EA3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56" w:type="dxa"/>
            <w:tcBorders>
              <w:top w:val="nil"/>
              <w:left w:val="nil"/>
              <w:bottom w:val="single" w:sz="4" w:space="0" w:color="auto"/>
              <w:right w:val="single" w:sz="4" w:space="0" w:color="auto"/>
            </w:tcBorders>
            <w:shd w:val="clear" w:color="auto" w:fill="C6EFCE"/>
            <w:noWrap/>
            <w:hideMark/>
          </w:tcPr>
          <w:p w14:paraId="50B2EA3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278" w:type="dxa"/>
            <w:tcBorders>
              <w:top w:val="nil"/>
              <w:left w:val="nil"/>
              <w:bottom w:val="single" w:sz="4" w:space="0" w:color="auto"/>
              <w:right w:val="single" w:sz="4" w:space="0" w:color="auto"/>
            </w:tcBorders>
            <w:shd w:val="clear" w:color="auto" w:fill="C6EFCE"/>
            <w:noWrap/>
            <w:hideMark/>
          </w:tcPr>
          <w:p w14:paraId="50B2EA3D" w14:textId="217664A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Inštalovaná</w:t>
            </w:r>
            <w:r w:rsidR="00AB26B3" w:rsidRPr="00AB26B3">
              <w:rPr>
                <w:noProof/>
                <w:spacing w:val="-6"/>
                <w:lang w:val="sk-SK"/>
              </w:rPr>
              <w:t xml:space="preserve"> a </w:t>
            </w:r>
            <w:r w:rsidRPr="00AB26B3">
              <w:rPr>
                <w:noProof/>
                <w:spacing w:val="-6"/>
                <w:lang w:val="sk-SK"/>
              </w:rPr>
              <w:t>funkčná nová kapacita OZE</w:t>
            </w:r>
          </w:p>
        </w:tc>
      </w:tr>
      <w:tr w:rsidR="00AB26B3" w:rsidRPr="00AB26B3" w14:paraId="50B2EA4A" w14:textId="77777777">
        <w:trPr>
          <w:trHeight w:val="1362"/>
        </w:trPr>
        <w:tc>
          <w:tcPr>
            <w:tcW w:w="828" w:type="dxa"/>
            <w:tcBorders>
              <w:top w:val="nil"/>
              <w:left w:val="single" w:sz="4" w:space="0" w:color="auto"/>
              <w:bottom w:val="single" w:sz="4" w:space="0" w:color="auto"/>
              <w:right w:val="single" w:sz="4" w:space="0" w:color="auto"/>
            </w:tcBorders>
            <w:shd w:val="clear" w:color="auto" w:fill="C6EFCE"/>
            <w:noWrap/>
            <w:hideMark/>
          </w:tcPr>
          <w:p w14:paraId="50B2EA3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8</w:t>
            </w:r>
          </w:p>
        </w:tc>
        <w:tc>
          <w:tcPr>
            <w:tcW w:w="1920" w:type="dxa"/>
            <w:tcBorders>
              <w:top w:val="nil"/>
              <w:left w:val="nil"/>
              <w:bottom w:val="single" w:sz="4" w:space="0" w:color="auto"/>
              <w:right w:val="single" w:sz="4" w:space="0" w:color="auto"/>
            </w:tcBorders>
            <w:shd w:val="clear" w:color="auto" w:fill="C6EFCE"/>
            <w:noWrap/>
          </w:tcPr>
          <w:p w14:paraId="50B2EA40" w14:textId="593A297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Power up – 16865_Reštrukturalizácia</w:t>
            </w:r>
            <w:r w:rsidR="00AB26B3" w:rsidRPr="00AB26B3">
              <w:rPr>
                <w:noProof/>
                <w:spacing w:val="-6"/>
                <w:lang w:val="sk-SK"/>
              </w:rPr>
              <w:t xml:space="preserve"> a </w:t>
            </w:r>
            <w:r w:rsidRPr="00AB26B3">
              <w:rPr>
                <w:noProof/>
                <w:spacing w:val="-6"/>
                <w:lang w:val="sk-SK"/>
              </w:rPr>
              <w:t>zvýšenie príjmov</w:t>
            </w:r>
            <w:r w:rsidR="00AB26B3" w:rsidRPr="00AB26B3">
              <w:rPr>
                <w:noProof/>
                <w:spacing w:val="-6"/>
                <w:lang w:val="sk-SK"/>
              </w:rPr>
              <w:t xml:space="preserve"> z </w:t>
            </w:r>
            <w:r w:rsidRPr="00AB26B3">
              <w:rPr>
                <w:noProof/>
                <w:spacing w:val="-6"/>
                <w:lang w:val="sk-SK"/>
              </w:rPr>
              <w:t>účtu KVET pre OZE</w:t>
            </w:r>
          </w:p>
        </w:tc>
        <w:tc>
          <w:tcPr>
            <w:tcW w:w="1080" w:type="dxa"/>
            <w:tcBorders>
              <w:top w:val="nil"/>
              <w:left w:val="nil"/>
              <w:bottom w:val="single" w:sz="4" w:space="0" w:color="auto"/>
              <w:right w:val="single" w:sz="4" w:space="0" w:color="auto"/>
            </w:tcBorders>
            <w:shd w:val="clear" w:color="auto" w:fill="C6EFCE"/>
            <w:noWrap/>
            <w:hideMark/>
          </w:tcPr>
          <w:p w14:paraId="50B2EA4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Cieľ</w:t>
            </w:r>
          </w:p>
        </w:tc>
        <w:tc>
          <w:tcPr>
            <w:tcW w:w="1200" w:type="dxa"/>
            <w:tcBorders>
              <w:top w:val="nil"/>
              <w:left w:val="nil"/>
              <w:bottom w:val="single" w:sz="4" w:space="0" w:color="auto"/>
              <w:right w:val="single" w:sz="4" w:space="0" w:color="auto"/>
            </w:tcBorders>
            <w:shd w:val="clear" w:color="auto" w:fill="C6EFCE"/>
            <w:noWrap/>
            <w:hideMark/>
          </w:tcPr>
          <w:p w14:paraId="50B2EA4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Účet OZE – cieľ zvýšenia kapacity 3 </w:t>
            </w:r>
          </w:p>
        </w:tc>
        <w:tc>
          <w:tcPr>
            <w:tcW w:w="1629" w:type="dxa"/>
            <w:tcBorders>
              <w:top w:val="nil"/>
              <w:left w:val="nil"/>
              <w:bottom w:val="single" w:sz="4" w:space="0" w:color="auto"/>
              <w:right w:val="single" w:sz="4" w:space="0" w:color="auto"/>
            </w:tcBorders>
            <w:shd w:val="clear" w:color="auto" w:fill="C6EFCE"/>
            <w:noWrap/>
            <w:hideMark/>
          </w:tcPr>
          <w:p w14:paraId="50B2EA4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1248" w:type="dxa"/>
            <w:tcBorders>
              <w:top w:val="nil"/>
              <w:left w:val="nil"/>
              <w:bottom w:val="single" w:sz="4" w:space="0" w:color="auto"/>
              <w:right w:val="single" w:sz="4" w:space="0" w:color="auto"/>
            </w:tcBorders>
            <w:shd w:val="clear" w:color="auto" w:fill="C6EFCE"/>
            <w:noWrap/>
            <w:hideMark/>
          </w:tcPr>
          <w:p w14:paraId="50B2EA4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Nová kapacita (GW) obnoviteľných zdrojov energie uvedená do prevádzky</w:t>
            </w:r>
          </w:p>
        </w:tc>
        <w:tc>
          <w:tcPr>
            <w:tcW w:w="994" w:type="dxa"/>
            <w:tcBorders>
              <w:top w:val="nil"/>
              <w:left w:val="nil"/>
              <w:bottom w:val="single" w:sz="4" w:space="0" w:color="auto"/>
              <w:right w:val="single" w:sz="4" w:space="0" w:color="auto"/>
            </w:tcBorders>
            <w:shd w:val="clear" w:color="auto" w:fill="C6EFCE"/>
            <w:noWrap/>
            <w:hideMark/>
          </w:tcPr>
          <w:p w14:paraId="50B2EA4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2</w:t>
            </w:r>
          </w:p>
        </w:tc>
        <w:tc>
          <w:tcPr>
            <w:tcW w:w="648" w:type="dxa"/>
            <w:tcBorders>
              <w:top w:val="nil"/>
              <w:left w:val="nil"/>
              <w:bottom w:val="single" w:sz="4" w:space="0" w:color="auto"/>
              <w:right w:val="single" w:sz="4" w:space="0" w:color="auto"/>
            </w:tcBorders>
            <w:shd w:val="clear" w:color="auto" w:fill="C6EFCE"/>
            <w:noWrap/>
            <w:hideMark/>
          </w:tcPr>
          <w:p w14:paraId="50B2EA46" w14:textId="5401B9E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w:t>
            </w:r>
          </w:p>
        </w:tc>
        <w:tc>
          <w:tcPr>
            <w:tcW w:w="956" w:type="dxa"/>
            <w:tcBorders>
              <w:top w:val="nil"/>
              <w:left w:val="nil"/>
              <w:bottom w:val="single" w:sz="4" w:space="0" w:color="auto"/>
              <w:right w:val="single" w:sz="4" w:space="0" w:color="auto"/>
            </w:tcBorders>
            <w:shd w:val="clear" w:color="auto" w:fill="C6EFCE"/>
            <w:noWrap/>
            <w:hideMark/>
          </w:tcPr>
          <w:p w14:paraId="50B2EA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56" w:type="dxa"/>
            <w:tcBorders>
              <w:top w:val="nil"/>
              <w:left w:val="nil"/>
              <w:bottom w:val="single" w:sz="4" w:space="0" w:color="auto"/>
              <w:right w:val="single" w:sz="4" w:space="0" w:color="auto"/>
            </w:tcBorders>
            <w:shd w:val="clear" w:color="auto" w:fill="C6EFCE"/>
            <w:noWrap/>
            <w:hideMark/>
          </w:tcPr>
          <w:p w14:paraId="50B2EA4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278" w:type="dxa"/>
            <w:tcBorders>
              <w:top w:val="nil"/>
              <w:left w:val="nil"/>
              <w:bottom w:val="single" w:sz="4" w:space="0" w:color="auto"/>
              <w:right w:val="single" w:sz="4" w:space="0" w:color="auto"/>
            </w:tcBorders>
            <w:shd w:val="clear" w:color="auto" w:fill="C6EFCE"/>
            <w:noWrap/>
            <w:hideMark/>
          </w:tcPr>
          <w:p w14:paraId="50B2EA49" w14:textId="3927373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Inštalovaná</w:t>
            </w:r>
            <w:r w:rsidR="00AB26B3" w:rsidRPr="00AB26B3">
              <w:rPr>
                <w:noProof/>
                <w:spacing w:val="-6"/>
                <w:lang w:val="sk-SK"/>
              </w:rPr>
              <w:t xml:space="preserve"> a </w:t>
            </w:r>
            <w:r w:rsidRPr="00AB26B3">
              <w:rPr>
                <w:noProof/>
                <w:spacing w:val="-6"/>
                <w:lang w:val="sk-SK"/>
              </w:rPr>
              <w:t>funkčná nová kapacita OZE</w:t>
            </w:r>
          </w:p>
        </w:tc>
      </w:tr>
    </w:tbl>
    <w:p w14:paraId="52EFDA14"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pPr>
    </w:p>
    <w:p w14:paraId="2207DF96" w14:textId="77777777" w:rsidR="00302FC1" w:rsidRPr="00AB26B3" w:rsidRDefault="00D64F26">
      <w:pPr>
        <w:pStyle w:val="P68B1DB1-Normal9"/>
        <w:spacing w:after="0" w:line="240" w:lineRule="auto"/>
        <w:rPr>
          <w:rFonts w:ascii="Times New Roman" w:hAnsi="Times New Roman"/>
          <w:noProof/>
          <w:spacing w:val="-6"/>
          <w:lang w:val="sk-SK"/>
        </w:rPr>
      </w:pPr>
      <w:r w:rsidRPr="00AB26B3">
        <w:rPr>
          <w:rFonts w:ascii="Times New Roman" w:hAnsi="Times New Roman"/>
          <w:noProof/>
          <w:spacing w:val="-6"/>
          <w:lang w:val="sk-SK"/>
        </w:rPr>
        <w:br w:type="page"/>
      </w:r>
    </w:p>
    <w:p w14:paraId="50B2EA4C" w14:textId="568E094E"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 Príkon</w:t>
      </w:r>
    </w:p>
    <w:p w14:paraId="50B2EA4D" w14:textId="77777777" w:rsidR="00302FC1" w:rsidRPr="00AB26B3" w:rsidRDefault="00D64F26">
      <w:pPr>
        <w:pStyle w:val="P68B1DB1-Normal5"/>
        <w:spacing w:before="120" w:after="120" w:line="240" w:lineRule="auto"/>
        <w:rPr>
          <w:rFonts w:cs="Times New Roman"/>
          <w:noProof/>
          <w:spacing w:val="-6"/>
          <w:lang w:val="sk-SK"/>
        </w:rPr>
      </w:pPr>
      <w:r w:rsidRPr="00AB26B3">
        <w:rPr>
          <w:noProof/>
          <w:spacing w:val="-6"/>
          <w:lang w:val="sk-SK"/>
        </w:rPr>
        <w:t>Do tejto skupiny patria tieto opatrenia:</w:t>
      </w:r>
    </w:p>
    <w:p w14:paraId="50B2EA4E" w14:textId="77777777"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Podpora inštalácie skladovacích systémov na zvýšenie prieniku OZE (ID: 16926)</w:t>
      </w:r>
    </w:p>
    <w:p w14:paraId="50B2EA4F" w14:textId="77777777"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Revitalizačné opatrenia najviac postihnutých území (územia spravodlivej transformácie) (ID: 16871)</w:t>
      </w:r>
    </w:p>
    <w:p w14:paraId="50B2EA50" w14:textId="1AD70272"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Modernizácia siete HEDNO zameraná na zvýšenie odolnosti</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ochranu životného prostredia (ID: 16901)</w:t>
      </w:r>
    </w:p>
    <w:p w14:paraId="50B2EA51" w14:textId="323AE7E3"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Modernizácia nadzemnej siete HEDNO</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lesných oblastiach (ID: 16900)</w:t>
      </w:r>
    </w:p>
    <w:p w14:paraId="50B2EA52" w14:textId="320F12DA"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Zvýšenie inštalovaného výkonu</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rozvodniach HV/MV gréckeho prevádzkovateľa elektrickej distribučnej siete (HEDNO) pre nové pripojenie OZE (ID: 16899)</w:t>
      </w:r>
    </w:p>
    <w:tbl>
      <w:tblPr>
        <w:tblpPr w:leftFromText="180" w:rightFromText="180" w:vertAnchor="text" w:tblpXSpec="center" w:tblpY="1"/>
        <w:tblOverlap w:val="never"/>
        <w:tblW w:w="1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039"/>
        <w:gridCol w:w="1080"/>
        <w:gridCol w:w="1202"/>
        <w:gridCol w:w="1531"/>
        <w:gridCol w:w="1320"/>
        <w:gridCol w:w="916"/>
        <w:gridCol w:w="795"/>
        <w:gridCol w:w="1104"/>
        <w:gridCol w:w="712"/>
        <w:gridCol w:w="3281"/>
      </w:tblGrid>
      <w:tr w:rsidR="00302FC1" w:rsidRPr="00AB26B3" w14:paraId="50B2EA5B" w14:textId="77777777">
        <w:trPr>
          <w:cantSplit/>
          <w:trHeight w:val="927"/>
          <w:tblHeader/>
        </w:trPr>
        <w:tc>
          <w:tcPr>
            <w:tcW w:w="817" w:type="dxa"/>
            <w:vMerge w:val="restart"/>
            <w:shd w:val="clear" w:color="auto" w:fill="BDD7EE"/>
            <w:vAlign w:val="center"/>
            <w:hideMark/>
          </w:tcPr>
          <w:p w14:paraId="50B2EA53" w14:textId="4178CAC2"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w:t>
            </w:r>
            <w:r w:rsidRPr="00AB26B3">
              <w:rPr>
                <w:noProof/>
                <w:spacing w:val="-6"/>
                <w:lang w:val="sk-SK"/>
              </w:rPr>
              <w:br/>
              <w:t>Nie</w:t>
            </w:r>
          </w:p>
        </w:tc>
        <w:tc>
          <w:tcPr>
            <w:tcW w:w="2069" w:type="dxa"/>
            <w:vMerge w:val="restart"/>
            <w:shd w:val="clear" w:color="auto" w:fill="BDD7EE"/>
            <w:vAlign w:val="center"/>
            <w:hideMark/>
          </w:tcPr>
          <w:p w14:paraId="50B2EA54"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Súvisiace opatrenie (reforma alebo investícia)</w:t>
            </w:r>
          </w:p>
        </w:tc>
        <w:tc>
          <w:tcPr>
            <w:tcW w:w="1094" w:type="dxa"/>
            <w:vMerge w:val="restart"/>
            <w:shd w:val="clear" w:color="auto" w:fill="BDD7EE"/>
            <w:vAlign w:val="center"/>
            <w:hideMark/>
          </w:tcPr>
          <w:p w14:paraId="50B2EA55"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Míľnik/cieľ</w:t>
            </w:r>
          </w:p>
        </w:tc>
        <w:tc>
          <w:tcPr>
            <w:tcW w:w="1206" w:type="dxa"/>
            <w:vMerge w:val="restart"/>
            <w:shd w:val="clear" w:color="auto" w:fill="BDD7EE"/>
            <w:vAlign w:val="center"/>
            <w:hideMark/>
          </w:tcPr>
          <w:p w14:paraId="50B2EA56"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Názov</w:t>
            </w:r>
          </w:p>
        </w:tc>
        <w:tc>
          <w:tcPr>
            <w:tcW w:w="1553" w:type="dxa"/>
            <w:vMerge w:val="restart"/>
            <w:shd w:val="clear" w:color="auto" w:fill="BDD7EE"/>
            <w:vAlign w:val="center"/>
            <w:hideMark/>
          </w:tcPr>
          <w:p w14:paraId="50B2EA57" w14:textId="600453A4"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Kvalitatívne ukazovatele (pre míľniky)</w:t>
            </w:r>
          </w:p>
        </w:tc>
        <w:tc>
          <w:tcPr>
            <w:tcW w:w="3070" w:type="dxa"/>
            <w:gridSpan w:val="3"/>
            <w:shd w:val="clear" w:color="auto" w:fill="BDD7EE"/>
            <w:vAlign w:val="center"/>
            <w:hideMark/>
          </w:tcPr>
          <w:p w14:paraId="50B2EA58" w14:textId="6BB09FFB"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Kvantitatívne ukazovatele </w:t>
            </w:r>
            <w:r w:rsidRPr="00AB26B3">
              <w:rPr>
                <w:noProof/>
                <w:spacing w:val="-6"/>
                <w:lang w:val="sk-SK"/>
              </w:rPr>
              <w:br/>
              <w:t>(pre ciele)</w:t>
            </w:r>
          </w:p>
        </w:tc>
        <w:tc>
          <w:tcPr>
            <w:tcW w:w="1642" w:type="dxa"/>
            <w:gridSpan w:val="2"/>
            <w:shd w:val="clear" w:color="auto" w:fill="BDD7EE"/>
            <w:vAlign w:val="center"/>
            <w:hideMark/>
          </w:tcPr>
          <w:p w14:paraId="50B2EA59"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Orientačný harmonogram dokončenia </w:t>
            </w:r>
          </w:p>
        </w:tc>
        <w:tc>
          <w:tcPr>
            <w:tcW w:w="3331" w:type="dxa"/>
            <w:vMerge w:val="restart"/>
            <w:shd w:val="clear" w:color="auto" w:fill="BDD7EE"/>
            <w:vAlign w:val="center"/>
            <w:hideMark/>
          </w:tcPr>
          <w:p w14:paraId="50B2EA5A" w14:textId="3236E5BF"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0B2EA67" w14:textId="77777777">
        <w:trPr>
          <w:cantSplit/>
          <w:trHeight w:val="1013"/>
          <w:tblHeader/>
        </w:trPr>
        <w:tc>
          <w:tcPr>
            <w:tcW w:w="817" w:type="dxa"/>
            <w:vMerge/>
            <w:vAlign w:val="center"/>
            <w:hideMark/>
          </w:tcPr>
          <w:p w14:paraId="50B2EA5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69" w:type="dxa"/>
            <w:vMerge/>
            <w:vAlign w:val="center"/>
            <w:hideMark/>
          </w:tcPr>
          <w:p w14:paraId="50B2EA5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94" w:type="dxa"/>
            <w:vMerge/>
            <w:vAlign w:val="center"/>
            <w:hideMark/>
          </w:tcPr>
          <w:p w14:paraId="50B2EA5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6" w:type="dxa"/>
            <w:vMerge/>
            <w:vAlign w:val="center"/>
            <w:hideMark/>
          </w:tcPr>
          <w:p w14:paraId="50B2EA5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53" w:type="dxa"/>
            <w:vMerge/>
            <w:vAlign w:val="center"/>
            <w:hideMark/>
          </w:tcPr>
          <w:p w14:paraId="50B2EA6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38" w:type="dxa"/>
            <w:shd w:val="clear" w:color="auto" w:fill="BDD7EE"/>
            <w:vAlign w:val="center"/>
            <w:hideMark/>
          </w:tcPr>
          <w:p w14:paraId="50B2EA61"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Merná jednotka</w:t>
            </w:r>
          </w:p>
        </w:tc>
        <w:tc>
          <w:tcPr>
            <w:tcW w:w="927" w:type="dxa"/>
            <w:shd w:val="clear" w:color="auto" w:fill="BDD7EE"/>
            <w:vAlign w:val="center"/>
            <w:hideMark/>
          </w:tcPr>
          <w:p w14:paraId="50B2EA62"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Základná </w:t>
            </w:r>
          </w:p>
        </w:tc>
        <w:tc>
          <w:tcPr>
            <w:tcW w:w="805" w:type="dxa"/>
            <w:shd w:val="clear" w:color="auto" w:fill="BDD7EE"/>
            <w:vAlign w:val="center"/>
            <w:hideMark/>
          </w:tcPr>
          <w:p w14:paraId="50B2EA63"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Cieľ </w:t>
            </w:r>
          </w:p>
        </w:tc>
        <w:tc>
          <w:tcPr>
            <w:tcW w:w="922" w:type="dxa"/>
            <w:shd w:val="clear" w:color="auto" w:fill="BDD7EE"/>
            <w:vAlign w:val="center"/>
            <w:hideMark/>
          </w:tcPr>
          <w:p w14:paraId="50B2EA64"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Štvrtina</w:t>
            </w:r>
          </w:p>
        </w:tc>
        <w:tc>
          <w:tcPr>
            <w:tcW w:w="720" w:type="dxa"/>
            <w:shd w:val="clear" w:color="auto" w:fill="BDD7EE"/>
            <w:vAlign w:val="center"/>
            <w:hideMark/>
          </w:tcPr>
          <w:p w14:paraId="50B2EA65"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Rok</w:t>
            </w:r>
          </w:p>
        </w:tc>
        <w:tc>
          <w:tcPr>
            <w:tcW w:w="3331" w:type="dxa"/>
            <w:vMerge/>
            <w:vAlign w:val="center"/>
            <w:hideMark/>
          </w:tcPr>
          <w:p w14:paraId="50B2EA6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50B2EA73" w14:textId="77777777">
        <w:tc>
          <w:tcPr>
            <w:tcW w:w="817" w:type="dxa"/>
            <w:shd w:val="clear" w:color="auto" w:fill="C6EFCE"/>
            <w:noWrap/>
          </w:tcPr>
          <w:p w14:paraId="50B2EA6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w:t>
            </w:r>
          </w:p>
        </w:tc>
        <w:tc>
          <w:tcPr>
            <w:tcW w:w="2069" w:type="dxa"/>
            <w:shd w:val="clear" w:color="auto" w:fill="C6EFCE"/>
            <w:noWrap/>
          </w:tcPr>
          <w:p w14:paraId="50B2EA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Power up – 16871_Revitalizačné opatrenia najviac postihnutých území (územia spravodlivej transformácie)</w:t>
            </w:r>
          </w:p>
        </w:tc>
        <w:tc>
          <w:tcPr>
            <w:tcW w:w="1094" w:type="dxa"/>
            <w:shd w:val="clear" w:color="auto" w:fill="C6EFCE"/>
            <w:noWrap/>
          </w:tcPr>
          <w:p w14:paraId="50B2EA6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6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Rekultivácia pôdy – rámcový zákon</w:t>
            </w:r>
          </w:p>
        </w:tc>
        <w:tc>
          <w:tcPr>
            <w:tcW w:w="1553" w:type="dxa"/>
            <w:shd w:val="clear" w:color="auto" w:fill="C6EFCE"/>
            <w:noWrap/>
          </w:tcPr>
          <w:p w14:paraId="50B2EA6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w:t>
            </w:r>
          </w:p>
        </w:tc>
        <w:tc>
          <w:tcPr>
            <w:tcW w:w="1338" w:type="dxa"/>
            <w:shd w:val="clear" w:color="auto" w:fill="C6EFCE"/>
            <w:noWrap/>
          </w:tcPr>
          <w:p w14:paraId="50B2EA6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6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6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20" w:type="dxa"/>
            <w:shd w:val="clear" w:color="auto" w:fill="C6EFCE"/>
            <w:noWrap/>
          </w:tcPr>
          <w:p w14:paraId="50B2EA7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331" w:type="dxa"/>
            <w:shd w:val="clear" w:color="auto" w:fill="C6EFCE"/>
            <w:noWrap/>
          </w:tcPr>
          <w:p w14:paraId="50B2EA72" w14:textId="3FA8F9C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Schválenie</w:t>
            </w:r>
            <w:r w:rsidR="00AB26B3" w:rsidRPr="00AB26B3">
              <w:rPr>
                <w:noProof/>
                <w:spacing w:val="-6"/>
                <w:lang w:val="sk-SK"/>
              </w:rPr>
              <w:t xml:space="preserve"> a </w:t>
            </w:r>
            <w:r w:rsidRPr="00AB26B3">
              <w:rPr>
                <w:noProof/>
                <w:spacing w:val="-6"/>
                <w:lang w:val="sk-SK"/>
              </w:rPr>
              <w:t>nadobudnutie účinnosti zmluvného zákona</w:t>
            </w:r>
            <w:r w:rsidR="00AB26B3" w:rsidRPr="00AB26B3">
              <w:rPr>
                <w:noProof/>
                <w:spacing w:val="-6"/>
                <w:lang w:val="sk-SK"/>
              </w:rPr>
              <w:t xml:space="preserve"> o </w:t>
            </w:r>
            <w:r w:rsidRPr="00AB26B3">
              <w:rPr>
                <w:noProof/>
                <w:spacing w:val="-6"/>
                <w:lang w:val="sk-SK"/>
              </w:rPr>
              <w:t>rámcovom programe, ktorým sa určujú geografické oblasti, ktoré sa majú previesť</w:t>
            </w:r>
            <w:r w:rsidR="00AB26B3" w:rsidRPr="00AB26B3">
              <w:rPr>
                <w:noProof/>
                <w:spacing w:val="-6"/>
                <w:lang w:val="sk-SK"/>
              </w:rPr>
              <w:t xml:space="preserve"> z </w:t>
            </w:r>
            <w:r w:rsidRPr="00AB26B3">
              <w:rPr>
                <w:noProof/>
                <w:spacing w:val="-6"/>
                <w:lang w:val="sk-SK"/>
              </w:rPr>
              <w:t>verejnej elektrárenskej spoločnosti na štát, obsah projektových štúdií, rozdelenie zodpovednosti medzi všetky zúčastnené strany, mechanizmy riadenia, harmonogram vykonávania</w:t>
            </w:r>
            <w:r w:rsidR="00AB26B3" w:rsidRPr="00AB26B3">
              <w:rPr>
                <w:noProof/>
                <w:spacing w:val="-6"/>
                <w:lang w:val="sk-SK"/>
              </w:rPr>
              <w:t xml:space="preserve"> a </w:t>
            </w:r>
            <w:r w:rsidRPr="00AB26B3">
              <w:rPr>
                <w:noProof/>
                <w:spacing w:val="-6"/>
                <w:lang w:val="sk-SK"/>
              </w:rPr>
              <w:t>rozpočet.</w:t>
            </w:r>
          </w:p>
        </w:tc>
      </w:tr>
      <w:tr w:rsidR="00302FC1" w:rsidRPr="00AB26B3" w14:paraId="50B2EA83" w14:textId="77777777">
        <w:tc>
          <w:tcPr>
            <w:tcW w:w="817" w:type="dxa"/>
            <w:shd w:val="clear" w:color="auto" w:fill="C6EFCE"/>
            <w:noWrap/>
          </w:tcPr>
          <w:p w14:paraId="50B2EA7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w:t>
            </w:r>
          </w:p>
        </w:tc>
        <w:tc>
          <w:tcPr>
            <w:tcW w:w="2069" w:type="dxa"/>
            <w:shd w:val="clear" w:color="auto" w:fill="C6EFCE"/>
            <w:noWrap/>
          </w:tcPr>
          <w:p w14:paraId="50B2EA77" w14:textId="70DDEDD2" w:rsidR="00302FC1" w:rsidRPr="00AB26B3" w:rsidRDefault="00D64F26">
            <w:pPr>
              <w:pStyle w:val="P68B1DB1-Normal12"/>
              <w:spacing w:after="0" w:line="240" w:lineRule="auto"/>
              <w:rPr>
                <w:noProof/>
                <w:spacing w:val="-6"/>
                <w:lang w:val="sk-SK"/>
              </w:rPr>
            </w:pPr>
            <w:r w:rsidRPr="00AB26B3">
              <w:rPr>
                <w:noProof/>
                <w:spacing w:val="-6"/>
                <w:lang w:val="sk-SK"/>
              </w:rPr>
              <w:t>1 – 1.1. Power up – 16871_Revitalizačné opatrenia najviac postihnutých území (územia spravodlivej transformácie)</w:t>
            </w:r>
          </w:p>
        </w:tc>
        <w:tc>
          <w:tcPr>
            <w:tcW w:w="1094" w:type="dxa"/>
            <w:shd w:val="clear" w:color="auto" w:fill="C6EFCE"/>
            <w:noWrap/>
          </w:tcPr>
          <w:p w14:paraId="50B2EA7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Rekultivácia pôdy – mestské plány</w:t>
            </w:r>
          </w:p>
        </w:tc>
        <w:tc>
          <w:tcPr>
            <w:tcW w:w="1553" w:type="dxa"/>
            <w:shd w:val="clear" w:color="auto" w:fill="C6EFCE"/>
            <w:noWrap/>
          </w:tcPr>
          <w:p w14:paraId="50B2EA7B" w14:textId="1289D78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Schvaľovanie osobitných mestských plánov Ústrednou radou pre otázky</w:t>
            </w:r>
            <w:r w:rsidR="00AB26B3" w:rsidRPr="00AB26B3">
              <w:rPr>
                <w:noProof/>
                <w:spacing w:val="-6"/>
                <w:lang w:val="sk-SK"/>
              </w:rPr>
              <w:t xml:space="preserve"> a </w:t>
            </w:r>
            <w:r w:rsidRPr="00AB26B3">
              <w:rPr>
                <w:noProof/>
                <w:spacing w:val="-6"/>
                <w:lang w:val="sk-SK"/>
              </w:rPr>
              <w:t>spory týkajúce sa územného plánovania; Rekultivácia pôdy (v ha) dokončená</w:t>
            </w:r>
            <w:r w:rsidR="00AB26B3" w:rsidRPr="00AB26B3">
              <w:rPr>
                <w:noProof/>
                <w:spacing w:val="-6"/>
                <w:lang w:val="sk-SK"/>
              </w:rPr>
              <w:t xml:space="preserve"> a </w:t>
            </w:r>
            <w:r w:rsidRPr="00AB26B3">
              <w:rPr>
                <w:noProof/>
                <w:spacing w:val="-6"/>
                <w:lang w:val="sk-SK"/>
              </w:rPr>
              <w:t>osvedčená nezávislým certifikačným orgánom</w:t>
            </w:r>
          </w:p>
        </w:tc>
        <w:tc>
          <w:tcPr>
            <w:tcW w:w="1338" w:type="dxa"/>
            <w:shd w:val="clear" w:color="auto" w:fill="C6EFCE"/>
            <w:noWrap/>
          </w:tcPr>
          <w:p w14:paraId="50B2EA7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7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7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7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20" w:type="dxa"/>
            <w:shd w:val="clear" w:color="auto" w:fill="C6EFCE"/>
            <w:noWrap/>
          </w:tcPr>
          <w:p w14:paraId="50B2EA8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331" w:type="dxa"/>
            <w:shd w:val="clear" w:color="auto" w:fill="C6EFCE"/>
            <w:noWrap/>
          </w:tcPr>
          <w:p w14:paraId="50B2EA81" w14:textId="04862FB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Schválenie osobitných mestských plánov Ústrednou radou pre otázky</w:t>
            </w:r>
            <w:r w:rsidR="00AB26B3" w:rsidRPr="00AB26B3">
              <w:rPr>
                <w:noProof/>
                <w:spacing w:val="-6"/>
                <w:lang w:val="sk-SK"/>
              </w:rPr>
              <w:t xml:space="preserve"> a </w:t>
            </w:r>
            <w:r w:rsidRPr="00AB26B3">
              <w:rPr>
                <w:noProof/>
                <w:spacing w:val="-6"/>
                <w:lang w:val="sk-SK"/>
              </w:rPr>
              <w:t>spory týkajúce sa územného plánovania.</w:t>
            </w:r>
            <w:r w:rsidR="00AB26B3" w:rsidRPr="00AB26B3">
              <w:rPr>
                <w:noProof/>
                <w:spacing w:val="-6"/>
                <w:lang w:val="sk-SK"/>
              </w:rPr>
              <w:t xml:space="preserve"> V </w:t>
            </w:r>
            <w:r w:rsidRPr="00AB26B3">
              <w:rPr>
                <w:noProof/>
                <w:spacing w:val="-6"/>
                <w:lang w:val="sk-SK"/>
              </w:rPr>
              <w:t>osobitných mestských plánoch sa vymedzí povolené využívanie pôdy, všeobecné stavebné podmienky</w:t>
            </w:r>
            <w:r w:rsidR="00AB26B3" w:rsidRPr="00AB26B3">
              <w:rPr>
                <w:noProof/>
                <w:spacing w:val="-6"/>
                <w:lang w:val="sk-SK"/>
              </w:rPr>
              <w:t xml:space="preserve"> a </w:t>
            </w:r>
            <w:r w:rsidRPr="00AB26B3">
              <w:rPr>
                <w:noProof/>
                <w:spacing w:val="-6"/>
                <w:lang w:val="sk-SK"/>
              </w:rPr>
              <w:t>obmedzenia</w:t>
            </w:r>
            <w:r w:rsidR="00AB26B3" w:rsidRPr="00AB26B3">
              <w:rPr>
                <w:noProof/>
                <w:spacing w:val="-6"/>
                <w:lang w:val="sk-SK"/>
              </w:rPr>
              <w:t xml:space="preserve"> a </w:t>
            </w:r>
            <w:r w:rsidRPr="00AB26B3">
              <w:rPr>
                <w:noProof/>
                <w:spacing w:val="-6"/>
                <w:lang w:val="sk-SK"/>
              </w:rPr>
              <w:t>akékoľvek iné požadované opatrenie, termín alebo obmedzenie.</w:t>
            </w:r>
          </w:p>
          <w:p w14:paraId="50B2EA82" w14:textId="6C1DA14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2) Výzva spoločnosti PPC SA (podľa § 6.5.3 rámcovej dohody – ratifikovanej zákonom </w:t>
            </w:r>
            <w:r w:rsidR="00AB26B3" w:rsidRPr="00AB26B3">
              <w:rPr>
                <w:noProof/>
                <w:spacing w:val="-6"/>
                <w:lang w:val="sk-SK"/>
              </w:rPr>
              <w:t>č. </w:t>
            </w:r>
            <w:r w:rsidRPr="00AB26B3">
              <w:rPr>
                <w:noProof/>
                <w:spacing w:val="-6"/>
                <w:lang w:val="sk-SK"/>
              </w:rPr>
              <w:t>4956/2022) adresovaná zmluvným stranám na prevzatie 5 438 ha obnovenej alebo nenarušenej pôdy</w:t>
            </w:r>
            <w:r w:rsidR="00AB26B3" w:rsidRPr="00AB26B3">
              <w:rPr>
                <w:noProof/>
                <w:spacing w:val="-6"/>
                <w:lang w:val="sk-SK"/>
              </w:rPr>
              <w:t xml:space="preserve"> a </w:t>
            </w:r>
            <w:r w:rsidRPr="00AB26B3">
              <w:rPr>
                <w:noProof/>
                <w:spacing w:val="-6"/>
                <w:lang w:val="sk-SK"/>
              </w:rPr>
              <w:t xml:space="preserve">následné osvedčenie nezávislým certifikačným orgánom. </w:t>
            </w:r>
          </w:p>
        </w:tc>
      </w:tr>
      <w:tr w:rsidR="00302FC1" w:rsidRPr="00AB26B3" w14:paraId="50B2EA8F" w14:textId="77777777">
        <w:tc>
          <w:tcPr>
            <w:tcW w:w="817" w:type="dxa"/>
            <w:shd w:val="clear" w:color="auto" w:fill="C6EFCE"/>
            <w:noWrap/>
          </w:tcPr>
          <w:p w14:paraId="50B2EA8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w:t>
            </w:r>
          </w:p>
        </w:tc>
        <w:tc>
          <w:tcPr>
            <w:tcW w:w="2069" w:type="dxa"/>
            <w:shd w:val="clear" w:color="auto" w:fill="C6EFCE"/>
            <w:noWrap/>
          </w:tcPr>
          <w:p w14:paraId="50B2EA8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Napájanie – 16926_Podpora inštalácie zásobníkových systémov na zvýšenie prieniku OZE</w:t>
            </w:r>
          </w:p>
        </w:tc>
        <w:tc>
          <w:tcPr>
            <w:tcW w:w="1094" w:type="dxa"/>
            <w:shd w:val="clear" w:color="auto" w:fill="C6EFCE"/>
            <w:noWrap/>
          </w:tcPr>
          <w:p w14:paraId="50B2EA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8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Skladovanie – zmluvy</w:t>
            </w:r>
          </w:p>
        </w:tc>
        <w:tc>
          <w:tcPr>
            <w:tcW w:w="1553" w:type="dxa"/>
            <w:shd w:val="clear" w:color="auto" w:fill="C6EFCE"/>
            <w:noWrap/>
          </w:tcPr>
          <w:p w14:paraId="50B2EA88" w14:textId="2B65C2E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w:t>
            </w:r>
          </w:p>
        </w:tc>
        <w:tc>
          <w:tcPr>
            <w:tcW w:w="1338" w:type="dxa"/>
            <w:shd w:val="clear" w:color="auto" w:fill="C6EFCE"/>
            <w:noWrap/>
          </w:tcPr>
          <w:p w14:paraId="50B2EA8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8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8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20" w:type="dxa"/>
            <w:shd w:val="clear" w:color="auto" w:fill="C6EFCE"/>
            <w:noWrap/>
          </w:tcPr>
          <w:p w14:paraId="50B2EA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331" w:type="dxa"/>
            <w:shd w:val="clear" w:color="auto" w:fill="C6EFCE"/>
            <w:noWrap/>
          </w:tcPr>
          <w:p w14:paraId="50B2EA8E" w14:textId="6A0F831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 na vybrané projekty (t. j. okrem dlhodobého prečerpávacieho vodného úložiska Amfilochia, ktoré sa vyberá prostredníctvom individuálneho procesu)</w:t>
            </w:r>
            <w:r w:rsidR="00AB26B3" w:rsidRPr="00AB26B3">
              <w:rPr>
                <w:noProof/>
                <w:spacing w:val="-6"/>
                <w:lang w:val="sk-SK"/>
              </w:rPr>
              <w:t xml:space="preserve"> s </w:t>
            </w:r>
            <w:r w:rsidRPr="00AB26B3">
              <w:rPr>
                <w:noProof/>
                <w:spacing w:val="-6"/>
                <w:lang w:val="sk-SK"/>
              </w:rPr>
              <w:t>celkovou kapacitou do 700 MW (a minimálnou kapacitou 500 MW).</w:t>
            </w:r>
          </w:p>
        </w:tc>
      </w:tr>
      <w:tr w:rsidR="00302FC1" w:rsidRPr="00AB26B3" w14:paraId="50B2EA9B" w14:textId="77777777">
        <w:tc>
          <w:tcPr>
            <w:tcW w:w="817" w:type="dxa"/>
            <w:shd w:val="clear" w:color="auto" w:fill="C6EFCE"/>
            <w:noWrap/>
          </w:tcPr>
          <w:p w14:paraId="50B2EA9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w:t>
            </w:r>
          </w:p>
        </w:tc>
        <w:tc>
          <w:tcPr>
            <w:tcW w:w="2069" w:type="dxa"/>
            <w:shd w:val="clear" w:color="auto" w:fill="C6EFCE"/>
            <w:noWrap/>
          </w:tcPr>
          <w:p w14:paraId="50B2EA91" w14:textId="1C12F1D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Napájanie – 16901_modernizácia siete HEDNO zameraná na zvýšenie odolnosti</w:t>
            </w:r>
            <w:r w:rsidR="00AB26B3" w:rsidRPr="00AB26B3">
              <w:rPr>
                <w:noProof/>
                <w:spacing w:val="-6"/>
                <w:lang w:val="sk-SK"/>
              </w:rPr>
              <w:t xml:space="preserve"> a </w:t>
            </w:r>
            <w:r w:rsidRPr="00AB26B3">
              <w:rPr>
                <w:noProof/>
                <w:spacing w:val="-6"/>
                <w:lang w:val="sk-SK"/>
              </w:rPr>
              <w:t>ochranu životného prostredia</w:t>
            </w:r>
          </w:p>
        </w:tc>
        <w:tc>
          <w:tcPr>
            <w:tcW w:w="1094" w:type="dxa"/>
            <w:shd w:val="clear" w:color="auto" w:fill="C6EFCE"/>
            <w:noWrap/>
          </w:tcPr>
          <w:p w14:paraId="50B2EA9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HEDNO – zmluvy 1</w:t>
            </w:r>
          </w:p>
        </w:tc>
        <w:tc>
          <w:tcPr>
            <w:tcW w:w="1553" w:type="dxa"/>
            <w:shd w:val="clear" w:color="auto" w:fill="C6EFCE"/>
            <w:noWrap/>
          </w:tcPr>
          <w:p w14:paraId="50B2EA94" w14:textId="4DCB2AD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w:t>
            </w:r>
          </w:p>
        </w:tc>
        <w:tc>
          <w:tcPr>
            <w:tcW w:w="1338" w:type="dxa"/>
            <w:shd w:val="clear" w:color="auto" w:fill="C6EFCE"/>
            <w:noWrap/>
          </w:tcPr>
          <w:p w14:paraId="50B2EA9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9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9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50B2EA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331" w:type="dxa"/>
            <w:shd w:val="clear" w:color="auto" w:fill="C6EFCE"/>
            <w:noWrap/>
          </w:tcPr>
          <w:p w14:paraId="50B2EA9A" w14:textId="7ECBFF7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 týkajúcich sa projektov gréckeho prevádzkovateľa distribučnej siete elektrickej energie (HEDNO) zameraných na modernizáciu</w:t>
            </w:r>
            <w:r w:rsidR="00AB26B3" w:rsidRPr="00AB26B3">
              <w:rPr>
                <w:noProof/>
                <w:spacing w:val="-6"/>
                <w:lang w:val="sk-SK"/>
              </w:rPr>
              <w:t xml:space="preserve"> v </w:t>
            </w:r>
            <w:r w:rsidRPr="00AB26B3">
              <w:rPr>
                <w:noProof/>
                <w:spacing w:val="-6"/>
                <w:lang w:val="sk-SK"/>
              </w:rPr>
              <w:t>záujme odolnosti</w:t>
            </w:r>
            <w:r w:rsidR="00AB26B3" w:rsidRPr="00AB26B3">
              <w:rPr>
                <w:noProof/>
                <w:spacing w:val="-6"/>
                <w:lang w:val="sk-SK"/>
              </w:rPr>
              <w:t xml:space="preserve"> a </w:t>
            </w:r>
            <w:r w:rsidRPr="00AB26B3">
              <w:rPr>
                <w:noProof/>
                <w:spacing w:val="-6"/>
                <w:lang w:val="sk-SK"/>
              </w:rPr>
              <w:t>životného prostredia, ktorých cieľom je uľahčiť ďalšie prenikanie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zlepšiť spoľahlivosť</w:t>
            </w:r>
            <w:r w:rsidR="00AB26B3" w:rsidRPr="00AB26B3">
              <w:rPr>
                <w:noProof/>
                <w:spacing w:val="-6"/>
                <w:lang w:val="sk-SK"/>
              </w:rPr>
              <w:t xml:space="preserve"> a </w:t>
            </w:r>
            <w:r w:rsidRPr="00AB26B3">
              <w:rPr>
                <w:noProof/>
                <w:spacing w:val="-6"/>
                <w:lang w:val="sk-SK"/>
              </w:rPr>
              <w:t>odolnosť siete pri súčasnej ochrane životného prostredia.</w:t>
            </w:r>
          </w:p>
        </w:tc>
      </w:tr>
      <w:tr w:rsidR="00302FC1" w:rsidRPr="00AB26B3" w14:paraId="50B2EAA7" w14:textId="77777777">
        <w:tc>
          <w:tcPr>
            <w:tcW w:w="817" w:type="dxa"/>
            <w:shd w:val="clear" w:color="auto" w:fill="C6EFCE"/>
            <w:noWrap/>
          </w:tcPr>
          <w:p w14:paraId="50B2EA9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w:t>
            </w:r>
          </w:p>
        </w:tc>
        <w:tc>
          <w:tcPr>
            <w:tcW w:w="2069" w:type="dxa"/>
            <w:shd w:val="clear" w:color="auto" w:fill="C6EFCE"/>
            <w:noWrap/>
          </w:tcPr>
          <w:p w14:paraId="50B2EA9D" w14:textId="410B00E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Napájanie – 16900_modernizácia nadzemnej siete HEDNO</w:t>
            </w:r>
            <w:r w:rsidR="00AB26B3" w:rsidRPr="00AB26B3">
              <w:rPr>
                <w:noProof/>
                <w:spacing w:val="-6"/>
                <w:lang w:val="sk-SK"/>
              </w:rPr>
              <w:t xml:space="preserve"> v </w:t>
            </w:r>
            <w:r w:rsidRPr="00AB26B3">
              <w:rPr>
                <w:noProof/>
                <w:spacing w:val="-6"/>
                <w:lang w:val="sk-SK"/>
              </w:rPr>
              <w:t>lesných oblastiach</w:t>
            </w:r>
          </w:p>
        </w:tc>
        <w:tc>
          <w:tcPr>
            <w:tcW w:w="1094" w:type="dxa"/>
            <w:shd w:val="clear" w:color="auto" w:fill="C6EFCE"/>
            <w:noWrap/>
          </w:tcPr>
          <w:p w14:paraId="50B2EA9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9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HEDNO – zmluvy 2</w:t>
            </w:r>
          </w:p>
        </w:tc>
        <w:tc>
          <w:tcPr>
            <w:tcW w:w="1553" w:type="dxa"/>
            <w:shd w:val="clear" w:color="auto" w:fill="C6EFCE"/>
            <w:noWrap/>
          </w:tcPr>
          <w:p w14:paraId="50B2EAA0" w14:textId="2498454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w:t>
            </w:r>
          </w:p>
        </w:tc>
        <w:tc>
          <w:tcPr>
            <w:tcW w:w="1338" w:type="dxa"/>
            <w:shd w:val="clear" w:color="auto" w:fill="C6EFCE"/>
            <w:noWrap/>
          </w:tcPr>
          <w:p w14:paraId="50B2EAA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A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A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50B2EAA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331" w:type="dxa"/>
            <w:shd w:val="clear" w:color="auto" w:fill="C6EFCE"/>
            <w:noWrap/>
          </w:tcPr>
          <w:p w14:paraId="50B2EAA6" w14:textId="2E3CDA3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 týkajúcich sa projektov HEDNO na nadzemných sieťach</w:t>
            </w:r>
            <w:r w:rsidR="00AB26B3" w:rsidRPr="00AB26B3">
              <w:rPr>
                <w:noProof/>
                <w:spacing w:val="-6"/>
                <w:lang w:val="sk-SK"/>
              </w:rPr>
              <w:t xml:space="preserve"> v </w:t>
            </w:r>
            <w:r w:rsidRPr="00AB26B3">
              <w:rPr>
                <w:noProof/>
                <w:spacing w:val="-6"/>
                <w:lang w:val="sk-SK"/>
              </w:rPr>
              <w:t>lesných oblastiach, ktorých cieľom je uľahčiť ďalšie prenikanie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zlepšiť spoľahlivosť</w:t>
            </w:r>
            <w:r w:rsidR="00AB26B3" w:rsidRPr="00AB26B3">
              <w:rPr>
                <w:noProof/>
                <w:spacing w:val="-6"/>
                <w:lang w:val="sk-SK"/>
              </w:rPr>
              <w:t xml:space="preserve"> a </w:t>
            </w:r>
            <w:r w:rsidRPr="00AB26B3">
              <w:rPr>
                <w:noProof/>
                <w:spacing w:val="-6"/>
                <w:lang w:val="sk-SK"/>
              </w:rPr>
              <w:t>odolnosť siete</w:t>
            </w:r>
            <w:r w:rsidR="00AB26B3" w:rsidRPr="00AB26B3">
              <w:rPr>
                <w:noProof/>
                <w:spacing w:val="-6"/>
                <w:lang w:val="sk-SK"/>
              </w:rPr>
              <w:t xml:space="preserve"> a </w:t>
            </w:r>
            <w:r w:rsidRPr="00AB26B3">
              <w:rPr>
                <w:noProof/>
                <w:spacing w:val="-6"/>
                <w:lang w:val="sk-SK"/>
              </w:rPr>
              <w:t>zároveň chrániť životné prostredie.</w:t>
            </w:r>
          </w:p>
        </w:tc>
      </w:tr>
      <w:tr w:rsidR="00302FC1" w:rsidRPr="00AB26B3" w14:paraId="50B2EAB4" w14:textId="77777777">
        <w:tc>
          <w:tcPr>
            <w:tcW w:w="817" w:type="dxa"/>
            <w:shd w:val="clear" w:color="auto" w:fill="C6EFCE"/>
            <w:noWrap/>
          </w:tcPr>
          <w:p w14:paraId="50B2EAA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w:t>
            </w:r>
          </w:p>
        </w:tc>
        <w:tc>
          <w:tcPr>
            <w:tcW w:w="2069" w:type="dxa"/>
            <w:shd w:val="clear" w:color="auto" w:fill="C6EFCE"/>
            <w:noWrap/>
          </w:tcPr>
          <w:p w14:paraId="50B2EAA9" w14:textId="20837AC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Napájanie – 16899_Zvýšenie inštalovanej kapacity</w:t>
            </w:r>
            <w:r w:rsidR="00AB26B3" w:rsidRPr="00AB26B3">
              <w:rPr>
                <w:noProof/>
                <w:spacing w:val="-6"/>
                <w:lang w:val="sk-SK"/>
              </w:rPr>
              <w:t xml:space="preserve"> v </w:t>
            </w:r>
            <w:r w:rsidRPr="00AB26B3">
              <w:rPr>
                <w:noProof/>
                <w:spacing w:val="-6"/>
                <w:lang w:val="sk-SK"/>
              </w:rPr>
              <w:t>rozvodniach HV/MV gréckeho prevádzkovateľa distribučnej siete elektrickej energie (HEDNO) pre nové pripojenie OZE</w:t>
            </w:r>
          </w:p>
        </w:tc>
        <w:tc>
          <w:tcPr>
            <w:tcW w:w="1094" w:type="dxa"/>
            <w:shd w:val="clear" w:color="auto" w:fill="C6EFCE"/>
            <w:noWrap/>
          </w:tcPr>
          <w:p w14:paraId="50B2EAA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A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HEDNO – zmluvy 3</w:t>
            </w:r>
          </w:p>
        </w:tc>
        <w:tc>
          <w:tcPr>
            <w:tcW w:w="1553" w:type="dxa"/>
            <w:shd w:val="clear" w:color="auto" w:fill="C6EFCE"/>
            <w:noWrap/>
          </w:tcPr>
          <w:p w14:paraId="50B2EAAC" w14:textId="47E3F58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w:t>
            </w:r>
          </w:p>
        </w:tc>
        <w:tc>
          <w:tcPr>
            <w:tcW w:w="1338" w:type="dxa"/>
            <w:shd w:val="clear" w:color="auto" w:fill="C6EFCE"/>
            <w:noWrap/>
          </w:tcPr>
          <w:p w14:paraId="50B2EAA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A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A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B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50B2EAB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331" w:type="dxa"/>
            <w:shd w:val="clear" w:color="auto" w:fill="C6EFCE"/>
            <w:noWrap/>
          </w:tcPr>
          <w:p w14:paraId="50B2EAB3" w14:textId="3F67158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 týkajúcich sa projektov HEDNO na zvýšenie kapacity vysokonapäťových/strednonapäťových rozvodní, ktorých cieľom je uľahčiť ďalšie prenikanie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zlepšiť spoľahlivosť</w:t>
            </w:r>
            <w:r w:rsidR="00AB26B3" w:rsidRPr="00AB26B3">
              <w:rPr>
                <w:noProof/>
                <w:spacing w:val="-6"/>
                <w:lang w:val="sk-SK"/>
              </w:rPr>
              <w:t xml:space="preserve"> a </w:t>
            </w:r>
            <w:r w:rsidRPr="00AB26B3">
              <w:rPr>
                <w:noProof/>
                <w:spacing w:val="-6"/>
                <w:lang w:val="sk-SK"/>
              </w:rPr>
              <w:t>odolnosť siete</w:t>
            </w:r>
            <w:r w:rsidR="00AB26B3" w:rsidRPr="00AB26B3">
              <w:rPr>
                <w:noProof/>
                <w:spacing w:val="-6"/>
                <w:lang w:val="sk-SK"/>
              </w:rPr>
              <w:t xml:space="preserve"> a </w:t>
            </w:r>
            <w:r w:rsidRPr="00AB26B3">
              <w:rPr>
                <w:noProof/>
                <w:spacing w:val="-6"/>
                <w:lang w:val="sk-SK"/>
              </w:rPr>
              <w:t>zároveň chrániť životné prostredie.</w:t>
            </w:r>
          </w:p>
        </w:tc>
      </w:tr>
      <w:tr w:rsidR="00302FC1" w:rsidRPr="00AB26B3" w14:paraId="50B2EAC4" w14:textId="77777777">
        <w:tc>
          <w:tcPr>
            <w:tcW w:w="817" w:type="dxa"/>
            <w:shd w:val="clear" w:color="auto" w:fill="C6EFCE"/>
            <w:noWrap/>
          </w:tcPr>
          <w:p w14:paraId="50B2EA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w:t>
            </w:r>
          </w:p>
        </w:tc>
        <w:tc>
          <w:tcPr>
            <w:tcW w:w="2069" w:type="dxa"/>
            <w:shd w:val="clear" w:color="auto" w:fill="C6EFCE"/>
            <w:noWrap/>
          </w:tcPr>
          <w:p w14:paraId="50B2EAB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Power up – 16871_Revitalizačné opatrenia najviac postihnutých území (územia spravodlivej transformácie)</w:t>
            </w:r>
          </w:p>
        </w:tc>
        <w:tc>
          <w:tcPr>
            <w:tcW w:w="1094" w:type="dxa"/>
            <w:shd w:val="clear" w:color="auto" w:fill="C6EFCE"/>
            <w:noWrap/>
          </w:tcPr>
          <w:p w14:paraId="50B2EAB9" w14:textId="2109A04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206" w:type="dxa"/>
            <w:shd w:val="clear" w:color="auto" w:fill="C6EFCE"/>
            <w:noWrap/>
          </w:tcPr>
          <w:p w14:paraId="50B2EABA" w14:textId="0C0BE8B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Rekultivácia pôdy </w:t>
            </w:r>
          </w:p>
        </w:tc>
        <w:tc>
          <w:tcPr>
            <w:tcW w:w="1553" w:type="dxa"/>
            <w:shd w:val="clear" w:color="auto" w:fill="C6EFCE"/>
            <w:noWrap/>
          </w:tcPr>
          <w:p w14:paraId="50B2EABB" w14:textId="77777777" w:rsidR="00302FC1" w:rsidRPr="00AB26B3" w:rsidRDefault="00302FC1">
            <w:pPr>
              <w:spacing w:before="120" w:after="0" w:line="240" w:lineRule="auto"/>
              <w:jc w:val="both"/>
              <w:rPr>
                <w:rFonts w:ascii="Times New Roman" w:eastAsia="Times New Roman" w:hAnsi="Times New Roman" w:cs="Times New Roman"/>
                <w:noProof/>
                <w:color w:val="006100"/>
                <w:spacing w:val="-6"/>
                <w:sz w:val="18"/>
                <w:szCs w:val="18"/>
                <w:lang w:val="sk-SK"/>
              </w:rPr>
            </w:pPr>
          </w:p>
        </w:tc>
        <w:tc>
          <w:tcPr>
            <w:tcW w:w="1338" w:type="dxa"/>
            <w:shd w:val="clear" w:color="auto" w:fill="C6EFCE"/>
            <w:noWrap/>
          </w:tcPr>
          <w:p w14:paraId="50B2EABC" w14:textId="3FEA748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Počet ha </w:t>
            </w:r>
          </w:p>
        </w:tc>
        <w:tc>
          <w:tcPr>
            <w:tcW w:w="927" w:type="dxa"/>
            <w:shd w:val="clear" w:color="auto" w:fill="C6EFCE"/>
            <w:noWrap/>
          </w:tcPr>
          <w:p w14:paraId="50B2EABD" w14:textId="2084B7D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805" w:type="dxa"/>
            <w:shd w:val="clear" w:color="auto" w:fill="C6EFCE"/>
            <w:noWrap/>
          </w:tcPr>
          <w:p w14:paraId="50B2EABF" w14:textId="73B76C1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8 102</w:t>
            </w:r>
          </w:p>
        </w:tc>
        <w:tc>
          <w:tcPr>
            <w:tcW w:w="922" w:type="dxa"/>
            <w:shd w:val="clear" w:color="auto" w:fill="C6EFCE"/>
            <w:noWrap/>
          </w:tcPr>
          <w:p w14:paraId="50B2EA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50B2EAC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31" w:type="dxa"/>
            <w:shd w:val="clear" w:color="auto" w:fill="C6EFCE"/>
            <w:noWrap/>
          </w:tcPr>
          <w:p w14:paraId="50B2EAC3" w14:textId="4AF59B4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Výzva spoločnosti Public Power Corporation (PPC SA) adresovaná zmluvným stranám na prevzatie celkovo 8 102 ha obnovenej alebo nenarušenej pôdy. Rekultivačné práce môžu okrem iného zahŕňať zemné práce, výsadbu, demontáž alebo demoláciu infraštruktúry.</w:t>
            </w:r>
          </w:p>
        </w:tc>
      </w:tr>
      <w:tr w:rsidR="00302FC1" w:rsidRPr="00AB26B3" w14:paraId="50B2EAD2" w14:textId="77777777">
        <w:tc>
          <w:tcPr>
            <w:tcW w:w="817" w:type="dxa"/>
            <w:shd w:val="clear" w:color="auto" w:fill="C6EFCE"/>
            <w:noWrap/>
          </w:tcPr>
          <w:p w14:paraId="50B2EAC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w:t>
            </w:r>
          </w:p>
        </w:tc>
        <w:tc>
          <w:tcPr>
            <w:tcW w:w="2069" w:type="dxa"/>
            <w:shd w:val="clear" w:color="auto" w:fill="C6EFCE"/>
            <w:noWrap/>
          </w:tcPr>
          <w:p w14:paraId="50B2EAC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 1.1. Napájanie – 16926_Podpora inštalácie zásobníkových systémov na zvýšenie prieniku OZE</w:t>
            </w:r>
          </w:p>
        </w:tc>
        <w:tc>
          <w:tcPr>
            <w:tcW w:w="1094" w:type="dxa"/>
            <w:shd w:val="clear" w:color="auto" w:fill="C6EFCE"/>
            <w:noWrap/>
          </w:tcPr>
          <w:p w14:paraId="50B2EAC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C8" w14:textId="47541E2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Uskladňovanie energie – inštalovaný zásobník batérií</w:t>
            </w:r>
            <w:r w:rsidR="00AB26B3" w:rsidRPr="00AB26B3">
              <w:rPr>
                <w:noProof/>
                <w:spacing w:val="-6"/>
                <w:lang w:val="sk-SK"/>
              </w:rPr>
              <w:t xml:space="preserve"> a </w:t>
            </w:r>
            <w:r w:rsidRPr="00AB26B3">
              <w:rPr>
                <w:noProof/>
                <w:spacing w:val="-6"/>
                <w:lang w:val="sk-SK"/>
              </w:rPr>
              <w:t>stavebno-inžinierske práce prečerpávacej vodnej stanice Amfilochia</w:t>
            </w:r>
          </w:p>
        </w:tc>
        <w:tc>
          <w:tcPr>
            <w:tcW w:w="1553" w:type="dxa"/>
            <w:shd w:val="clear" w:color="auto" w:fill="C6EFCE"/>
            <w:noWrap/>
          </w:tcPr>
          <w:p w14:paraId="50B2EAC9" w14:textId="1B59F79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Vykonaná inštalácia uskladňovania energie</w:t>
            </w:r>
            <w:r w:rsidR="00AB26B3" w:rsidRPr="00AB26B3">
              <w:rPr>
                <w:noProof/>
                <w:spacing w:val="-6"/>
                <w:lang w:val="sk-SK"/>
              </w:rPr>
              <w:t xml:space="preserve"> v </w:t>
            </w:r>
            <w:r w:rsidRPr="00AB26B3">
              <w:rPr>
                <w:noProof/>
                <w:spacing w:val="-6"/>
                <w:lang w:val="sk-SK"/>
              </w:rPr>
              <w:t>objeme 700 MW</w:t>
            </w:r>
            <w:r w:rsidR="00AB26B3" w:rsidRPr="00AB26B3">
              <w:rPr>
                <w:noProof/>
                <w:spacing w:val="-6"/>
                <w:lang w:val="sk-SK"/>
              </w:rPr>
              <w:t xml:space="preserve"> a </w:t>
            </w:r>
            <w:r w:rsidRPr="00AB26B3">
              <w:rPr>
                <w:noProof/>
                <w:spacing w:val="-6"/>
                <w:lang w:val="sk-SK"/>
              </w:rPr>
              <w:t>stavebno-inžinierske práce prečerpávacej vodnej stanice Amfilochia.</w:t>
            </w:r>
          </w:p>
        </w:tc>
        <w:tc>
          <w:tcPr>
            <w:tcW w:w="1338" w:type="dxa"/>
            <w:shd w:val="clear" w:color="auto" w:fill="C6EFCE"/>
            <w:noWrap/>
          </w:tcPr>
          <w:p w14:paraId="50B2EAC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C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C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C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50B2EAC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31" w:type="dxa"/>
            <w:shd w:val="clear" w:color="auto" w:fill="C6EFCE"/>
            <w:noWrap/>
          </w:tcPr>
          <w:p w14:paraId="50B2EAD1" w14:textId="4D7449C1"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Realizovala sa inštalácia „samostatných“ projektov uskladňovania energie pre 700 MW</w:t>
            </w:r>
            <w:r w:rsidR="00AB26B3" w:rsidRPr="00AB26B3">
              <w:rPr>
                <w:noProof/>
                <w:spacing w:val="-6"/>
                <w:lang w:val="sk-SK"/>
              </w:rPr>
              <w:t xml:space="preserve"> a </w:t>
            </w:r>
            <w:r w:rsidRPr="00AB26B3">
              <w:rPr>
                <w:noProof/>
                <w:color w:val="006100"/>
                <w:spacing w:val="-6"/>
                <w:lang w:val="sk-SK"/>
              </w:rPr>
              <w:t xml:space="preserve">stavebno-inžinierske práce pre deväť podprojektov prečerpávacej vodnej stanice Amfilochia. </w:t>
            </w:r>
          </w:p>
        </w:tc>
      </w:tr>
      <w:tr w:rsidR="00302FC1" w:rsidRPr="00AB26B3" w14:paraId="50B2EAEA" w14:textId="77777777">
        <w:tc>
          <w:tcPr>
            <w:tcW w:w="817" w:type="dxa"/>
            <w:shd w:val="clear" w:color="auto" w:fill="C6EFCE"/>
            <w:noWrap/>
          </w:tcPr>
          <w:p w14:paraId="50B2EA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18</w:t>
            </w:r>
          </w:p>
        </w:tc>
        <w:tc>
          <w:tcPr>
            <w:tcW w:w="2069" w:type="dxa"/>
            <w:shd w:val="clear" w:color="auto" w:fill="C6EFCE"/>
            <w:noWrap/>
          </w:tcPr>
          <w:p w14:paraId="50B2EAE0" w14:textId="68407A3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1 – 1.1. Napájanie – 16900_HEDNO nadzemná sieť </w:t>
            </w:r>
          </w:p>
        </w:tc>
        <w:tc>
          <w:tcPr>
            <w:tcW w:w="1094" w:type="dxa"/>
            <w:shd w:val="clear" w:color="auto" w:fill="C6EFCE"/>
            <w:noWrap/>
          </w:tcPr>
          <w:p w14:paraId="50B2EAE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E2" w14:textId="798D59D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HEDNO Overhead Network (HEDNO hlavná sieť) </w:t>
            </w:r>
          </w:p>
        </w:tc>
        <w:tc>
          <w:tcPr>
            <w:tcW w:w="1553" w:type="dxa"/>
            <w:shd w:val="clear" w:color="auto" w:fill="C6EFCE"/>
            <w:noWrap/>
          </w:tcPr>
          <w:p w14:paraId="50B2EAE3" w14:textId="4F5DD25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Zásahy</w:t>
            </w:r>
            <w:r w:rsidR="00AB26B3" w:rsidRPr="00AB26B3">
              <w:rPr>
                <w:noProof/>
                <w:spacing w:val="-6"/>
                <w:lang w:val="sk-SK"/>
              </w:rPr>
              <w:t xml:space="preserve"> a </w:t>
            </w:r>
            <w:r w:rsidRPr="00AB26B3">
              <w:rPr>
                <w:noProof/>
                <w:spacing w:val="-6"/>
                <w:lang w:val="sk-SK"/>
              </w:rPr>
              <w:t>zariadenia</w:t>
            </w:r>
            <w:r w:rsidR="00AB26B3" w:rsidRPr="00AB26B3">
              <w:rPr>
                <w:noProof/>
                <w:spacing w:val="-6"/>
                <w:lang w:val="sk-SK"/>
              </w:rPr>
              <w:t xml:space="preserve"> v </w:t>
            </w:r>
            <w:r w:rsidRPr="00AB26B3">
              <w:rPr>
                <w:noProof/>
                <w:spacing w:val="-6"/>
                <w:lang w:val="sk-SK"/>
              </w:rPr>
              <w:t xml:space="preserve">distribučnej sieti </w:t>
            </w:r>
          </w:p>
        </w:tc>
        <w:tc>
          <w:tcPr>
            <w:tcW w:w="1338" w:type="dxa"/>
            <w:shd w:val="clear" w:color="auto" w:fill="C6EFCE"/>
            <w:noWrap/>
          </w:tcPr>
          <w:p w14:paraId="50B2EAE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E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E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50B2EAE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31" w:type="dxa"/>
            <w:shd w:val="clear" w:color="auto" w:fill="C6EFCE"/>
            <w:noWrap/>
          </w:tcPr>
          <w:p w14:paraId="50B2EAE9" w14:textId="6086262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Dokončené zásahy súvisiace</w:t>
            </w:r>
            <w:r w:rsidR="00AB26B3" w:rsidRPr="00AB26B3">
              <w:rPr>
                <w:noProof/>
                <w:spacing w:val="-6"/>
                <w:lang w:val="sk-SK"/>
              </w:rPr>
              <w:t xml:space="preserve"> s </w:t>
            </w:r>
            <w:r w:rsidRPr="00AB26B3">
              <w:rPr>
                <w:noProof/>
                <w:spacing w:val="-6"/>
                <w:lang w:val="sk-SK"/>
              </w:rPr>
              <w:t>výmenou holých vodičov</w:t>
            </w:r>
            <w:r w:rsidR="00AB26B3" w:rsidRPr="00AB26B3">
              <w:rPr>
                <w:noProof/>
                <w:spacing w:val="-6"/>
                <w:lang w:val="sk-SK"/>
              </w:rPr>
              <w:t xml:space="preserve"> v </w:t>
            </w:r>
            <w:r w:rsidRPr="00AB26B3">
              <w:rPr>
                <w:noProof/>
                <w:spacing w:val="-6"/>
                <w:lang w:val="sk-SK"/>
              </w:rPr>
              <w:t>nadzemnej sieti, inštaláciou izolačných krytov</w:t>
            </w:r>
            <w:r w:rsidR="00AB26B3" w:rsidRPr="00AB26B3">
              <w:rPr>
                <w:noProof/>
                <w:spacing w:val="-6"/>
                <w:lang w:val="sk-SK"/>
              </w:rPr>
              <w:t xml:space="preserve"> a </w:t>
            </w:r>
            <w:r w:rsidRPr="00AB26B3">
              <w:rPr>
                <w:noProof/>
                <w:spacing w:val="-6"/>
                <w:lang w:val="sk-SK"/>
              </w:rPr>
              <w:t>podzemným vedením alebo presmerovaním elektrických vedení</w:t>
            </w:r>
            <w:r w:rsidR="00AB26B3" w:rsidRPr="00AB26B3">
              <w:rPr>
                <w:noProof/>
                <w:spacing w:val="-6"/>
                <w:lang w:val="sk-SK"/>
              </w:rPr>
              <w:t xml:space="preserve"> v </w:t>
            </w:r>
            <w:r w:rsidRPr="00AB26B3">
              <w:rPr>
                <w:noProof/>
                <w:spacing w:val="-6"/>
                <w:lang w:val="sk-SK"/>
              </w:rPr>
              <w:t>lesných oblastiach</w:t>
            </w:r>
            <w:r w:rsidR="00AB26B3" w:rsidRPr="00AB26B3">
              <w:rPr>
                <w:noProof/>
                <w:spacing w:val="-6"/>
                <w:lang w:val="sk-SK"/>
              </w:rPr>
              <w:t xml:space="preserve"> a </w:t>
            </w:r>
            <w:r w:rsidRPr="00AB26B3">
              <w:rPr>
                <w:noProof/>
                <w:spacing w:val="-6"/>
                <w:lang w:val="sk-SK"/>
              </w:rPr>
              <w:t>mestských zónach</w:t>
            </w:r>
          </w:p>
        </w:tc>
      </w:tr>
      <w:tr w:rsidR="00302FC1" w:rsidRPr="00AB26B3" w14:paraId="50B2EAF6" w14:textId="77777777">
        <w:tc>
          <w:tcPr>
            <w:tcW w:w="817" w:type="dxa"/>
            <w:shd w:val="clear" w:color="auto" w:fill="C6EFCE"/>
            <w:noWrap/>
          </w:tcPr>
          <w:p w14:paraId="50B2EAE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w:t>
            </w:r>
          </w:p>
        </w:tc>
        <w:tc>
          <w:tcPr>
            <w:tcW w:w="2069" w:type="dxa"/>
            <w:shd w:val="clear" w:color="auto" w:fill="C6EFCE"/>
            <w:noWrap/>
          </w:tcPr>
          <w:p w14:paraId="50B2EAEC" w14:textId="7080E82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1 – 1.1. Power up – 16899_ Hellenic Electricity Distribution Network Operator (HEDNO) HV/MV rozvodne </w:t>
            </w:r>
          </w:p>
        </w:tc>
        <w:tc>
          <w:tcPr>
            <w:tcW w:w="1094" w:type="dxa"/>
            <w:shd w:val="clear" w:color="auto" w:fill="C6EFCE"/>
            <w:noWrap/>
          </w:tcPr>
          <w:p w14:paraId="50B2EAE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6" w:type="dxa"/>
            <w:shd w:val="clear" w:color="auto" w:fill="C6EFCE"/>
            <w:noWrap/>
          </w:tcPr>
          <w:p w14:paraId="50B2EAEE" w14:textId="01E9D9A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Rozvodne HEDNO – HV/MV</w:t>
            </w:r>
          </w:p>
        </w:tc>
        <w:tc>
          <w:tcPr>
            <w:tcW w:w="1553" w:type="dxa"/>
            <w:shd w:val="clear" w:color="auto" w:fill="C6EFCE"/>
            <w:noWrap/>
          </w:tcPr>
          <w:p w14:paraId="50B2EAEF" w14:textId="12EF740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Zásahy do distribučnej siete </w:t>
            </w:r>
          </w:p>
        </w:tc>
        <w:tc>
          <w:tcPr>
            <w:tcW w:w="1338" w:type="dxa"/>
            <w:shd w:val="clear" w:color="auto" w:fill="C6EFCE"/>
            <w:noWrap/>
          </w:tcPr>
          <w:p w14:paraId="50B2EAF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shd w:val="clear" w:color="auto" w:fill="C6EFCE"/>
            <w:noWrap/>
          </w:tcPr>
          <w:p w14:paraId="50B2EAF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shd w:val="clear" w:color="auto" w:fill="C6EFCE"/>
            <w:noWrap/>
          </w:tcPr>
          <w:p w14:paraId="50B2EAF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shd w:val="clear" w:color="auto" w:fill="C6EFCE"/>
            <w:noWrap/>
          </w:tcPr>
          <w:p w14:paraId="50B2EAF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50B2EAF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31" w:type="dxa"/>
            <w:shd w:val="clear" w:color="auto" w:fill="C6EFCE"/>
            <w:noWrap/>
          </w:tcPr>
          <w:p w14:paraId="50B2EAF5" w14:textId="4043A1E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Intervencie súvisiace so zvýšením kapacity trakčných napájacích staníc HV/MV.</w:t>
            </w:r>
          </w:p>
        </w:tc>
      </w:tr>
    </w:tbl>
    <w:p w14:paraId="50B2EAF7" w14:textId="4241EC05" w:rsidR="00302FC1" w:rsidRPr="00AB26B3" w:rsidRDefault="00D64F26">
      <w:pPr>
        <w:pStyle w:val="NormalLeft"/>
        <w:rPr>
          <w:noProof/>
          <w:spacing w:val="-6"/>
          <w:lang w:val="sk-SK"/>
        </w:rPr>
        <w:sectPr w:rsidR="00302FC1" w:rsidRPr="00AB26B3" w:rsidSect="00620A46">
          <w:headerReference w:type="default" r:id="rId30"/>
          <w:footerReference w:type="default" r:id="rId31"/>
          <w:pgSz w:w="16839" w:h="11907" w:orient="landscape"/>
          <w:pgMar w:top="1134" w:right="1134" w:bottom="1134" w:left="1134" w:header="567" w:footer="567" w:gutter="0"/>
          <w:cols w:space="720"/>
          <w:docGrid w:linePitch="360"/>
        </w:sectPr>
      </w:pPr>
      <w:r w:rsidRPr="00AB26B3">
        <w:rPr>
          <w:noProof/>
          <w:spacing w:val="-6"/>
          <w:lang w:val="sk-SK"/>
        </w:rPr>
        <w:br/>
      </w:r>
    </w:p>
    <w:p w14:paraId="4BEB8EE0"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B. ZLOŽKA 1.2: RENOVOVAŤ</w:t>
      </w:r>
    </w:p>
    <w:p w14:paraId="26D5081C" w14:textId="1F0AC704"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Komponent obnovy plánu obnovy</w:t>
      </w:r>
      <w:r w:rsidR="00AB26B3" w:rsidRPr="00AB26B3">
        <w:rPr>
          <w:noProof/>
          <w:spacing w:val="-6"/>
          <w:lang w:val="sk-SK"/>
        </w:rPr>
        <w:t xml:space="preserve"> a </w:t>
      </w:r>
      <w:r w:rsidRPr="00AB26B3">
        <w:rPr>
          <w:noProof/>
          <w:spacing w:val="-6"/>
          <w:lang w:val="sk-SK"/>
        </w:rPr>
        <w:t>odolnosti Grécka</w:t>
      </w:r>
      <w:r w:rsidR="00AB26B3" w:rsidRPr="00AB26B3">
        <w:rPr>
          <w:noProof/>
          <w:spacing w:val="-6"/>
          <w:lang w:val="sk-SK"/>
        </w:rPr>
        <w:t xml:space="preserve"> v </w:t>
      </w:r>
      <w:r w:rsidRPr="00AB26B3">
        <w:rPr>
          <w:noProof/>
          <w:spacing w:val="-6"/>
          <w:lang w:val="sk-SK"/>
        </w:rPr>
        <w:t>rámci zeleného piliera zvýši energetickú efektívnosť, posilní hospodársky rast, vytvorí pracovné príležitosti</w:t>
      </w:r>
      <w:r w:rsidR="00AB26B3" w:rsidRPr="00AB26B3">
        <w:rPr>
          <w:noProof/>
          <w:spacing w:val="-6"/>
          <w:lang w:val="sk-SK"/>
        </w:rPr>
        <w:t xml:space="preserve"> a </w:t>
      </w:r>
      <w:r w:rsidRPr="00AB26B3">
        <w:rPr>
          <w:noProof/>
          <w:spacing w:val="-6"/>
          <w:lang w:val="sk-SK"/>
        </w:rPr>
        <w:t>podporí sociálnu odolnosť. Zahŕňa cielené reformy</w:t>
      </w:r>
      <w:r w:rsidR="00AB26B3" w:rsidRPr="00AB26B3">
        <w:rPr>
          <w:noProof/>
          <w:spacing w:val="-6"/>
          <w:lang w:val="sk-SK"/>
        </w:rPr>
        <w:t xml:space="preserve"> a </w:t>
      </w:r>
      <w:r w:rsidRPr="00AB26B3">
        <w:rPr>
          <w:noProof/>
          <w:spacing w:val="-6"/>
          <w:lang w:val="sk-SK"/>
        </w:rPr>
        <w:t>investície na zníženie</w:t>
      </w:r>
      <w:r w:rsidRPr="00AB26B3">
        <w:rPr>
          <w:noProof/>
          <w:spacing w:val="-6"/>
          <w:vertAlign w:val="subscript"/>
          <w:lang w:val="sk-SK"/>
        </w:rPr>
        <w:t>emisií</w:t>
      </w:r>
      <w:r w:rsidRPr="00AB26B3">
        <w:rPr>
          <w:noProof/>
          <w:spacing w:val="-6"/>
          <w:lang w:val="sk-SK"/>
        </w:rPr>
        <w:t xml:space="preserve"> CO2, podporu dosiahnutia klimatickej neutrality mestských oblastí</w:t>
      </w:r>
      <w:r w:rsidR="00AB26B3" w:rsidRPr="00AB26B3">
        <w:rPr>
          <w:noProof/>
          <w:spacing w:val="-6"/>
          <w:lang w:val="sk-SK"/>
        </w:rPr>
        <w:t xml:space="preserve"> a </w:t>
      </w:r>
      <w:r w:rsidRPr="00AB26B3">
        <w:rPr>
          <w:noProof/>
          <w:spacing w:val="-6"/>
          <w:lang w:val="sk-SK"/>
        </w:rPr>
        <w:t>zvýšenie odolnosti miest</w:t>
      </w:r>
      <w:r w:rsidR="00AB26B3" w:rsidRPr="00AB26B3">
        <w:rPr>
          <w:noProof/>
          <w:spacing w:val="-6"/>
          <w:lang w:val="sk-SK"/>
        </w:rPr>
        <w:t xml:space="preserve"> a </w:t>
      </w:r>
      <w:r w:rsidRPr="00AB26B3">
        <w:rPr>
          <w:noProof/>
          <w:spacing w:val="-6"/>
          <w:lang w:val="sk-SK"/>
        </w:rPr>
        <w:t>ich fondu budov proti zmene klímy. Komponent poskytuje stimuly na obnovu budov</w:t>
      </w:r>
      <w:r w:rsidR="00AB26B3" w:rsidRPr="00AB26B3">
        <w:rPr>
          <w:noProof/>
          <w:spacing w:val="-6"/>
          <w:lang w:val="sk-SK"/>
        </w:rPr>
        <w:t xml:space="preserve"> a </w:t>
      </w:r>
      <w:r w:rsidRPr="00AB26B3">
        <w:rPr>
          <w:noProof/>
          <w:spacing w:val="-6"/>
          <w:lang w:val="sk-SK"/>
        </w:rPr>
        <w:t>energetickú modernizáciu, ktoré majú zásadný význam pre obnovu mestských oblastí</w:t>
      </w:r>
      <w:r w:rsidR="00AB26B3" w:rsidRPr="00AB26B3">
        <w:rPr>
          <w:noProof/>
          <w:spacing w:val="-6"/>
          <w:lang w:val="sk-SK"/>
        </w:rPr>
        <w:t xml:space="preserve"> a </w:t>
      </w:r>
      <w:r w:rsidRPr="00AB26B3">
        <w:rPr>
          <w:noProof/>
          <w:spacing w:val="-6"/>
          <w:lang w:val="sk-SK"/>
        </w:rPr>
        <w:t>zmiernenie energetickej chudoby</w:t>
      </w:r>
      <w:r w:rsidR="00AB26B3" w:rsidRPr="00AB26B3">
        <w:rPr>
          <w:noProof/>
          <w:spacing w:val="-6"/>
          <w:lang w:val="sk-SK"/>
        </w:rPr>
        <w:t xml:space="preserve"> a </w:t>
      </w:r>
      <w:r w:rsidRPr="00AB26B3">
        <w:rPr>
          <w:noProof/>
          <w:spacing w:val="-6"/>
          <w:lang w:val="sk-SK"/>
        </w:rPr>
        <w:t>prispievajú</w:t>
      </w:r>
      <w:r w:rsidR="00AB26B3" w:rsidRPr="00AB26B3">
        <w:rPr>
          <w:noProof/>
          <w:spacing w:val="-6"/>
          <w:lang w:val="sk-SK"/>
        </w:rPr>
        <w:t xml:space="preserve"> k </w:t>
      </w:r>
      <w:r w:rsidRPr="00AB26B3">
        <w:rPr>
          <w:noProof/>
          <w:spacing w:val="-6"/>
          <w:lang w:val="sk-SK"/>
        </w:rPr>
        <w:t>dosiahnutiu cieľov stanovených</w:t>
      </w:r>
      <w:r w:rsidR="00AB26B3" w:rsidRPr="00AB26B3">
        <w:rPr>
          <w:noProof/>
          <w:spacing w:val="-6"/>
          <w:lang w:val="sk-SK"/>
        </w:rPr>
        <w:t xml:space="preserve"> v </w:t>
      </w:r>
      <w:r w:rsidRPr="00AB26B3">
        <w:rPr>
          <w:noProof/>
          <w:spacing w:val="-6"/>
          <w:lang w:val="sk-SK"/>
        </w:rPr>
        <w:t>gréckom národnom energetickom</w:t>
      </w:r>
      <w:r w:rsidR="00AB26B3" w:rsidRPr="00AB26B3">
        <w:rPr>
          <w:noProof/>
          <w:spacing w:val="-6"/>
          <w:lang w:val="sk-SK"/>
        </w:rPr>
        <w:t xml:space="preserve"> a </w:t>
      </w:r>
      <w:r w:rsidRPr="00AB26B3">
        <w:rPr>
          <w:noProof/>
          <w:spacing w:val="-6"/>
          <w:lang w:val="sk-SK"/>
        </w:rPr>
        <w:t xml:space="preserve">klimatickom pláne (NEKP). Komponent podporuje riešenie odporúčania pre danú krajinu </w:t>
      </w:r>
      <w:r w:rsidR="00AB26B3" w:rsidRPr="00AB26B3">
        <w:rPr>
          <w:noProof/>
          <w:spacing w:val="-6"/>
          <w:lang w:val="sk-SK"/>
        </w:rPr>
        <w:t>č. </w:t>
      </w:r>
      <w:r w:rsidRPr="00AB26B3">
        <w:rPr>
          <w:noProof/>
          <w:spacing w:val="-6"/>
          <w:lang w:val="sk-SK"/>
        </w:rPr>
        <w:t>3</w:t>
      </w:r>
      <w:r w:rsidR="00AB26B3" w:rsidRPr="00AB26B3">
        <w:rPr>
          <w:noProof/>
          <w:spacing w:val="-6"/>
          <w:lang w:val="sk-SK"/>
        </w:rPr>
        <w:t xml:space="preserve"> z </w:t>
      </w:r>
      <w:r w:rsidRPr="00AB26B3">
        <w:rPr>
          <w:noProof/>
          <w:spacing w:val="-6"/>
          <w:lang w:val="sk-SK"/>
        </w:rPr>
        <w:t>roku 2020</w:t>
      </w:r>
      <w:r w:rsidR="00AB26B3" w:rsidRPr="00AB26B3">
        <w:rPr>
          <w:noProof/>
          <w:spacing w:val="-6"/>
          <w:lang w:val="sk-SK"/>
        </w:rPr>
        <w:t xml:space="preserve"> a </w:t>
      </w:r>
      <w:r w:rsidRPr="00AB26B3">
        <w:rPr>
          <w:noProof/>
          <w:spacing w:val="-6"/>
          <w:lang w:val="sk-SK"/>
        </w:rPr>
        <w:t xml:space="preserve">odporúčania pre danú krajinu </w:t>
      </w:r>
      <w:r w:rsidR="00AB26B3" w:rsidRPr="00AB26B3">
        <w:rPr>
          <w:noProof/>
          <w:spacing w:val="-6"/>
          <w:lang w:val="sk-SK"/>
        </w:rPr>
        <w:t>č. </w:t>
      </w:r>
      <w:r w:rsidRPr="00AB26B3">
        <w:rPr>
          <w:noProof/>
          <w:spacing w:val="-6"/>
          <w:lang w:val="sk-SK"/>
        </w:rPr>
        <w:t>2</w:t>
      </w:r>
      <w:r w:rsidR="00AB26B3" w:rsidRPr="00AB26B3">
        <w:rPr>
          <w:noProof/>
          <w:spacing w:val="-6"/>
          <w:lang w:val="sk-SK"/>
        </w:rPr>
        <w:t xml:space="preserve"> z </w:t>
      </w:r>
      <w:r w:rsidRPr="00AB26B3">
        <w:rPr>
          <w:noProof/>
          <w:spacing w:val="-6"/>
          <w:lang w:val="sk-SK"/>
        </w:rPr>
        <w:t>roku 2019 týkajúceho sa verejných</w:t>
      </w:r>
      <w:r w:rsidR="00AB26B3" w:rsidRPr="00AB26B3">
        <w:rPr>
          <w:noProof/>
          <w:spacing w:val="-6"/>
          <w:lang w:val="sk-SK"/>
        </w:rPr>
        <w:t xml:space="preserve"> a </w:t>
      </w:r>
      <w:r w:rsidRPr="00AB26B3">
        <w:rPr>
          <w:noProof/>
          <w:spacing w:val="-6"/>
          <w:lang w:val="sk-SK"/>
        </w:rPr>
        <w:t>súkromných investícií.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55A4E0C1" w14:textId="1A991D62"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B.1.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314F2A00"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Akčný plán pre energetickú chudobu (opatrenie ID: 16920)</w:t>
      </w:r>
    </w:p>
    <w:p w14:paraId="450B0C54" w14:textId="516A9C05"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Reforma pozostáva</w:t>
      </w:r>
      <w:r w:rsidR="00AB26B3" w:rsidRPr="00AB26B3">
        <w:rPr>
          <w:noProof/>
          <w:spacing w:val="-6"/>
          <w:lang w:val="sk-SK"/>
        </w:rPr>
        <w:t xml:space="preserve"> z </w:t>
      </w:r>
      <w:r w:rsidRPr="00AB26B3">
        <w:rPr>
          <w:noProof/>
          <w:spacing w:val="-6"/>
          <w:lang w:val="sk-SK"/>
        </w:rPr>
        <w:t>prijatia akčného plánu na riešenie problému energetickej chudoby.</w:t>
      </w:r>
      <w:r w:rsidR="00AB26B3" w:rsidRPr="00AB26B3">
        <w:rPr>
          <w:noProof/>
          <w:spacing w:val="-6"/>
          <w:lang w:val="sk-SK"/>
        </w:rPr>
        <w:t xml:space="preserve"> V </w:t>
      </w:r>
      <w:r w:rsidRPr="00AB26B3">
        <w:rPr>
          <w:noProof/>
          <w:spacing w:val="-6"/>
          <w:lang w:val="sk-SK"/>
        </w:rPr>
        <w:t>roku 2019 približne 18</w:t>
      </w:r>
      <w:r w:rsidR="00AB26B3" w:rsidRPr="00AB26B3">
        <w:rPr>
          <w:noProof/>
          <w:spacing w:val="-6"/>
          <w:lang w:val="sk-SK"/>
        </w:rPr>
        <w:t> %</w:t>
      </w:r>
      <w:r w:rsidRPr="00AB26B3">
        <w:rPr>
          <w:noProof/>
          <w:spacing w:val="-6"/>
          <w:lang w:val="sk-SK"/>
        </w:rPr>
        <w:t xml:space="preserve"> celkovej populácie údajne nebolo schopných vykurovať svoje domovy</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približne 34</w:t>
      </w:r>
      <w:r w:rsidR="00AB26B3" w:rsidRPr="00AB26B3">
        <w:rPr>
          <w:noProof/>
          <w:spacing w:val="-6"/>
          <w:lang w:val="sk-SK"/>
        </w:rPr>
        <w:t> % v </w:t>
      </w:r>
      <w:r w:rsidRPr="00AB26B3">
        <w:rPr>
          <w:noProof/>
          <w:spacing w:val="-6"/>
          <w:lang w:val="sk-SK"/>
        </w:rPr>
        <w:t>podskupine ekonomicky zraniteľného obyvateľstva (Eurostat, prieskum EU-SILC).</w:t>
      </w:r>
      <w:r w:rsidR="00AB26B3" w:rsidRPr="00AB26B3">
        <w:rPr>
          <w:noProof/>
          <w:spacing w:val="-6"/>
          <w:lang w:val="sk-SK"/>
        </w:rPr>
        <w:t xml:space="preserve"> V </w:t>
      </w:r>
      <w:r w:rsidRPr="00AB26B3">
        <w:rPr>
          <w:noProof/>
          <w:spacing w:val="-6"/>
          <w:lang w:val="sk-SK"/>
        </w:rPr>
        <w:t>stratégii sa načrtnú cielené politické opatrenia na zlepšenie energetickej efektívnosti obytných budov</w:t>
      </w:r>
      <w:r w:rsidR="00AB26B3" w:rsidRPr="00AB26B3">
        <w:rPr>
          <w:noProof/>
          <w:spacing w:val="-6"/>
          <w:lang w:val="sk-SK"/>
        </w:rPr>
        <w:t xml:space="preserve"> v </w:t>
      </w:r>
      <w:r w:rsidRPr="00AB26B3">
        <w:rPr>
          <w:noProof/>
          <w:spacing w:val="-6"/>
          <w:lang w:val="sk-SK"/>
        </w:rPr>
        <w:t>ekonomicky zraniteľných domácnostiach. Vykonávanie reformy sa ukončí do 30</w:t>
      </w:r>
      <w:r w:rsidR="00AB26B3" w:rsidRPr="00AB26B3">
        <w:rPr>
          <w:noProof/>
          <w:spacing w:val="-6"/>
          <w:lang w:val="sk-SK"/>
        </w:rPr>
        <w:t>. septembra</w:t>
      </w:r>
      <w:r w:rsidRPr="00AB26B3">
        <w:rPr>
          <w:noProof/>
          <w:spacing w:val="-6"/>
          <w:lang w:val="sk-SK"/>
        </w:rPr>
        <w:t xml:space="preserve"> 2021.</w:t>
      </w:r>
    </w:p>
    <w:p w14:paraId="53E4D38C"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Energetická obnova obytných budov (opatrenie ID: 16872)</w:t>
      </w:r>
    </w:p>
    <w:p w14:paraId="472FF698" w14:textId="77777777"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zlepšiť energetickú efektívnosť obytných budov</w:t>
      </w:r>
      <w:r w:rsidR="00AB26B3" w:rsidRPr="00AB26B3">
        <w:rPr>
          <w:noProof/>
          <w:spacing w:val="-6"/>
          <w:lang w:val="sk-SK"/>
        </w:rPr>
        <w:t>.</w:t>
      </w:r>
    </w:p>
    <w:p w14:paraId="38A4E4D4" w14:textId="7AD52261"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Opatrenie pozostáva</w:t>
      </w:r>
      <w:r w:rsidR="00AB26B3" w:rsidRPr="00AB26B3">
        <w:rPr>
          <w:noProof/>
          <w:spacing w:val="-6"/>
          <w:lang w:val="sk-SK"/>
        </w:rPr>
        <w:t xml:space="preserve"> z </w:t>
      </w:r>
      <w:r w:rsidRPr="00AB26B3">
        <w:rPr>
          <w:noProof/>
          <w:spacing w:val="-6"/>
          <w:lang w:val="sk-SK"/>
        </w:rPr>
        <w:t>obnovy, ktorej cieľom je dosiahnuť úspory primárnej energie aspoň na úrovni 30</w:t>
      </w:r>
      <w:r w:rsidR="00AB26B3" w:rsidRPr="00AB26B3">
        <w:rPr>
          <w:noProof/>
          <w:spacing w:val="-6"/>
          <w:lang w:val="sk-SK"/>
        </w:rPr>
        <w:t> %</w:t>
      </w:r>
      <w:r w:rsidRPr="00AB26B3">
        <w:rPr>
          <w:noProof/>
          <w:spacing w:val="-6"/>
          <w:lang w:val="sk-SK"/>
        </w:rPr>
        <w:t>. Poskytuje aj cielené stimuly pre zraniteľné domácnosti.</w:t>
      </w:r>
    </w:p>
    <w:p w14:paraId="28EB64D8" w14:textId="14F96592"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Intervencie</w:t>
      </w:r>
      <w:r w:rsidR="00AB26B3" w:rsidRPr="00AB26B3">
        <w:rPr>
          <w:noProof/>
          <w:spacing w:val="-6"/>
          <w:lang w:val="sk-SK"/>
        </w:rPr>
        <w:t xml:space="preserve"> v </w:t>
      </w:r>
      <w:r w:rsidRPr="00AB26B3">
        <w:rPr>
          <w:noProof/>
          <w:spacing w:val="-6"/>
          <w:lang w:val="sk-SK"/>
        </w:rPr>
        <w:t>obytných oblastiach</w:t>
      </w:r>
      <w:r w:rsidR="00AB26B3" w:rsidRPr="00AB26B3">
        <w:rPr>
          <w:noProof/>
          <w:spacing w:val="-6"/>
          <w:lang w:val="sk-SK"/>
        </w:rPr>
        <w:t xml:space="preserve"> a </w:t>
      </w:r>
      <w:r w:rsidRPr="00AB26B3">
        <w:rPr>
          <w:noProof/>
          <w:spacing w:val="-6"/>
          <w:lang w:val="sk-SK"/>
        </w:rPr>
        <w:t>vo fonde budov (identifikačné číslo opatrenia: 16873)</w:t>
      </w:r>
    </w:p>
    <w:p w14:paraId="1A8E18B5" w14:textId="7081AE76"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tohto opatrenia je vykonávať intervencie</w:t>
      </w:r>
      <w:r w:rsidR="00AB26B3" w:rsidRPr="00AB26B3">
        <w:rPr>
          <w:noProof/>
          <w:spacing w:val="-6"/>
          <w:lang w:val="sk-SK"/>
        </w:rPr>
        <w:t xml:space="preserve"> v </w:t>
      </w:r>
      <w:r w:rsidRPr="00AB26B3">
        <w:rPr>
          <w:noProof/>
          <w:spacing w:val="-6"/>
          <w:lang w:val="sk-SK"/>
        </w:rPr>
        <w:t>obytných oblastiach</w:t>
      </w:r>
      <w:r w:rsidR="00AB26B3" w:rsidRPr="00AB26B3">
        <w:rPr>
          <w:noProof/>
          <w:spacing w:val="-6"/>
          <w:lang w:val="sk-SK"/>
        </w:rPr>
        <w:t xml:space="preserve"> a </w:t>
      </w:r>
      <w:r w:rsidRPr="00AB26B3">
        <w:rPr>
          <w:noProof/>
          <w:spacing w:val="-6"/>
          <w:lang w:val="sk-SK"/>
        </w:rPr>
        <w:t>vo fonde budov, prispievať</w:t>
      </w:r>
      <w:r w:rsidR="00AB26B3" w:rsidRPr="00AB26B3">
        <w:rPr>
          <w:noProof/>
          <w:spacing w:val="-6"/>
          <w:lang w:val="sk-SK"/>
        </w:rPr>
        <w:t xml:space="preserve"> k </w:t>
      </w:r>
      <w:r w:rsidRPr="00AB26B3">
        <w:rPr>
          <w:noProof/>
          <w:spacing w:val="-6"/>
          <w:lang w:val="sk-SK"/>
        </w:rPr>
        <w:t>adaptácii na zmenu klímy</w:t>
      </w:r>
      <w:r w:rsidR="00AB26B3" w:rsidRPr="00AB26B3">
        <w:rPr>
          <w:noProof/>
          <w:spacing w:val="-6"/>
          <w:lang w:val="sk-SK"/>
        </w:rPr>
        <w:t xml:space="preserve"> a </w:t>
      </w:r>
      <w:r w:rsidRPr="00AB26B3">
        <w:rPr>
          <w:noProof/>
          <w:spacing w:val="-6"/>
          <w:lang w:val="sk-SK"/>
        </w:rPr>
        <w:t>zmierneniu zmeny klímy, ako aj</w:t>
      </w:r>
      <w:r w:rsidR="00AB26B3" w:rsidRPr="00AB26B3">
        <w:rPr>
          <w:noProof/>
          <w:spacing w:val="-6"/>
          <w:lang w:val="sk-SK"/>
        </w:rPr>
        <w:t xml:space="preserve"> k </w:t>
      </w:r>
      <w:r w:rsidRPr="00AB26B3">
        <w:rPr>
          <w:noProof/>
          <w:spacing w:val="-6"/>
          <w:lang w:val="sk-SK"/>
        </w:rPr>
        <w:t>zlepšeniu energetickej efektívnosti. Investícia pozostáva</w:t>
      </w:r>
      <w:r w:rsidR="00AB26B3" w:rsidRPr="00AB26B3">
        <w:rPr>
          <w:noProof/>
          <w:spacing w:val="-6"/>
          <w:lang w:val="sk-SK"/>
        </w:rPr>
        <w:t xml:space="preserve"> z </w:t>
      </w:r>
      <w:r w:rsidRPr="00AB26B3">
        <w:rPr>
          <w:noProof/>
          <w:spacing w:val="-6"/>
          <w:lang w:val="sk-SK"/>
        </w:rPr>
        <w:t>intervencií na podporu klimatickej neutrality</w:t>
      </w:r>
      <w:r w:rsidR="00AB26B3" w:rsidRPr="00AB26B3">
        <w:rPr>
          <w:noProof/>
          <w:spacing w:val="-6"/>
          <w:lang w:val="sk-SK"/>
        </w:rPr>
        <w:t xml:space="preserve"> v </w:t>
      </w:r>
      <w:r w:rsidRPr="00AB26B3">
        <w:rPr>
          <w:noProof/>
          <w:spacing w:val="-6"/>
          <w:lang w:val="sk-SK"/>
        </w:rPr>
        <w:t>mestách, obnovy bývalých priemyselných oblastí Votanikos/Elaionas</w:t>
      </w:r>
      <w:r w:rsidR="00AB26B3" w:rsidRPr="00AB26B3">
        <w:rPr>
          <w:noProof/>
          <w:spacing w:val="-6"/>
          <w:lang w:val="sk-SK"/>
        </w:rPr>
        <w:t xml:space="preserve"> v </w:t>
      </w:r>
      <w:r w:rsidRPr="00AB26B3">
        <w:rPr>
          <w:noProof/>
          <w:spacing w:val="-6"/>
          <w:lang w:val="sk-SK"/>
        </w:rPr>
        <w:t>Aténach</w:t>
      </w:r>
      <w:r w:rsidR="00AB26B3" w:rsidRPr="00AB26B3">
        <w:rPr>
          <w:noProof/>
          <w:spacing w:val="-6"/>
          <w:lang w:val="sk-SK"/>
        </w:rPr>
        <w:t xml:space="preserve"> a </w:t>
      </w:r>
      <w:r w:rsidRPr="00AB26B3">
        <w:rPr>
          <w:noProof/>
          <w:spacing w:val="-6"/>
          <w:lang w:val="sk-SK"/>
        </w:rPr>
        <w:t>výstavby chodníka pre chodcov</w:t>
      </w:r>
      <w:r w:rsidR="00AB26B3" w:rsidRPr="00AB26B3">
        <w:rPr>
          <w:noProof/>
          <w:spacing w:val="-6"/>
          <w:lang w:val="sk-SK"/>
        </w:rPr>
        <w:t xml:space="preserve"> a </w:t>
      </w:r>
      <w:r w:rsidRPr="00AB26B3">
        <w:rPr>
          <w:noProof/>
          <w:spacing w:val="-6"/>
          <w:lang w:val="sk-SK"/>
        </w:rPr>
        <w:t>cyklistov pozdĺž Atén Riviera</w:t>
      </w:r>
      <w:r w:rsidR="00AB26B3" w:rsidRPr="00AB26B3">
        <w:rPr>
          <w:noProof/>
          <w:spacing w:val="-6"/>
          <w:lang w:val="sk-SK"/>
        </w:rPr>
        <w:t>.</w:t>
      </w:r>
    </w:p>
    <w:p w14:paraId="35731045" w14:textId="65A255E0"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Energetika</w:t>
      </w:r>
      <w:r w:rsidR="00AB26B3" w:rsidRPr="00AB26B3">
        <w:rPr>
          <w:noProof/>
          <w:spacing w:val="-6"/>
          <w:lang w:val="sk-SK"/>
        </w:rPr>
        <w:t xml:space="preserve"> a </w:t>
      </w:r>
      <w:r w:rsidRPr="00AB26B3">
        <w:rPr>
          <w:noProof/>
          <w:spacing w:val="-6"/>
          <w:lang w:val="sk-SK"/>
        </w:rPr>
        <w:t>podnikanie (identifikačné číslo opatrenia: 16874)</w:t>
      </w:r>
    </w:p>
    <w:p w14:paraId="1A43FBF6" w14:textId="1392399E"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szCs w:val="24"/>
          <w:lang w:val="sk-SK"/>
        </w:rPr>
        <w:t>Cieľom opatrenia je poskytnúť finančnú podporu súkromným spoločnostiam na zlepšenie ich energetickej efektívnosti. Opatrenie spočíva</w:t>
      </w:r>
      <w:r w:rsidR="00AB26B3" w:rsidRPr="00AB26B3">
        <w:rPr>
          <w:noProof/>
          <w:spacing w:val="-6"/>
          <w:szCs w:val="24"/>
          <w:lang w:val="sk-SK"/>
        </w:rPr>
        <w:t xml:space="preserve"> v </w:t>
      </w:r>
      <w:r w:rsidRPr="00AB26B3">
        <w:rPr>
          <w:noProof/>
          <w:spacing w:val="-6"/>
          <w:szCs w:val="24"/>
          <w:lang w:val="sk-SK"/>
        </w:rPr>
        <w:t>poskytovaní podpory na energeticky efektívnu obnovu</w:t>
      </w:r>
      <w:r w:rsidR="00AB26B3" w:rsidRPr="00AB26B3">
        <w:rPr>
          <w:noProof/>
          <w:spacing w:val="-6"/>
          <w:szCs w:val="24"/>
          <w:lang w:val="sk-SK"/>
        </w:rPr>
        <w:t xml:space="preserve"> a </w:t>
      </w:r>
      <w:r w:rsidRPr="00AB26B3">
        <w:rPr>
          <w:noProof/>
          <w:spacing w:val="-6"/>
          <w:szCs w:val="24"/>
          <w:lang w:val="sk-SK"/>
        </w:rPr>
        <w:t>modernizáciu a/alebo výmenu vybavenia</w:t>
      </w:r>
      <w:r w:rsidR="00AB26B3" w:rsidRPr="00AB26B3">
        <w:rPr>
          <w:noProof/>
          <w:spacing w:val="-6"/>
          <w:szCs w:val="24"/>
          <w:lang w:val="sk-SK"/>
        </w:rPr>
        <w:t xml:space="preserve"> a </w:t>
      </w:r>
      <w:r w:rsidRPr="00AB26B3">
        <w:rPr>
          <w:noProof/>
          <w:spacing w:val="-6"/>
          <w:szCs w:val="24"/>
          <w:lang w:val="sk-SK"/>
        </w:rPr>
        <w:t>systémov pre súkromný sektor</w:t>
      </w:r>
      <w:r w:rsidRPr="00AB26B3">
        <w:rPr>
          <w:noProof/>
          <w:spacing w:val="-6"/>
          <w:lang w:val="sk-SK"/>
        </w:rPr>
        <w:t>.</w:t>
      </w:r>
    </w:p>
    <w:p w14:paraId="3D25DE7D"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Energetická modernizácia budov verejného sektora (opatrenie ID: 16876)</w:t>
      </w:r>
    </w:p>
    <w:p w14:paraId="70D53E3E" w14:textId="337633D8"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Táto investícia zahŕňa obnovu budov verejného sektora</w:t>
      </w:r>
      <w:r w:rsidR="00AB26B3" w:rsidRPr="00AB26B3">
        <w:rPr>
          <w:noProof/>
          <w:spacing w:val="-6"/>
          <w:lang w:val="sk-SK"/>
        </w:rPr>
        <w:t xml:space="preserve"> s </w:t>
      </w:r>
      <w:r w:rsidRPr="00AB26B3">
        <w:rPr>
          <w:noProof/>
          <w:spacing w:val="-6"/>
          <w:lang w:val="sk-SK"/>
        </w:rPr>
        <w:t>cieľom zvýšiť ich energetickú efektívnosť prostredníctvom zapojenia spoločností pôsobiacich</w:t>
      </w:r>
      <w:r w:rsidR="00AB26B3" w:rsidRPr="00AB26B3">
        <w:rPr>
          <w:noProof/>
          <w:spacing w:val="-6"/>
          <w:lang w:val="sk-SK"/>
        </w:rPr>
        <w:t xml:space="preserve"> v </w:t>
      </w:r>
      <w:r w:rsidRPr="00AB26B3">
        <w:rPr>
          <w:noProof/>
          <w:spacing w:val="-6"/>
          <w:lang w:val="sk-SK"/>
        </w:rPr>
        <w:t>oblasti úspor energie (ESCO). Investícia zahŕňa aj energetickú modernizáciu infraštruktúry pouličného osvetlenia. Cieľom tejto investície je prispieť</w:t>
      </w:r>
      <w:r w:rsidR="00AB26B3" w:rsidRPr="00AB26B3">
        <w:rPr>
          <w:noProof/>
          <w:spacing w:val="-6"/>
          <w:lang w:val="sk-SK"/>
        </w:rPr>
        <w:t xml:space="preserve"> k </w:t>
      </w:r>
      <w:r w:rsidRPr="00AB26B3">
        <w:rPr>
          <w:noProof/>
          <w:spacing w:val="-6"/>
          <w:lang w:val="sk-SK"/>
        </w:rPr>
        <w:t>splneniu cieľov energetickej efektívnosti prijatých</w:t>
      </w:r>
      <w:r w:rsidR="00AB26B3" w:rsidRPr="00AB26B3">
        <w:rPr>
          <w:noProof/>
          <w:spacing w:val="-6"/>
          <w:lang w:val="sk-SK"/>
        </w:rPr>
        <w:t xml:space="preserve"> v </w:t>
      </w:r>
      <w:r w:rsidRPr="00AB26B3">
        <w:rPr>
          <w:noProof/>
          <w:spacing w:val="-6"/>
          <w:lang w:val="sk-SK"/>
        </w:rPr>
        <w:t>NEKP</w:t>
      </w:r>
      <w:r w:rsidR="00AB26B3" w:rsidRPr="00AB26B3">
        <w:rPr>
          <w:noProof/>
          <w:spacing w:val="-6"/>
          <w:lang w:val="sk-SK"/>
        </w:rPr>
        <w:t xml:space="preserve"> a k </w:t>
      </w:r>
      <w:r w:rsidRPr="00AB26B3">
        <w:rPr>
          <w:noProof/>
          <w:spacing w:val="-6"/>
          <w:lang w:val="sk-SK"/>
        </w:rPr>
        <w:t>zníženiu emisií CO2. Očakáva sa, že toto opatrenie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opatrenia</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Significant Harm Technical Guidance (2021/C58/01). Konkrétne sa</w:t>
      </w:r>
      <w:r w:rsidR="00AB26B3" w:rsidRPr="00AB26B3">
        <w:rPr>
          <w:noProof/>
          <w:spacing w:val="-6"/>
          <w:lang w:val="sk-SK"/>
        </w:rPr>
        <w:t xml:space="preserve"> v </w:t>
      </w:r>
      <w:r w:rsidRPr="00AB26B3">
        <w:rPr>
          <w:noProof/>
          <w:spacing w:val="-6"/>
          <w:lang w:val="sk-SK"/>
        </w:rPr>
        <w:t>tomto opatrení vyžaduje, aby hospodárske subjekty vykonávajúce stavebné práce zabezpečili, že najmenej 70</w:t>
      </w:r>
      <w:r w:rsidR="00AB26B3" w:rsidRPr="00AB26B3">
        <w:rPr>
          <w:noProof/>
          <w:spacing w:val="-6"/>
          <w:lang w:val="sk-SK"/>
        </w:rPr>
        <w:t> %</w:t>
      </w:r>
      <w:r w:rsidRPr="00AB26B3">
        <w:rPr>
          <w:noProof/>
          <w:spacing w:val="-6"/>
          <w:lang w:val="sk-SK"/>
        </w:rPr>
        <w:t xml:space="preserve"> (hmotnosti) stavebného</w:t>
      </w:r>
      <w:r w:rsidR="00AB26B3" w:rsidRPr="00AB26B3">
        <w:rPr>
          <w:noProof/>
          <w:spacing w:val="-6"/>
          <w:lang w:val="sk-SK"/>
        </w:rPr>
        <w:t xml:space="preserve"> a </w:t>
      </w:r>
      <w:r w:rsidRPr="00AB26B3">
        <w:rPr>
          <w:noProof/>
          <w:spacing w:val="-6"/>
          <w:lang w:val="sk-SK"/>
        </w:rPr>
        <w:t>demolačného odpadu, ktorý nie je nebezpečný [okrem prirodzene sa vyskytujúceho materiálu uvedeného</w:t>
      </w:r>
      <w:r w:rsidR="00AB26B3" w:rsidRPr="00AB26B3">
        <w:rPr>
          <w:noProof/>
          <w:spacing w:val="-6"/>
          <w:lang w:val="sk-SK"/>
        </w:rPr>
        <w:t xml:space="preserve"> v </w:t>
      </w:r>
      <w:r w:rsidRPr="00AB26B3">
        <w:rPr>
          <w:noProof/>
          <w:spacing w:val="-6"/>
          <w:lang w:val="sk-SK"/>
        </w:rPr>
        <w:t>kategórii 17 05 04</w:t>
      </w:r>
      <w:r w:rsidR="00AB26B3" w:rsidRPr="00AB26B3">
        <w:rPr>
          <w:noProof/>
          <w:spacing w:val="-6"/>
          <w:lang w:val="sk-SK"/>
        </w:rPr>
        <w:t xml:space="preserve"> v </w:t>
      </w:r>
      <w:r w:rsidRPr="00AB26B3">
        <w:rPr>
          <w:noProof/>
          <w:spacing w:val="-6"/>
          <w:lang w:val="sk-SK"/>
        </w:rPr>
        <w:t>európskom zozname odpadov vytvorenom rozhodnutím 2000/532/ES</w:t>
      </w:r>
      <w:r w:rsidR="00AB26B3" w:rsidRPr="00AB26B3">
        <w:rPr>
          <w:noProof/>
          <w:spacing w:val="-6"/>
          <w:lang w:val="sk-SK"/>
        </w:rPr>
        <w:t xml:space="preserve"> z </w:t>
      </w:r>
      <w:r w:rsidRPr="00AB26B3">
        <w:rPr>
          <w:noProof/>
          <w:spacing w:val="-6"/>
          <w:lang w:val="sk-SK"/>
        </w:rPr>
        <w:t>3</w:t>
      </w:r>
      <w:r w:rsidR="00AB26B3" w:rsidRPr="00AB26B3">
        <w:rPr>
          <w:noProof/>
          <w:spacing w:val="-6"/>
          <w:lang w:val="sk-SK"/>
        </w:rPr>
        <w:t>. mája</w:t>
      </w:r>
      <w:r w:rsidRPr="00AB26B3">
        <w:rPr>
          <w:noProof/>
          <w:spacing w:val="-6"/>
          <w:lang w:val="sk-SK"/>
        </w:rPr>
        <w:t xml:space="preserve"> 2000, ktorým sa nahrádza rozhodnutie 94/3/ES, ktorým sa zavádza zoznam odpadov podľa článku 1 písm. a) smernice Rady 75/442/EHS</w:t>
      </w:r>
      <w:r w:rsidR="00AB26B3" w:rsidRPr="00AB26B3">
        <w:rPr>
          <w:noProof/>
          <w:spacing w:val="-6"/>
          <w:lang w:val="sk-SK"/>
        </w:rPr>
        <w:t xml:space="preserve"> o </w:t>
      </w:r>
      <w:r w:rsidRPr="00AB26B3">
        <w:rPr>
          <w:noProof/>
          <w:spacing w:val="-6"/>
          <w:lang w:val="sk-SK"/>
        </w:rPr>
        <w:t>odpade</w:t>
      </w:r>
      <w:r w:rsidR="00AB26B3" w:rsidRPr="00AB26B3">
        <w:rPr>
          <w:noProof/>
          <w:spacing w:val="-6"/>
          <w:lang w:val="sk-SK"/>
        </w:rPr>
        <w:t xml:space="preserve"> a </w:t>
      </w:r>
      <w:r w:rsidRPr="00AB26B3">
        <w:rPr>
          <w:noProof/>
          <w:spacing w:val="-6"/>
          <w:lang w:val="sk-SK"/>
        </w:rPr>
        <w:t>rozhodnutia Rady 94/904/ES, ktorým sa vydáva zoznam nebezpečných odpadov podľa článku 1 ods. 4 smernice Rady 91/689/EHS</w:t>
      </w:r>
      <w:r w:rsidR="00AB26B3" w:rsidRPr="00AB26B3">
        <w:rPr>
          <w:noProof/>
          <w:spacing w:val="-6"/>
          <w:lang w:val="sk-SK"/>
        </w:rPr>
        <w:t xml:space="preserve"> o </w:t>
      </w:r>
      <w:r w:rsidRPr="00AB26B3">
        <w:rPr>
          <w:noProof/>
          <w:spacing w:val="-6"/>
          <w:lang w:val="sk-SK"/>
        </w:rPr>
        <w:t>nebezpečných odpadoch [oznámeným pod číslom C(2000) 1147], vytvoreného na stavenisku sa pripraví na opätovné použitie, recykláciu</w:t>
      </w:r>
      <w:r w:rsidR="00AB26B3" w:rsidRPr="00AB26B3">
        <w:rPr>
          <w:noProof/>
          <w:spacing w:val="-6"/>
          <w:lang w:val="sk-SK"/>
        </w:rPr>
        <w:t xml:space="preserve"> a </w:t>
      </w:r>
      <w:r w:rsidRPr="00AB26B3">
        <w:rPr>
          <w:noProof/>
          <w:spacing w:val="-6"/>
          <w:lang w:val="sk-SK"/>
        </w:rPr>
        <w:t>iné materiálové zhodnocovanie vrátane spätného zasypávania</w:t>
      </w:r>
      <w:r w:rsidR="00AB26B3" w:rsidRPr="00AB26B3">
        <w:rPr>
          <w:noProof/>
          <w:spacing w:val="-6"/>
          <w:lang w:val="sk-SK"/>
        </w:rPr>
        <w:t xml:space="preserve"> s </w:t>
      </w:r>
      <w:r w:rsidRPr="00AB26B3">
        <w:rPr>
          <w:noProof/>
          <w:spacing w:val="-6"/>
          <w:lang w:val="sk-SK"/>
        </w:rPr>
        <w:t>použitím odpadu ako náhrady iných materiálov,</w:t>
      </w:r>
      <w:r w:rsidR="00AB26B3" w:rsidRPr="00AB26B3">
        <w:rPr>
          <w:noProof/>
          <w:spacing w:val="-6"/>
          <w:lang w:val="sk-SK"/>
        </w:rPr>
        <w:t xml:space="preserve"> a </w:t>
      </w:r>
      <w:r w:rsidRPr="00AB26B3">
        <w:rPr>
          <w:noProof/>
          <w:spacing w:val="-6"/>
          <w:lang w:val="sk-SK"/>
        </w:rPr>
        <w:t>to</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hierarchiou odpadového hospodárstva</w:t>
      </w:r>
      <w:r w:rsidR="00AB26B3" w:rsidRPr="00AB26B3">
        <w:rPr>
          <w:noProof/>
          <w:spacing w:val="-6"/>
          <w:lang w:val="sk-SK"/>
        </w:rPr>
        <w:t xml:space="preserve"> a </w:t>
      </w:r>
      <w:r w:rsidRPr="00AB26B3">
        <w:rPr>
          <w:noProof/>
          <w:spacing w:val="-6"/>
          <w:lang w:val="sk-SK"/>
        </w:rPr>
        <w:t>protokolom EÚ</w:t>
      </w:r>
      <w:r w:rsidR="00AB26B3" w:rsidRPr="00AB26B3">
        <w:rPr>
          <w:noProof/>
          <w:spacing w:val="-6"/>
          <w:lang w:val="sk-SK"/>
        </w:rPr>
        <w:t xml:space="preserve"> o </w:t>
      </w:r>
      <w:r w:rsidRPr="00AB26B3">
        <w:rPr>
          <w:noProof/>
          <w:spacing w:val="-6"/>
          <w:lang w:val="sk-SK"/>
        </w:rPr>
        <w:t>nakladaní so stavebným odpadom</w:t>
      </w:r>
      <w:r w:rsidR="00AB26B3" w:rsidRPr="00AB26B3">
        <w:rPr>
          <w:noProof/>
          <w:spacing w:val="-6"/>
          <w:lang w:val="sk-SK"/>
        </w:rPr>
        <w:t xml:space="preserve"> a </w:t>
      </w:r>
      <w:r w:rsidRPr="00AB26B3">
        <w:rPr>
          <w:noProof/>
          <w:spacing w:val="-6"/>
          <w:lang w:val="sk-SK"/>
        </w:rPr>
        <w:t>odpadom</w:t>
      </w:r>
      <w:r w:rsidR="00AB26B3" w:rsidRPr="00AB26B3">
        <w:rPr>
          <w:noProof/>
          <w:spacing w:val="-6"/>
          <w:lang w:val="sk-SK"/>
        </w:rPr>
        <w:t xml:space="preserve"> z </w:t>
      </w:r>
      <w:r w:rsidRPr="00AB26B3">
        <w:rPr>
          <w:noProof/>
          <w:spacing w:val="-6"/>
          <w:lang w:val="sk-SK"/>
        </w:rPr>
        <w:t>demolácie. Realizácia investície sa ukončí do 31</w:t>
      </w:r>
      <w:r w:rsidR="00AB26B3" w:rsidRPr="00AB26B3">
        <w:rPr>
          <w:noProof/>
          <w:spacing w:val="-6"/>
          <w:lang w:val="sk-SK"/>
        </w:rPr>
        <w:t>. decembra</w:t>
      </w:r>
      <w:r w:rsidRPr="00AB26B3">
        <w:rPr>
          <w:noProof/>
          <w:spacing w:val="-6"/>
          <w:lang w:val="sk-SK"/>
        </w:rPr>
        <w:t xml:space="preserve"> 2025.</w:t>
      </w:r>
    </w:p>
    <w:p w14:paraId="3FC1D2C0" w14:textId="087BDDC8"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Rozvoj infraštruktúry</w:t>
      </w:r>
      <w:r w:rsidR="00AB26B3" w:rsidRPr="00AB26B3">
        <w:rPr>
          <w:noProof/>
          <w:spacing w:val="-6"/>
          <w:lang w:val="sk-SK"/>
        </w:rPr>
        <w:t xml:space="preserve"> a </w:t>
      </w:r>
      <w:r w:rsidRPr="00AB26B3">
        <w:rPr>
          <w:noProof/>
          <w:spacing w:val="-6"/>
          <w:lang w:val="sk-SK"/>
        </w:rPr>
        <w:t>obnova budov</w:t>
      </w:r>
      <w:r w:rsidR="00AB26B3" w:rsidRPr="00AB26B3">
        <w:rPr>
          <w:noProof/>
          <w:spacing w:val="-6"/>
          <w:lang w:val="sk-SK"/>
        </w:rPr>
        <w:t xml:space="preserve"> v </w:t>
      </w:r>
      <w:r w:rsidRPr="00AB26B3">
        <w:rPr>
          <w:noProof/>
          <w:spacing w:val="-6"/>
          <w:lang w:val="sk-SK"/>
        </w:rPr>
        <w:t>bývalých kráľovských nehnuteľnostiach</w:t>
      </w:r>
      <w:r w:rsidR="00AB26B3" w:rsidRPr="00AB26B3">
        <w:rPr>
          <w:noProof/>
          <w:spacing w:val="-6"/>
          <w:lang w:val="sk-SK"/>
        </w:rPr>
        <w:t xml:space="preserve"> v </w:t>
      </w:r>
      <w:r w:rsidRPr="00AB26B3">
        <w:rPr>
          <w:noProof/>
          <w:spacing w:val="-6"/>
          <w:lang w:val="sk-SK"/>
        </w:rPr>
        <w:t>Tatoi (opatrenie ID: 16875)</w:t>
      </w:r>
    </w:p>
    <w:p w14:paraId="0C6459E2" w14:textId="276F3742"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Cieľom opatrenia je poskytnúť obyvateľom Atiky zelenú</w:t>
      </w:r>
      <w:r w:rsidR="00AB26B3" w:rsidRPr="00AB26B3">
        <w:rPr>
          <w:noProof/>
          <w:spacing w:val="-6"/>
          <w:lang w:val="sk-SK"/>
        </w:rPr>
        <w:t xml:space="preserve"> a </w:t>
      </w:r>
      <w:r w:rsidRPr="00AB26B3">
        <w:rPr>
          <w:noProof/>
          <w:spacing w:val="-6"/>
          <w:lang w:val="sk-SK"/>
        </w:rPr>
        <w:t>voľne prístupnú oblasť na rekreáciu, ako aj nový medzník pre turistov. Opatrenie pozostáva</w:t>
      </w:r>
      <w:r w:rsidR="00AB26B3" w:rsidRPr="00AB26B3">
        <w:rPr>
          <w:noProof/>
          <w:spacing w:val="-6"/>
          <w:lang w:val="sk-SK"/>
        </w:rPr>
        <w:t xml:space="preserve"> z </w:t>
      </w:r>
      <w:r w:rsidRPr="00AB26B3">
        <w:rPr>
          <w:noProof/>
          <w:spacing w:val="-6"/>
          <w:lang w:val="sk-SK"/>
        </w:rPr>
        <w:t>obnovy energetickej efektívnosti</w:t>
      </w:r>
      <w:r w:rsidR="00AB26B3" w:rsidRPr="00AB26B3">
        <w:rPr>
          <w:noProof/>
          <w:spacing w:val="-6"/>
          <w:lang w:val="sk-SK"/>
        </w:rPr>
        <w:t xml:space="preserve"> a </w:t>
      </w:r>
      <w:r w:rsidRPr="00AB26B3">
        <w:rPr>
          <w:noProof/>
          <w:spacing w:val="-6"/>
          <w:lang w:val="sk-SK"/>
        </w:rPr>
        <w:t>obnovy budov na bývalom kráľovskom pozemku</w:t>
      </w:r>
      <w:r w:rsidR="00AB26B3" w:rsidRPr="00AB26B3">
        <w:rPr>
          <w:noProof/>
          <w:spacing w:val="-6"/>
          <w:lang w:val="sk-SK"/>
        </w:rPr>
        <w:t xml:space="preserve"> v </w:t>
      </w:r>
      <w:r w:rsidRPr="00AB26B3">
        <w:rPr>
          <w:noProof/>
          <w:spacing w:val="-6"/>
          <w:lang w:val="sk-SK"/>
        </w:rPr>
        <w:t>Tatoi</w:t>
      </w:r>
      <w:r w:rsidR="00AB26B3" w:rsidRPr="00AB26B3">
        <w:rPr>
          <w:noProof/>
          <w:spacing w:val="-6"/>
          <w:lang w:val="sk-SK"/>
        </w:rPr>
        <w:t>.</w:t>
      </w:r>
    </w:p>
    <w:p w14:paraId="76EEE87C" w14:textId="43F8FDD1"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Atletické centrum olympijských hier</w:t>
      </w:r>
      <w:r w:rsidR="00AB26B3" w:rsidRPr="00AB26B3">
        <w:rPr>
          <w:noProof/>
          <w:spacing w:val="-6"/>
          <w:lang w:val="sk-SK"/>
        </w:rPr>
        <w:t xml:space="preserve"> v </w:t>
      </w:r>
      <w:r w:rsidRPr="00AB26B3">
        <w:rPr>
          <w:noProof/>
          <w:spacing w:val="-6"/>
          <w:lang w:val="sk-SK"/>
        </w:rPr>
        <w:t>Aténach (opatrenie ID: 16932)</w:t>
      </w:r>
    </w:p>
    <w:p w14:paraId="1D0F820F" w14:textId="6B2A8668"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obnoviť imidž olympijského atletického centra</w:t>
      </w:r>
      <w:r w:rsidR="00AB26B3" w:rsidRPr="00AB26B3">
        <w:rPr>
          <w:noProof/>
          <w:spacing w:val="-6"/>
          <w:lang w:val="sk-SK"/>
        </w:rPr>
        <w:t xml:space="preserve"> v </w:t>
      </w:r>
      <w:r w:rsidRPr="00AB26B3">
        <w:rPr>
          <w:noProof/>
          <w:spacing w:val="-6"/>
          <w:lang w:val="sk-SK"/>
        </w:rPr>
        <w:t>Aténach (OAKA)</w:t>
      </w:r>
      <w:r w:rsidR="00AB26B3" w:rsidRPr="00AB26B3">
        <w:rPr>
          <w:noProof/>
          <w:spacing w:val="-6"/>
          <w:lang w:val="sk-SK"/>
        </w:rPr>
        <w:t xml:space="preserve"> a </w:t>
      </w:r>
      <w:r w:rsidRPr="00AB26B3">
        <w:rPr>
          <w:noProof/>
          <w:spacing w:val="-6"/>
          <w:lang w:val="sk-SK"/>
        </w:rPr>
        <w:t>znížiť jeho náklady na energiu</w:t>
      </w:r>
      <w:r w:rsidR="00AB26B3" w:rsidRPr="00AB26B3">
        <w:rPr>
          <w:noProof/>
          <w:spacing w:val="-6"/>
          <w:lang w:val="sk-SK"/>
        </w:rPr>
        <w:t xml:space="preserve"> a </w:t>
      </w:r>
      <w:r w:rsidRPr="00AB26B3">
        <w:rPr>
          <w:noProof/>
          <w:spacing w:val="-6"/>
          <w:lang w:val="sk-SK"/>
        </w:rPr>
        <w:t>zabezpečiť jeho finančnú udržateľnosť tým, že sa stane modernou</w:t>
      </w:r>
      <w:r w:rsidR="00AB26B3" w:rsidRPr="00AB26B3">
        <w:rPr>
          <w:noProof/>
          <w:spacing w:val="-6"/>
          <w:lang w:val="sk-SK"/>
        </w:rPr>
        <w:t xml:space="preserve"> a </w:t>
      </w:r>
      <w:r w:rsidRPr="00AB26B3">
        <w:rPr>
          <w:noProof/>
          <w:spacing w:val="-6"/>
          <w:lang w:val="sk-SK"/>
        </w:rPr>
        <w:t>živou mestskou atletickou destináciou</w:t>
      </w:r>
      <w:r w:rsidR="00AB26B3" w:rsidRPr="00AB26B3">
        <w:rPr>
          <w:noProof/>
          <w:spacing w:val="-6"/>
          <w:lang w:val="sk-SK"/>
        </w:rPr>
        <w:t xml:space="preserve"> a </w:t>
      </w:r>
      <w:r w:rsidRPr="00AB26B3">
        <w:rPr>
          <w:noProof/>
          <w:spacing w:val="-6"/>
          <w:lang w:val="sk-SK"/>
        </w:rPr>
        <w:t>miestom voľného času. Investícia pozostáva</w:t>
      </w:r>
      <w:r w:rsidR="00AB26B3" w:rsidRPr="00AB26B3">
        <w:rPr>
          <w:noProof/>
          <w:spacing w:val="-6"/>
          <w:lang w:val="sk-SK"/>
        </w:rPr>
        <w:t xml:space="preserve"> z </w:t>
      </w:r>
      <w:r w:rsidRPr="00AB26B3">
        <w:rPr>
          <w:noProof/>
          <w:spacing w:val="-6"/>
          <w:lang w:val="sk-SK"/>
        </w:rPr>
        <w:t>intervencií</w:t>
      </w:r>
      <w:r w:rsidR="00AB26B3" w:rsidRPr="00AB26B3">
        <w:rPr>
          <w:noProof/>
          <w:spacing w:val="-6"/>
          <w:lang w:val="sk-SK"/>
        </w:rPr>
        <w:t xml:space="preserve"> v </w:t>
      </w:r>
      <w:r w:rsidRPr="00AB26B3">
        <w:rPr>
          <w:noProof/>
          <w:spacing w:val="-6"/>
          <w:lang w:val="sk-SK"/>
        </w:rPr>
        <w:t>oblasti energetickej efektívnosti pre hlavný štadión OAKA, vodné zariadenia, velodrome</w:t>
      </w:r>
      <w:r w:rsidR="00AB26B3" w:rsidRPr="00AB26B3">
        <w:rPr>
          <w:noProof/>
          <w:spacing w:val="-6"/>
          <w:lang w:val="sk-SK"/>
        </w:rPr>
        <w:t xml:space="preserve"> a </w:t>
      </w:r>
      <w:r w:rsidRPr="00AB26B3">
        <w:rPr>
          <w:noProof/>
          <w:spacing w:val="-6"/>
          <w:lang w:val="sk-SK"/>
        </w:rPr>
        <w:t>otvorené priestranstvá</w:t>
      </w:r>
      <w:r w:rsidR="00AB26B3" w:rsidRPr="00AB26B3">
        <w:rPr>
          <w:noProof/>
          <w:spacing w:val="-6"/>
          <w:lang w:val="sk-SK"/>
        </w:rPr>
        <w:t>.</w:t>
      </w:r>
    </w:p>
    <w:p w14:paraId="018C665D" w14:textId="00D8ED2D"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Príprava mestských plánov pri vykonávaní reformy mestskej politiky (identifikačné číslo opatrenia: 16879)</w:t>
      </w:r>
    </w:p>
    <w:p w14:paraId="023F9E29" w14:textId="596D5BA0"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riešiť nedostatky</w:t>
      </w:r>
      <w:r w:rsidR="00AB26B3" w:rsidRPr="00AB26B3">
        <w:rPr>
          <w:noProof/>
          <w:spacing w:val="-6"/>
          <w:lang w:val="sk-SK"/>
        </w:rPr>
        <w:t xml:space="preserve"> a </w:t>
      </w:r>
      <w:r w:rsidRPr="00AB26B3">
        <w:rPr>
          <w:noProof/>
          <w:spacing w:val="-6"/>
          <w:lang w:val="sk-SK"/>
        </w:rPr>
        <w:t>medzery</w:t>
      </w:r>
      <w:r w:rsidR="00AB26B3" w:rsidRPr="00AB26B3">
        <w:rPr>
          <w:noProof/>
          <w:spacing w:val="-6"/>
          <w:lang w:val="sk-SK"/>
        </w:rPr>
        <w:t xml:space="preserve"> v </w:t>
      </w:r>
      <w:r w:rsidRPr="00AB26B3">
        <w:rPr>
          <w:noProof/>
          <w:spacing w:val="-6"/>
          <w:lang w:val="sk-SK"/>
        </w:rPr>
        <w:t>zonácii</w:t>
      </w:r>
      <w:r w:rsidR="00AB26B3" w:rsidRPr="00AB26B3">
        <w:rPr>
          <w:noProof/>
          <w:spacing w:val="-6"/>
          <w:lang w:val="sk-SK"/>
        </w:rPr>
        <w:t xml:space="preserve"> a </w:t>
      </w:r>
      <w:r w:rsidRPr="00AB26B3">
        <w:rPr>
          <w:noProof/>
          <w:spacing w:val="-6"/>
          <w:lang w:val="sk-SK"/>
        </w:rPr>
        <w:t>vo využívaní pôdy</w:t>
      </w:r>
      <w:r w:rsidR="00AB26B3" w:rsidRPr="00AB26B3">
        <w:rPr>
          <w:noProof/>
          <w:spacing w:val="-6"/>
          <w:lang w:val="sk-SK"/>
        </w:rPr>
        <w:t xml:space="preserve"> s </w:t>
      </w:r>
      <w:r w:rsidRPr="00AB26B3">
        <w:rPr>
          <w:noProof/>
          <w:spacing w:val="-6"/>
          <w:lang w:val="sk-SK"/>
        </w:rPr>
        <w:t>cieľom podporiť udržateľnú hospodársku činnosť</w:t>
      </w:r>
      <w:r w:rsidR="00AB26B3" w:rsidRPr="00AB26B3">
        <w:rPr>
          <w:noProof/>
          <w:spacing w:val="-6"/>
          <w:lang w:val="sk-SK"/>
        </w:rPr>
        <w:t xml:space="preserve"> a </w:t>
      </w:r>
      <w:r w:rsidRPr="00AB26B3">
        <w:rPr>
          <w:noProof/>
          <w:spacing w:val="-6"/>
          <w:lang w:val="sk-SK"/>
        </w:rPr>
        <w:t>chrániť životné prostredie. Opatrenie pozostáva</w:t>
      </w:r>
      <w:r w:rsidR="00AB26B3" w:rsidRPr="00AB26B3">
        <w:rPr>
          <w:noProof/>
          <w:spacing w:val="-6"/>
          <w:lang w:val="sk-SK"/>
        </w:rPr>
        <w:t xml:space="preserve"> z </w:t>
      </w:r>
      <w:r w:rsidRPr="00AB26B3">
        <w:rPr>
          <w:noProof/>
          <w:spacing w:val="-6"/>
          <w:lang w:val="sk-SK"/>
        </w:rPr>
        <w:t>rôznych prípravných krokov pre rôzne typy mestských plánov.</w:t>
      </w:r>
    </w:p>
    <w:p w14:paraId="5DA329FD"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Zavedenie nového námorného priestorového plánovania (identifikačné číslo opatrenia: 16891).</w:t>
      </w:r>
    </w:p>
    <w:p w14:paraId="578EC2DC" w14:textId="1C4E37CC"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Reforma sa zaoberá vytvorením národnej priestorovej stratégie pre morské prostredie. Reforma sa zameria na udržateľný rozvoj</w:t>
      </w:r>
      <w:r w:rsidR="00AB26B3" w:rsidRPr="00AB26B3">
        <w:rPr>
          <w:noProof/>
          <w:spacing w:val="-6"/>
          <w:lang w:val="sk-SK"/>
        </w:rPr>
        <w:t xml:space="preserve"> v </w:t>
      </w:r>
      <w:r w:rsidRPr="00AB26B3">
        <w:rPr>
          <w:noProof/>
          <w:spacing w:val="-6"/>
          <w:lang w:val="sk-SK"/>
        </w:rPr>
        <w:t>morských oblastiach</w:t>
      </w:r>
      <w:r w:rsidR="00AB26B3" w:rsidRPr="00AB26B3">
        <w:rPr>
          <w:noProof/>
          <w:spacing w:val="-6"/>
          <w:lang w:val="sk-SK"/>
        </w:rPr>
        <w:t xml:space="preserve"> a </w:t>
      </w:r>
      <w:r w:rsidRPr="00AB26B3">
        <w:rPr>
          <w:noProof/>
          <w:spacing w:val="-6"/>
          <w:lang w:val="sk-SK"/>
        </w:rPr>
        <w:t>pobrežných zónach</w:t>
      </w:r>
      <w:r w:rsidR="00AB26B3" w:rsidRPr="00AB26B3">
        <w:rPr>
          <w:noProof/>
          <w:spacing w:val="-6"/>
          <w:lang w:val="sk-SK"/>
        </w:rPr>
        <w:t xml:space="preserve"> a </w:t>
      </w:r>
      <w:r w:rsidRPr="00AB26B3">
        <w:rPr>
          <w:noProof/>
          <w:spacing w:val="-6"/>
          <w:lang w:val="sk-SK"/>
        </w:rPr>
        <w:t>zároveň na ochranu morského prostredia</w:t>
      </w:r>
      <w:r w:rsidR="00AB26B3" w:rsidRPr="00AB26B3">
        <w:rPr>
          <w:noProof/>
          <w:spacing w:val="-6"/>
          <w:lang w:val="sk-SK"/>
        </w:rPr>
        <w:t xml:space="preserve"> a </w:t>
      </w:r>
      <w:r w:rsidRPr="00AB26B3">
        <w:rPr>
          <w:noProof/>
          <w:spacing w:val="-6"/>
          <w:lang w:val="sk-SK"/>
        </w:rPr>
        <w:t>biodiverzity. Implementácia tejto reformy sa dokončí do 31</w:t>
      </w:r>
      <w:r w:rsidR="00AB26B3" w:rsidRPr="00AB26B3">
        <w:rPr>
          <w:noProof/>
          <w:spacing w:val="-6"/>
          <w:lang w:val="sk-SK"/>
        </w:rPr>
        <w:t>. decembra</w:t>
      </w:r>
      <w:r w:rsidRPr="00AB26B3">
        <w:rPr>
          <w:noProof/>
          <w:spacing w:val="-6"/>
          <w:lang w:val="sk-SK"/>
        </w:rPr>
        <w:t xml:space="preserve"> 2025.</w:t>
      </w:r>
    </w:p>
    <w:p w14:paraId="6CC4F9D5" w14:textId="6B8CF5E7" w:rsidR="00AB26B3" w:rsidRPr="00AB26B3" w:rsidRDefault="00D64F26">
      <w:pPr>
        <w:pStyle w:val="P68B1DB1-Normal5"/>
        <w:spacing w:before="120" w:after="120" w:line="240" w:lineRule="auto"/>
        <w:jc w:val="both"/>
        <w:rPr>
          <w:noProof/>
          <w:spacing w:val="-6"/>
          <w:lang w:val="sk-SK"/>
        </w:rPr>
      </w:pPr>
      <w:r w:rsidRPr="00AB26B3">
        <w:rPr>
          <w:b/>
          <w:noProof/>
          <w:spacing w:val="-6"/>
          <w:lang w:val="sk-SK"/>
        </w:rPr>
        <w:t>Reforma:</w:t>
      </w:r>
      <w:r w:rsidRPr="00AB26B3">
        <w:rPr>
          <w:noProof/>
          <w:spacing w:val="-6"/>
          <w:lang w:val="sk-SK"/>
        </w:rPr>
        <w:t xml:space="preserve"> Vytvorenie nového osobitného rámca priestorového plánovania pre energiu</w:t>
      </w:r>
      <w:r w:rsidR="00AB26B3" w:rsidRPr="00AB26B3">
        <w:rPr>
          <w:noProof/>
          <w:spacing w:val="-6"/>
          <w:lang w:val="sk-SK"/>
        </w:rPr>
        <w:t xml:space="preserve"> z </w:t>
      </w:r>
      <w:r w:rsidRPr="00AB26B3">
        <w:rPr>
          <w:noProof/>
          <w:spacing w:val="-6"/>
          <w:lang w:val="sk-SK"/>
        </w:rPr>
        <w:t>obnoviteľných zdrojov, priemysel</w:t>
      </w:r>
      <w:r w:rsidR="00AB26B3" w:rsidRPr="00AB26B3">
        <w:rPr>
          <w:noProof/>
          <w:spacing w:val="-6"/>
          <w:lang w:val="sk-SK"/>
        </w:rPr>
        <w:t xml:space="preserve"> a </w:t>
      </w:r>
      <w:r w:rsidRPr="00AB26B3">
        <w:rPr>
          <w:noProof/>
          <w:spacing w:val="-6"/>
          <w:lang w:val="sk-SK"/>
        </w:rPr>
        <w:t>cestovný ruch (opatrenie ID: 16894)</w:t>
      </w:r>
      <w:r w:rsidR="00AB26B3" w:rsidRPr="00AB26B3">
        <w:rPr>
          <w:noProof/>
          <w:spacing w:val="-6"/>
          <w:lang w:val="sk-SK"/>
        </w:rPr>
        <w:t>.</w:t>
      </w:r>
    </w:p>
    <w:p w14:paraId="2A16EA29" w14:textId="29B2B192"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podporiť zmiernenie zmeny klímy</w:t>
      </w:r>
      <w:r w:rsidR="00AB26B3" w:rsidRPr="00AB26B3">
        <w:rPr>
          <w:noProof/>
          <w:spacing w:val="-6"/>
          <w:lang w:val="sk-SK"/>
        </w:rPr>
        <w:t xml:space="preserve"> a </w:t>
      </w:r>
      <w:r w:rsidRPr="00AB26B3">
        <w:rPr>
          <w:noProof/>
          <w:spacing w:val="-6"/>
          <w:lang w:val="sk-SK"/>
        </w:rPr>
        <w:t>adaptáciu na ňu, ochranu biodiverzity, hospodársky rast</w:t>
      </w:r>
      <w:r w:rsidR="00AB26B3" w:rsidRPr="00AB26B3">
        <w:rPr>
          <w:noProof/>
          <w:spacing w:val="-6"/>
          <w:lang w:val="sk-SK"/>
        </w:rPr>
        <w:t xml:space="preserve"> a </w:t>
      </w:r>
      <w:r w:rsidRPr="00AB26B3">
        <w:rPr>
          <w:noProof/>
          <w:spacing w:val="-6"/>
          <w:lang w:val="sk-SK"/>
        </w:rPr>
        <w:t>vytváranie pracovných miest. Opatrenie pozostáva</w:t>
      </w:r>
      <w:r w:rsidR="00AB26B3" w:rsidRPr="00AB26B3">
        <w:rPr>
          <w:noProof/>
          <w:spacing w:val="-6"/>
          <w:lang w:val="sk-SK"/>
        </w:rPr>
        <w:t xml:space="preserve"> z </w:t>
      </w:r>
      <w:r w:rsidRPr="00AB26B3">
        <w:rPr>
          <w:noProof/>
          <w:spacing w:val="-6"/>
          <w:lang w:val="sk-SK"/>
        </w:rPr>
        <w:t>troch osobitných priestorových rámcov pre energiu</w:t>
      </w:r>
      <w:r w:rsidR="00AB26B3" w:rsidRPr="00AB26B3">
        <w:rPr>
          <w:noProof/>
          <w:spacing w:val="-6"/>
          <w:lang w:val="sk-SK"/>
        </w:rPr>
        <w:t xml:space="preserve"> z </w:t>
      </w:r>
      <w:r w:rsidRPr="00AB26B3">
        <w:rPr>
          <w:noProof/>
          <w:spacing w:val="-6"/>
          <w:lang w:val="sk-SK"/>
        </w:rPr>
        <w:t>obnoviteľných zdrojov, priemysel</w:t>
      </w:r>
      <w:r w:rsidR="00AB26B3" w:rsidRPr="00AB26B3">
        <w:rPr>
          <w:noProof/>
          <w:spacing w:val="-6"/>
          <w:lang w:val="sk-SK"/>
        </w:rPr>
        <w:t xml:space="preserve"> a </w:t>
      </w:r>
      <w:r w:rsidRPr="00AB26B3">
        <w:rPr>
          <w:noProof/>
          <w:spacing w:val="-6"/>
          <w:lang w:val="sk-SK"/>
        </w:rPr>
        <w:t>cestovný ruch.</w:t>
      </w:r>
    </w:p>
    <w:p w14:paraId="4CC87D65" w14:textId="77777777" w:rsidR="00302FC1" w:rsidRPr="00AB26B3" w:rsidRDefault="00302FC1">
      <w:pPr>
        <w:spacing w:before="120" w:after="120" w:line="240" w:lineRule="auto"/>
        <w:jc w:val="both"/>
        <w:rPr>
          <w:rFonts w:ascii="Times New Roman" w:hAnsi="Times New Roman" w:cs="Times New Roman"/>
          <w:noProof/>
          <w:spacing w:val="-6"/>
          <w:sz w:val="24"/>
          <w:lang w:val="sk-SK"/>
        </w:rPr>
      </w:pPr>
    </w:p>
    <w:p w14:paraId="427F690D" w14:textId="77777777" w:rsidR="00302FC1" w:rsidRPr="00AB26B3" w:rsidRDefault="00302FC1">
      <w:pPr>
        <w:spacing w:before="120" w:after="120" w:line="240" w:lineRule="auto"/>
        <w:ind w:left="709"/>
        <w:jc w:val="both"/>
        <w:rPr>
          <w:rFonts w:ascii="Times New Roman" w:hAnsi="Times New Roman" w:cs="Times New Roman"/>
          <w:b/>
          <w:bCs/>
          <w:noProof/>
          <w:spacing w:val="-6"/>
          <w:sz w:val="24"/>
          <w:u w:val="single"/>
          <w:lang w:val="sk-SK"/>
        </w:rPr>
      </w:pPr>
    </w:p>
    <w:p w14:paraId="2CEDFE00"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pPr>
    </w:p>
    <w:p w14:paraId="26A8FFE9" w14:textId="77777777" w:rsidR="00AB26B3" w:rsidRPr="00AB26B3" w:rsidRDefault="00D64F26">
      <w:pPr>
        <w:pStyle w:val="P68B1DB1-Normal17"/>
        <w:keepNext/>
        <w:keepLines/>
        <w:spacing w:before="40" w:after="0" w:line="240" w:lineRule="auto"/>
        <w:jc w:val="both"/>
        <w:outlineLvl w:val="4"/>
        <w:rPr>
          <w:rFonts w:ascii="Times New Roman" w:hAnsi="Times New Roman"/>
          <w:noProof/>
          <w:color w:val="365F91"/>
          <w:spacing w:val="-6"/>
          <w:lang w:val="sk-SK"/>
        </w:rPr>
      </w:pPr>
      <w:r w:rsidRPr="00AB26B3">
        <w:rPr>
          <w:rFonts w:ascii="Times New Roman" w:hAnsi="Times New Roman"/>
          <w:b/>
          <w:noProof/>
          <w:spacing w:val="-6"/>
          <w:u w:val="single"/>
          <w:lang w:val="sk-SK"/>
        </w:rPr>
        <w:t>B.2. Míľniky, ciele, ukazovatele</w:t>
      </w:r>
      <w:r w:rsidR="00AB26B3" w:rsidRPr="00AB26B3">
        <w:rPr>
          <w:rFonts w:ascii="Times New Roman" w:hAnsi="Times New Roman"/>
          <w:b/>
          <w:noProof/>
          <w:spacing w:val="-6"/>
          <w:u w:val="single"/>
          <w:lang w:val="sk-SK"/>
        </w:rPr>
        <w:t xml:space="preserve"> a </w:t>
      </w:r>
      <w:r w:rsidRPr="00AB26B3">
        <w:rPr>
          <w:rFonts w:ascii="Times New Roman" w:hAnsi="Times New Roman"/>
          <w:b/>
          <w:noProof/>
          <w:spacing w:val="-6"/>
          <w:u w:val="single"/>
          <w:lang w:val="sk-SK"/>
        </w:rPr>
        <w:t>harmonogram monitorovania</w:t>
      </w:r>
      <w:r w:rsidR="00AB26B3" w:rsidRPr="00AB26B3">
        <w:rPr>
          <w:rFonts w:ascii="Times New Roman" w:hAnsi="Times New Roman"/>
          <w:b/>
          <w:noProof/>
          <w:spacing w:val="-6"/>
          <w:u w:val="single"/>
          <w:lang w:val="sk-SK"/>
        </w:rPr>
        <w:t xml:space="preserve"> a </w:t>
      </w:r>
      <w:r w:rsidRPr="00AB26B3">
        <w:rPr>
          <w:rFonts w:ascii="Times New Roman" w:hAnsi="Times New Roman"/>
          <w:b/>
          <w:noProof/>
          <w:spacing w:val="-6"/>
          <w:u w:val="single"/>
          <w:lang w:val="sk-SK"/>
        </w:rPr>
        <w:t>realizácie pre nenávratnú finančnú podporu</w:t>
      </w:r>
    </w:p>
    <w:p w14:paraId="18B77513" w14:textId="5E2AAFD9"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szCs w:val="24"/>
          <w:lang w:val="sk-SK"/>
        </w:rPr>
      </w:pPr>
      <w:r w:rsidRPr="00AB26B3">
        <w:rPr>
          <w:rFonts w:ascii="Times New Roman" w:hAnsi="Times New Roman"/>
          <w:noProof/>
          <w:spacing w:val="-6"/>
          <w:lang w:val="sk-SK"/>
        </w:rPr>
        <w:t>Najvýznamnejšia investícia 2: Energetická obnova obytných budov</w:t>
      </w:r>
    </w:p>
    <w:tbl>
      <w:tblPr>
        <w:tblW w:w="152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593"/>
        <w:gridCol w:w="1114"/>
        <w:gridCol w:w="1056"/>
        <w:gridCol w:w="2311"/>
        <w:gridCol w:w="1256"/>
        <w:gridCol w:w="999"/>
        <w:gridCol w:w="820"/>
        <w:gridCol w:w="1119"/>
        <w:gridCol w:w="709"/>
        <w:gridCol w:w="3997"/>
      </w:tblGrid>
      <w:tr w:rsidR="00302FC1" w:rsidRPr="00AB26B3" w14:paraId="2DE45888" w14:textId="77777777">
        <w:trPr>
          <w:trHeight w:val="927"/>
          <w:tblHeader/>
        </w:trPr>
        <w:tc>
          <w:tcPr>
            <w:tcW w:w="562" w:type="dxa"/>
            <w:vMerge w:val="restart"/>
            <w:shd w:val="clear" w:color="auto" w:fill="BDD7EE"/>
            <w:vAlign w:val="center"/>
            <w:hideMark/>
          </w:tcPr>
          <w:p w14:paraId="51131C83" w14:textId="7D100B6D"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w:t>
            </w:r>
            <w:r w:rsidRPr="00AB26B3">
              <w:rPr>
                <w:noProof/>
                <w:spacing w:val="-6"/>
                <w:lang w:val="sk-SK"/>
              </w:rPr>
              <w:br/>
              <w:t>Nie je</w:t>
            </w:r>
            <w:r w:rsidR="00AB26B3" w:rsidRPr="00AB26B3">
              <w:rPr>
                <w:noProof/>
                <w:spacing w:val="-6"/>
                <w:lang w:val="sk-SK"/>
              </w:rPr>
              <w:t xml:space="preserve"> k </w:t>
            </w:r>
            <w:r w:rsidRPr="00AB26B3">
              <w:rPr>
                <w:noProof/>
                <w:spacing w:val="-6"/>
                <w:lang w:val="sk-SK"/>
              </w:rPr>
              <w:t>dispozícii</w:t>
            </w:r>
          </w:p>
        </w:tc>
        <w:tc>
          <w:tcPr>
            <w:tcW w:w="1593" w:type="dxa"/>
            <w:vMerge w:val="restart"/>
            <w:shd w:val="clear" w:color="auto" w:fill="BDD7EE"/>
            <w:vAlign w:val="center"/>
            <w:hideMark/>
          </w:tcPr>
          <w:p w14:paraId="6539B9C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14" w:type="dxa"/>
            <w:vMerge w:val="restart"/>
            <w:shd w:val="clear" w:color="auto" w:fill="BDD7EE"/>
            <w:vAlign w:val="center"/>
            <w:hideMark/>
          </w:tcPr>
          <w:p w14:paraId="729938F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056" w:type="dxa"/>
            <w:vMerge w:val="restart"/>
            <w:shd w:val="clear" w:color="auto" w:fill="BDD7EE"/>
            <w:vAlign w:val="center"/>
            <w:hideMark/>
          </w:tcPr>
          <w:p w14:paraId="7B2A8F7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2311" w:type="dxa"/>
            <w:vMerge w:val="restart"/>
            <w:shd w:val="clear" w:color="auto" w:fill="BDD7EE"/>
            <w:vAlign w:val="center"/>
            <w:hideMark/>
          </w:tcPr>
          <w:p w14:paraId="2ACE3294" w14:textId="04BF0F1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011" w:type="dxa"/>
            <w:gridSpan w:val="3"/>
            <w:shd w:val="clear" w:color="auto" w:fill="BDD7EE"/>
            <w:vAlign w:val="center"/>
            <w:hideMark/>
          </w:tcPr>
          <w:p w14:paraId="43771EB9" w14:textId="63407513"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Kvantitatívne ukazovatele </w:t>
            </w:r>
            <w:r w:rsidRPr="00AB26B3">
              <w:rPr>
                <w:noProof/>
                <w:spacing w:val="-6"/>
                <w:lang w:val="sk-SK"/>
              </w:rPr>
              <w:br/>
              <w:t>(pre ciele)</w:t>
            </w:r>
          </w:p>
        </w:tc>
        <w:tc>
          <w:tcPr>
            <w:tcW w:w="1560" w:type="dxa"/>
            <w:gridSpan w:val="2"/>
            <w:shd w:val="clear" w:color="auto" w:fill="BDD7EE"/>
            <w:vAlign w:val="center"/>
            <w:hideMark/>
          </w:tcPr>
          <w:p w14:paraId="4BE2799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997" w:type="dxa"/>
            <w:vMerge w:val="restart"/>
            <w:shd w:val="clear" w:color="auto" w:fill="BDD7EE"/>
            <w:vAlign w:val="center"/>
            <w:hideMark/>
          </w:tcPr>
          <w:p w14:paraId="4A5EB220" w14:textId="5C84531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863EB37" w14:textId="77777777">
        <w:trPr>
          <w:trHeight w:val="669"/>
          <w:tblHeader/>
        </w:trPr>
        <w:tc>
          <w:tcPr>
            <w:tcW w:w="562" w:type="dxa"/>
            <w:vMerge/>
            <w:vAlign w:val="center"/>
            <w:hideMark/>
          </w:tcPr>
          <w:p w14:paraId="2C252A4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93" w:type="dxa"/>
            <w:vMerge/>
            <w:vAlign w:val="center"/>
            <w:hideMark/>
          </w:tcPr>
          <w:p w14:paraId="28D2D91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14" w:type="dxa"/>
            <w:vMerge/>
            <w:vAlign w:val="center"/>
            <w:hideMark/>
          </w:tcPr>
          <w:p w14:paraId="3BDEA97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56" w:type="dxa"/>
            <w:vMerge/>
            <w:vAlign w:val="center"/>
            <w:hideMark/>
          </w:tcPr>
          <w:p w14:paraId="6817DB7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311" w:type="dxa"/>
            <w:vMerge/>
            <w:vAlign w:val="center"/>
            <w:hideMark/>
          </w:tcPr>
          <w:p w14:paraId="764C89D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92" w:type="dxa"/>
            <w:shd w:val="clear" w:color="auto" w:fill="BDD7EE"/>
            <w:vAlign w:val="center"/>
            <w:hideMark/>
          </w:tcPr>
          <w:p w14:paraId="71514D8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9" w:type="dxa"/>
            <w:shd w:val="clear" w:color="auto" w:fill="BDD7EE"/>
            <w:vAlign w:val="center"/>
            <w:hideMark/>
          </w:tcPr>
          <w:p w14:paraId="5719270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820" w:type="dxa"/>
            <w:shd w:val="clear" w:color="auto" w:fill="BDD7EE"/>
            <w:vAlign w:val="center"/>
            <w:hideMark/>
          </w:tcPr>
          <w:p w14:paraId="7AFA839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51" w:type="dxa"/>
            <w:shd w:val="clear" w:color="auto" w:fill="BDD7EE"/>
            <w:vAlign w:val="center"/>
            <w:hideMark/>
          </w:tcPr>
          <w:p w14:paraId="779822F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2281F3D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997" w:type="dxa"/>
            <w:vMerge/>
            <w:vAlign w:val="center"/>
            <w:hideMark/>
          </w:tcPr>
          <w:p w14:paraId="6E7422B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2FD24B39" w14:textId="77777777">
        <w:trPr>
          <w:trHeight w:val="309"/>
        </w:trPr>
        <w:tc>
          <w:tcPr>
            <w:tcW w:w="562" w:type="dxa"/>
            <w:tcBorders>
              <w:top w:val="single" w:sz="4" w:space="0" w:color="auto"/>
              <w:left w:val="single" w:sz="4" w:space="0" w:color="auto"/>
              <w:bottom w:val="single" w:sz="4" w:space="0" w:color="auto"/>
              <w:right w:val="single" w:sz="4" w:space="0" w:color="auto"/>
            </w:tcBorders>
            <w:shd w:val="clear" w:color="auto" w:fill="C6EFCE"/>
            <w:noWrap/>
            <w:hideMark/>
          </w:tcPr>
          <w:p w14:paraId="2C43943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w:t>
            </w:r>
          </w:p>
        </w:tc>
        <w:tc>
          <w:tcPr>
            <w:tcW w:w="1593" w:type="dxa"/>
            <w:tcBorders>
              <w:top w:val="single" w:sz="4" w:space="0" w:color="auto"/>
              <w:left w:val="single" w:sz="4" w:space="0" w:color="auto"/>
              <w:bottom w:val="single" w:sz="4" w:space="0" w:color="auto"/>
              <w:right w:val="single" w:sz="4" w:space="0" w:color="auto"/>
            </w:tcBorders>
            <w:shd w:val="clear" w:color="auto" w:fill="C6EFCE"/>
            <w:noWrap/>
            <w:hideMark/>
          </w:tcPr>
          <w:p w14:paraId="3798F5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16872_Energetická obnova obytných budov</w:t>
            </w:r>
          </w:p>
        </w:tc>
        <w:tc>
          <w:tcPr>
            <w:tcW w:w="1114" w:type="dxa"/>
            <w:tcBorders>
              <w:top w:val="single" w:sz="4" w:space="0" w:color="auto"/>
              <w:left w:val="single" w:sz="4" w:space="0" w:color="auto"/>
              <w:bottom w:val="single" w:sz="4" w:space="0" w:color="auto"/>
              <w:right w:val="single" w:sz="4" w:space="0" w:color="auto"/>
            </w:tcBorders>
            <w:shd w:val="clear" w:color="auto" w:fill="C6EFCE"/>
            <w:noWrap/>
            <w:hideMark/>
          </w:tcPr>
          <w:p w14:paraId="0208E6C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056" w:type="dxa"/>
            <w:tcBorders>
              <w:top w:val="single" w:sz="4" w:space="0" w:color="auto"/>
              <w:left w:val="single" w:sz="4" w:space="0" w:color="auto"/>
              <w:bottom w:val="single" w:sz="4" w:space="0" w:color="auto"/>
              <w:right w:val="single" w:sz="4" w:space="0" w:color="auto"/>
            </w:tcBorders>
            <w:shd w:val="clear" w:color="auto" w:fill="C6EFCE"/>
            <w:noWrap/>
            <w:hideMark/>
          </w:tcPr>
          <w:p w14:paraId="2A89D71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Renovácia obytných budov –</w:t>
            </w:r>
            <w:r w:rsidRPr="00AB26B3">
              <w:rPr>
                <w:noProof/>
                <w:spacing w:val="-6"/>
                <w:vertAlign w:val="superscript"/>
                <w:lang w:val="sk-SK"/>
              </w:rPr>
              <w:t>spustenie</w:t>
            </w:r>
            <w:r w:rsidRPr="00AB26B3">
              <w:rPr>
                <w:noProof/>
                <w:spacing w:val="-6"/>
                <w:lang w:val="sk-SK"/>
              </w:rPr>
              <w:t xml:space="preserve"> prvého kola</w:t>
            </w:r>
          </w:p>
        </w:tc>
        <w:tc>
          <w:tcPr>
            <w:tcW w:w="2311" w:type="dxa"/>
            <w:tcBorders>
              <w:top w:val="single" w:sz="4" w:space="0" w:color="auto"/>
              <w:left w:val="single" w:sz="4" w:space="0" w:color="auto"/>
              <w:bottom w:val="single" w:sz="4" w:space="0" w:color="auto"/>
              <w:right w:val="single" w:sz="4" w:space="0" w:color="auto"/>
            </w:tcBorders>
            <w:shd w:val="clear" w:color="auto" w:fill="C6EFCE"/>
            <w:noWrap/>
            <w:hideMark/>
          </w:tcPr>
          <w:p w14:paraId="050CE70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spoločného ministerského rozhodnutia </w:t>
            </w:r>
          </w:p>
        </w:tc>
        <w:tc>
          <w:tcPr>
            <w:tcW w:w="1192" w:type="dxa"/>
            <w:tcBorders>
              <w:top w:val="single" w:sz="4" w:space="0" w:color="auto"/>
              <w:left w:val="single" w:sz="4" w:space="0" w:color="auto"/>
              <w:bottom w:val="single" w:sz="4" w:space="0" w:color="auto"/>
              <w:right w:val="single" w:sz="4" w:space="0" w:color="auto"/>
            </w:tcBorders>
            <w:shd w:val="clear" w:color="auto" w:fill="C6EFCE"/>
            <w:noWrap/>
            <w:hideMark/>
          </w:tcPr>
          <w:p w14:paraId="5B068F1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9" w:type="dxa"/>
            <w:tcBorders>
              <w:top w:val="single" w:sz="4" w:space="0" w:color="auto"/>
              <w:left w:val="single" w:sz="4" w:space="0" w:color="auto"/>
              <w:bottom w:val="single" w:sz="4" w:space="0" w:color="auto"/>
              <w:right w:val="single" w:sz="4" w:space="0" w:color="auto"/>
            </w:tcBorders>
            <w:shd w:val="clear" w:color="auto" w:fill="C6EFCE"/>
            <w:noWrap/>
            <w:hideMark/>
          </w:tcPr>
          <w:p w14:paraId="25AD3A8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0" w:type="dxa"/>
            <w:tcBorders>
              <w:top w:val="single" w:sz="4" w:space="0" w:color="auto"/>
              <w:left w:val="single" w:sz="4" w:space="0" w:color="auto"/>
              <w:bottom w:val="single" w:sz="4" w:space="0" w:color="auto"/>
              <w:right w:val="single" w:sz="4" w:space="0" w:color="auto"/>
            </w:tcBorders>
            <w:shd w:val="clear" w:color="auto" w:fill="C6EFCE"/>
            <w:noWrap/>
            <w:hideMark/>
          </w:tcPr>
          <w:p w14:paraId="01AA411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7B8F6A6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tcBorders>
              <w:top w:val="single" w:sz="4" w:space="0" w:color="auto"/>
              <w:left w:val="single" w:sz="4" w:space="0" w:color="auto"/>
              <w:bottom w:val="single" w:sz="4" w:space="0" w:color="auto"/>
              <w:right w:val="single" w:sz="4" w:space="0" w:color="auto"/>
            </w:tcBorders>
            <w:shd w:val="clear" w:color="auto" w:fill="C6EFCE"/>
            <w:noWrap/>
            <w:hideMark/>
          </w:tcPr>
          <w:p w14:paraId="47F24FA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2020</w:t>
            </w:r>
          </w:p>
        </w:tc>
        <w:tc>
          <w:tcPr>
            <w:tcW w:w="3997" w:type="dxa"/>
            <w:tcBorders>
              <w:top w:val="single" w:sz="4" w:space="0" w:color="auto"/>
              <w:left w:val="single" w:sz="4" w:space="0" w:color="auto"/>
              <w:bottom w:val="single" w:sz="4" w:space="0" w:color="auto"/>
              <w:right w:val="single" w:sz="4" w:space="0" w:color="auto"/>
            </w:tcBorders>
            <w:shd w:val="clear" w:color="auto" w:fill="C6EFCE"/>
            <w:noWrap/>
            <w:hideMark/>
          </w:tcPr>
          <w:p w14:paraId="4FA3E9E9" w14:textId="10F66CEC" w:rsidR="00AB26B3" w:rsidRPr="00AB26B3" w:rsidRDefault="00D64F26">
            <w:pPr>
              <w:pStyle w:val="P68B1DB1-Normal12"/>
              <w:spacing w:after="0" w:line="240" w:lineRule="auto"/>
              <w:rPr>
                <w:noProof/>
                <w:spacing w:val="-6"/>
                <w:lang w:val="sk-SK"/>
              </w:rPr>
            </w:pPr>
            <w:r w:rsidRPr="00AB26B3">
              <w:rPr>
                <w:noProof/>
                <w:spacing w:val="-6"/>
                <w:lang w:val="sk-SK"/>
              </w:rPr>
              <w:t>Nadobudnutie účinnosti spoločného ministerského rozhodnutia</w:t>
            </w:r>
            <w:r w:rsidR="00AB26B3" w:rsidRPr="00AB26B3">
              <w:rPr>
                <w:noProof/>
                <w:spacing w:val="-6"/>
                <w:lang w:val="sk-SK"/>
              </w:rPr>
              <w:t xml:space="preserve"> o </w:t>
            </w:r>
            <w:r w:rsidRPr="00AB26B3">
              <w:rPr>
                <w:noProof/>
                <w:spacing w:val="-6"/>
                <w:lang w:val="sk-SK"/>
              </w:rPr>
              <w:t>začatí programu prvej série renovácií vrátane vytvorenia výberového procesu</w:t>
            </w:r>
            <w:r w:rsidR="00AB26B3" w:rsidRPr="00AB26B3">
              <w:rPr>
                <w:noProof/>
                <w:spacing w:val="-6"/>
                <w:lang w:val="sk-SK"/>
              </w:rPr>
              <w:t xml:space="preserve"> s </w:t>
            </w:r>
            <w:r w:rsidRPr="00AB26B3">
              <w:rPr>
                <w:noProof/>
                <w:spacing w:val="-6"/>
                <w:lang w:val="sk-SK"/>
              </w:rPr>
              <w:t>cieľom zabezpečiť, aby sa primárna energetická spotreba obydlí znížila aspoň</w:t>
            </w:r>
            <w:r w:rsidR="00AB26B3" w:rsidRPr="00AB26B3">
              <w:rPr>
                <w:noProof/>
                <w:spacing w:val="-6"/>
                <w:lang w:val="sk-SK"/>
              </w:rPr>
              <w:t xml:space="preserve"> o </w:t>
            </w:r>
            <w:r w:rsidRPr="00AB26B3">
              <w:rPr>
                <w:noProof/>
                <w:spacing w:val="-6"/>
                <w:lang w:val="sk-SK"/>
              </w:rPr>
              <w:t>30</w:t>
            </w:r>
            <w:r w:rsidR="00AB26B3" w:rsidRPr="00AB26B3">
              <w:rPr>
                <w:noProof/>
                <w:spacing w:val="-6"/>
                <w:lang w:val="sk-SK"/>
              </w:rPr>
              <w:t> % v </w:t>
            </w:r>
            <w:r w:rsidRPr="00AB26B3">
              <w:rPr>
                <w:noProof/>
                <w:spacing w:val="-6"/>
                <w:lang w:val="sk-SK"/>
              </w:rPr>
              <w:t>porovnaní</w:t>
            </w:r>
            <w:r w:rsidR="00AB26B3" w:rsidRPr="00AB26B3">
              <w:rPr>
                <w:noProof/>
                <w:spacing w:val="-6"/>
                <w:lang w:val="sk-SK"/>
              </w:rPr>
              <w:t xml:space="preserve"> s </w:t>
            </w:r>
            <w:r w:rsidRPr="00AB26B3">
              <w:rPr>
                <w:noProof/>
                <w:spacing w:val="-6"/>
                <w:lang w:val="sk-SK"/>
              </w:rPr>
              <w:t>pôvodnou výkonnosťou obydlia vypočítanou</w:t>
            </w:r>
            <w:r w:rsidR="00AB26B3" w:rsidRPr="00AB26B3">
              <w:rPr>
                <w:noProof/>
                <w:spacing w:val="-6"/>
                <w:lang w:val="sk-SK"/>
              </w:rPr>
              <w:t xml:space="preserve"> v </w:t>
            </w:r>
            <w:r w:rsidRPr="00AB26B3">
              <w:rPr>
                <w:noProof/>
                <w:spacing w:val="-6"/>
                <w:lang w:val="sk-SK"/>
              </w:rPr>
              <w:t>kWh/</w:t>
            </w:r>
            <w:r w:rsidRPr="00AB26B3">
              <w:rPr>
                <w:noProof/>
                <w:spacing w:val="-6"/>
                <w:vertAlign w:val="superscript"/>
                <w:lang w:val="sk-SK"/>
              </w:rPr>
              <w:t>m²</w:t>
            </w:r>
            <w:r w:rsidR="00AB26B3" w:rsidRPr="00AB26B3">
              <w:rPr>
                <w:noProof/>
                <w:spacing w:val="-6"/>
                <w:lang w:val="sk-SK"/>
              </w:rPr>
              <w:t>.</w:t>
            </w:r>
          </w:p>
          <w:p w14:paraId="6FBA6E94" w14:textId="77C8063A"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5E310D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 spoločnom ministerskom rozhodnutí sa stanovujú:</w:t>
            </w:r>
          </w:p>
          <w:p w14:paraId="1AD999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Mechanizmus vykonávania,</w:t>
            </w:r>
          </w:p>
          <w:p w14:paraId="28F1D77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Výberový proces na dosiahnutie stanoveného cieľa úspor primárnej energie,</w:t>
            </w:r>
          </w:p>
          <w:p w14:paraId="60E47C19" w14:textId="2750802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Certifikačný mechanizmus na potvrdenie skutočných dosiahnutých úspor primárnej energie (vrátane podrobností</w:t>
            </w:r>
            <w:r w:rsidR="00AB26B3" w:rsidRPr="00AB26B3">
              <w:rPr>
                <w:noProof/>
                <w:spacing w:val="-6"/>
                <w:lang w:val="sk-SK"/>
              </w:rPr>
              <w:t xml:space="preserve"> o </w:t>
            </w:r>
            <w:r w:rsidRPr="00AB26B3">
              <w:rPr>
                <w:noProof/>
                <w:spacing w:val="-6"/>
                <w:lang w:val="sk-SK"/>
              </w:rPr>
              <w:t>možných nápravných opatreniach na zabezpečenie splnenia cieľa úspor primárnej energie); podielu a</w:t>
            </w:r>
          </w:p>
          <w:p w14:paraId="3879B2E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Chronologický prehľad.</w:t>
            </w:r>
          </w:p>
        </w:tc>
      </w:tr>
      <w:tr w:rsidR="00302FC1" w:rsidRPr="00AB26B3" w14:paraId="20DC7B94" w14:textId="77777777">
        <w:trPr>
          <w:trHeight w:val="309"/>
        </w:trPr>
        <w:tc>
          <w:tcPr>
            <w:tcW w:w="562" w:type="dxa"/>
            <w:shd w:val="clear" w:color="auto" w:fill="C6EFCE"/>
            <w:noWrap/>
            <w:hideMark/>
          </w:tcPr>
          <w:p w14:paraId="319C9FB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w:t>
            </w:r>
          </w:p>
        </w:tc>
        <w:tc>
          <w:tcPr>
            <w:tcW w:w="1593" w:type="dxa"/>
            <w:shd w:val="clear" w:color="auto" w:fill="C6EFCE"/>
            <w:noWrap/>
            <w:hideMark/>
          </w:tcPr>
          <w:p w14:paraId="60A86A2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16872_Energetická obnova obytných budov</w:t>
            </w:r>
          </w:p>
        </w:tc>
        <w:tc>
          <w:tcPr>
            <w:tcW w:w="1114" w:type="dxa"/>
            <w:shd w:val="clear" w:color="auto" w:fill="C6EFCE"/>
            <w:noWrap/>
          </w:tcPr>
          <w:p w14:paraId="1FEF93CB" w14:textId="3226975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056" w:type="dxa"/>
            <w:shd w:val="clear" w:color="auto" w:fill="C6EFCE"/>
            <w:noWrap/>
          </w:tcPr>
          <w:p w14:paraId="4505965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Renovácia obytných budov –</w:t>
            </w:r>
            <w:r w:rsidRPr="00AB26B3">
              <w:rPr>
                <w:noProof/>
                <w:spacing w:val="-6"/>
                <w:vertAlign w:val="superscript"/>
                <w:lang w:val="sk-SK"/>
              </w:rPr>
              <w:t>2.</w:t>
            </w:r>
            <w:r w:rsidRPr="00AB26B3">
              <w:rPr>
                <w:noProof/>
                <w:spacing w:val="-6"/>
                <w:lang w:val="sk-SK"/>
              </w:rPr>
              <w:t xml:space="preserve"> kolo spustenia vrátane energeticky chudobných domácností</w:t>
            </w:r>
          </w:p>
        </w:tc>
        <w:tc>
          <w:tcPr>
            <w:tcW w:w="2311" w:type="dxa"/>
            <w:shd w:val="clear" w:color="auto" w:fill="C6EFCE"/>
            <w:noWrap/>
          </w:tcPr>
          <w:p w14:paraId="02650E9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spoločného ministerského rozhodnutia </w:t>
            </w:r>
          </w:p>
        </w:tc>
        <w:tc>
          <w:tcPr>
            <w:tcW w:w="1192" w:type="dxa"/>
            <w:shd w:val="clear" w:color="auto" w:fill="C6EFCE"/>
            <w:noWrap/>
          </w:tcPr>
          <w:p w14:paraId="79ECF31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9" w:type="dxa"/>
            <w:shd w:val="clear" w:color="auto" w:fill="C6EFCE"/>
            <w:noWrap/>
          </w:tcPr>
          <w:p w14:paraId="1237BE5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0" w:type="dxa"/>
            <w:shd w:val="clear" w:color="auto" w:fill="C6EFCE"/>
            <w:noWrap/>
          </w:tcPr>
          <w:p w14:paraId="7F8CC99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571DBCF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9" w:type="dxa"/>
            <w:shd w:val="clear" w:color="auto" w:fill="C6EFCE"/>
            <w:noWrap/>
          </w:tcPr>
          <w:p w14:paraId="2AE6D17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997" w:type="dxa"/>
            <w:shd w:val="clear" w:color="auto" w:fill="C6EFCE"/>
            <w:noWrap/>
          </w:tcPr>
          <w:p w14:paraId="77A1252D" w14:textId="706A8C3F" w:rsidR="00AB26B3" w:rsidRPr="00AB26B3" w:rsidRDefault="00D64F26">
            <w:pPr>
              <w:pStyle w:val="P68B1DB1-Normal12"/>
              <w:spacing w:after="0" w:line="240" w:lineRule="auto"/>
              <w:rPr>
                <w:noProof/>
                <w:spacing w:val="-6"/>
                <w:vertAlign w:val="superscript"/>
                <w:lang w:val="sk-SK"/>
              </w:rPr>
            </w:pPr>
            <w:r w:rsidRPr="00AB26B3">
              <w:rPr>
                <w:noProof/>
                <w:spacing w:val="-6"/>
                <w:lang w:val="sk-SK"/>
              </w:rPr>
              <w:t>Nadobudnutie účinnosti spoločného ministerského rozhodnutia</w:t>
            </w:r>
            <w:r w:rsidR="00AB26B3" w:rsidRPr="00AB26B3">
              <w:rPr>
                <w:noProof/>
                <w:spacing w:val="-6"/>
                <w:lang w:val="sk-SK"/>
              </w:rPr>
              <w:t xml:space="preserve"> o </w:t>
            </w:r>
            <w:r w:rsidRPr="00AB26B3">
              <w:rPr>
                <w:noProof/>
                <w:spacing w:val="-6"/>
                <w:lang w:val="sk-SK"/>
              </w:rPr>
              <w:t>spustení programu druhej obnovy</w:t>
            </w:r>
            <w:r w:rsidR="00AB26B3" w:rsidRPr="00AB26B3">
              <w:rPr>
                <w:noProof/>
                <w:spacing w:val="-6"/>
                <w:lang w:val="sk-SK"/>
              </w:rPr>
              <w:t xml:space="preserve"> a </w:t>
            </w:r>
            <w:r w:rsidRPr="00AB26B3">
              <w:rPr>
                <w:noProof/>
                <w:spacing w:val="-6"/>
                <w:lang w:val="sk-SK"/>
              </w:rPr>
              <w:t>spustení programu pre energeticky chudobné obydlia vrátane vytvorenia výberového procesu</w:t>
            </w:r>
            <w:r w:rsidR="00AB26B3" w:rsidRPr="00AB26B3">
              <w:rPr>
                <w:noProof/>
                <w:spacing w:val="-6"/>
                <w:lang w:val="sk-SK"/>
              </w:rPr>
              <w:t xml:space="preserve"> s </w:t>
            </w:r>
            <w:r w:rsidRPr="00AB26B3">
              <w:rPr>
                <w:noProof/>
                <w:spacing w:val="-6"/>
                <w:lang w:val="sk-SK"/>
              </w:rPr>
              <w:t>cieľom zabezpečiť, aby sa primárna energetická spotreba obydlí znížila aspoň</w:t>
            </w:r>
            <w:r w:rsidR="00AB26B3" w:rsidRPr="00AB26B3">
              <w:rPr>
                <w:noProof/>
                <w:spacing w:val="-6"/>
                <w:lang w:val="sk-SK"/>
              </w:rPr>
              <w:t xml:space="preserve"> o </w:t>
            </w:r>
            <w:r w:rsidRPr="00AB26B3">
              <w:rPr>
                <w:noProof/>
                <w:spacing w:val="-6"/>
                <w:lang w:val="sk-SK"/>
              </w:rPr>
              <w:t>30</w:t>
            </w:r>
            <w:r w:rsidR="00AB26B3" w:rsidRPr="00AB26B3">
              <w:rPr>
                <w:noProof/>
                <w:spacing w:val="-6"/>
                <w:lang w:val="sk-SK"/>
              </w:rPr>
              <w:t> % v </w:t>
            </w:r>
            <w:r w:rsidRPr="00AB26B3">
              <w:rPr>
                <w:noProof/>
                <w:spacing w:val="-6"/>
                <w:lang w:val="sk-SK"/>
              </w:rPr>
              <w:t>porovnaní</w:t>
            </w:r>
            <w:r w:rsidR="00AB26B3" w:rsidRPr="00AB26B3">
              <w:rPr>
                <w:noProof/>
                <w:spacing w:val="-6"/>
                <w:lang w:val="sk-SK"/>
              </w:rPr>
              <w:t xml:space="preserve"> s </w:t>
            </w:r>
            <w:r w:rsidRPr="00AB26B3">
              <w:rPr>
                <w:noProof/>
                <w:spacing w:val="-6"/>
                <w:lang w:val="sk-SK"/>
              </w:rPr>
              <w:t>pôvodnou výkonnosťou obydlia vypočítanou</w:t>
            </w:r>
            <w:r w:rsidR="00AB26B3" w:rsidRPr="00AB26B3">
              <w:rPr>
                <w:noProof/>
                <w:spacing w:val="-6"/>
                <w:lang w:val="sk-SK"/>
              </w:rPr>
              <w:t xml:space="preserve"> v </w:t>
            </w:r>
            <w:r w:rsidRPr="00AB26B3">
              <w:rPr>
                <w:noProof/>
                <w:spacing w:val="-6"/>
                <w:lang w:val="sk-SK"/>
              </w:rPr>
              <w:t>kWh/m</w:t>
            </w:r>
            <w:r w:rsidRPr="00AB26B3">
              <w:rPr>
                <w:noProof/>
                <w:spacing w:val="-6"/>
                <w:vertAlign w:val="superscript"/>
                <w:lang w:val="sk-SK"/>
              </w:rPr>
              <w:t>2</w:t>
            </w:r>
            <w:r w:rsidR="00AB26B3" w:rsidRPr="00AB26B3">
              <w:rPr>
                <w:noProof/>
                <w:spacing w:val="-6"/>
                <w:vertAlign w:val="superscript"/>
                <w:lang w:val="sk-SK"/>
              </w:rPr>
              <w:t>.</w:t>
            </w:r>
          </w:p>
          <w:p w14:paraId="797C8B15" w14:textId="5E517FD0"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39F0AD1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 spoločnom ministerskom rozhodnutí sa stanovujú:</w:t>
            </w:r>
          </w:p>
          <w:p w14:paraId="612C82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Mechanizmus vykonávania,</w:t>
            </w:r>
          </w:p>
          <w:p w14:paraId="03A698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Výberový proces na dosiahnutie stanoveného cieľa úspor primárnej energie,</w:t>
            </w:r>
          </w:p>
          <w:p w14:paraId="2946BBF5" w14:textId="2F09714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Ustanovenia pre energeticky chudobné obydlia</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kritériami stanovenými</w:t>
            </w:r>
            <w:r w:rsidR="00AB26B3" w:rsidRPr="00AB26B3">
              <w:rPr>
                <w:noProof/>
                <w:spacing w:val="-6"/>
                <w:lang w:val="sk-SK"/>
              </w:rPr>
              <w:t xml:space="preserve"> v </w:t>
            </w:r>
            <w:r w:rsidRPr="00AB26B3">
              <w:rPr>
                <w:noProof/>
                <w:spacing w:val="-6"/>
                <w:lang w:val="sk-SK"/>
              </w:rPr>
              <w:t>prijatom akčnom pláne pre energetickú chudobu Certifikačný mechanizmus na potvrdenie skutočných dosiahnutých úspor primárnej energie (vrátane podrobností</w:t>
            </w:r>
            <w:r w:rsidR="00AB26B3" w:rsidRPr="00AB26B3">
              <w:rPr>
                <w:noProof/>
                <w:spacing w:val="-6"/>
                <w:lang w:val="sk-SK"/>
              </w:rPr>
              <w:t xml:space="preserve"> o </w:t>
            </w:r>
            <w:r w:rsidRPr="00AB26B3">
              <w:rPr>
                <w:noProof/>
                <w:spacing w:val="-6"/>
                <w:lang w:val="sk-SK"/>
              </w:rPr>
              <w:t>možných nápravných opatreniach na zabezpečenie splnenia cieľa úspor primárnej energie); podielu a</w:t>
            </w:r>
          </w:p>
          <w:p w14:paraId="19A56E6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Chronologický prehľad.</w:t>
            </w:r>
          </w:p>
          <w:p w14:paraId="7A88914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43A04F1" w14:textId="4563065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Osobitné ustanovenie</w:t>
            </w:r>
            <w:r w:rsidR="00AB26B3" w:rsidRPr="00AB26B3">
              <w:rPr>
                <w:noProof/>
                <w:spacing w:val="-6"/>
                <w:lang w:val="sk-SK"/>
              </w:rPr>
              <w:t xml:space="preserve"> o </w:t>
            </w:r>
            <w:r w:rsidRPr="00AB26B3">
              <w:rPr>
                <w:noProof/>
                <w:spacing w:val="-6"/>
                <w:lang w:val="sk-SK"/>
              </w:rPr>
              <w:t>účelovo viazaných finančných prostriedkoch zameraných na energeticky chudobné obydlia, ako sa vymedzuje</w:t>
            </w:r>
            <w:r w:rsidR="00AB26B3" w:rsidRPr="00AB26B3">
              <w:rPr>
                <w:noProof/>
                <w:spacing w:val="-6"/>
                <w:lang w:val="sk-SK"/>
              </w:rPr>
              <w:t xml:space="preserve"> v </w:t>
            </w:r>
            <w:r w:rsidRPr="00AB26B3">
              <w:rPr>
                <w:noProof/>
                <w:spacing w:val="-6"/>
                <w:lang w:val="sk-SK"/>
              </w:rPr>
              <w:t xml:space="preserve">kritériách akčného plánu pre energetickú chudobu. </w:t>
            </w:r>
          </w:p>
        </w:tc>
      </w:tr>
      <w:tr w:rsidR="00302FC1" w:rsidRPr="00AB26B3" w14:paraId="500F2BD5" w14:textId="77777777">
        <w:trPr>
          <w:trHeight w:val="309"/>
        </w:trPr>
        <w:tc>
          <w:tcPr>
            <w:tcW w:w="562" w:type="dxa"/>
            <w:shd w:val="clear" w:color="auto" w:fill="C6EFCE"/>
            <w:noWrap/>
            <w:hideMark/>
          </w:tcPr>
          <w:p w14:paraId="457D911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w:t>
            </w:r>
          </w:p>
        </w:tc>
        <w:tc>
          <w:tcPr>
            <w:tcW w:w="1593" w:type="dxa"/>
            <w:shd w:val="clear" w:color="auto" w:fill="C6EFCE"/>
            <w:noWrap/>
            <w:hideMark/>
          </w:tcPr>
          <w:p w14:paraId="7D330AC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16872_Energetická obnova obytných budov</w:t>
            </w:r>
          </w:p>
        </w:tc>
        <w:tc>
          <w:tcPr>
            <w:tcW w:w="1114" w:type="dxa"/>
            <w:shd w:val="clear" w:color="auto" w:fill="C6EFCE"/>
            <w:noWrap/>
            <w:hideMark/>
          </w:tcPr>
          <w:p w14:paraId="2A31205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056" w:type="dxa"/>
            <w:shd w:val="clear" w:color="auto" w:fill="C6EFCE"/>
            <w:noWrap/>
            <w:hideMark/>
          </w:tcPr>
          <w:p w14:paraId="39B2EF0B" w14:textId="77777777" w:rsidR="00302FC1" w:rsidRPr="00AB26B3" w:rsidRDefault="00D64F26">
            <w:pPr>
              <w:pStyle w:val="P68B1DB1-Normal12"/>
              <w:spacing w:after="0" w:line="240" w:lineRule="auto"/>
              <w:rPr>
                <w:noProof/>
                <w:spacing w:val="-6"/>
                <w:lang w:val="sk-SK"/>
              </w:rPr>
            </w:pPr>
            <w:r w:rsidRPr="00AB26B3">
              <w:rPr>
                <w:noProof/>
                <w:spacing w:val="-6"/>
                <w:lang w:val="sk-SK"/>
              </w:rPr>
              <w:t>Renovácia obytných budov – spustenie 3. kola vrátane energeticky chudobných domácností</w:t>
            </w:r>
          </w:p>
        </w:tc>
        <w:tc>
          <w:tcPr>
            <w:tcW w:w="2311" w:type="dxa"/>
            <w:shd w:val="clear" w:color="auto" w:fill="C6EFCE"/>
            <w:noWrap/>
            <w:hideMark/>
          </w:tcPr>
          <w:p w14:paraId="2089446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spoločného ministerského rozhodnutia</w:t>
            </w:r>
          </w:p>
        </w:tc>
        <w:tc>
          <w:tcPr>
            <w:tcW w:w="1192" w:type="dxa"/>
            <w:shd w:val="clear" w:color="auto" w:fill="C6EFCE"/>
            <w:noWrap/>
            <w:hideMark/>
          </w:tcPr>
          <w:p w14:paraId="4D10E66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9" w:type="dxa"/>
            <w:shd w:val="clear" w:color="auto" w:fill="C6EFCE"/>
            <w:noWrap/>
            <w:hideMark/>
          </w:tcPr>
          <w:p w14:paraId="1C62C00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0" w:type="dxa"/>
            <w:shd w:val="clear" w:color="auto" w:fill="C6EFCE"/>
            <w:noWrap/>
            <w:hideMark/>
          </w:tcPr>
          <w:p w14:paraId="136C92A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hideMark/>
          </w:tcPr>
          <w:p w14:paraId="4742AB3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hideMark/>
          </w:tcPr>
          <w:p w14:paraId="63AE5C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997" w:type="dxa"/>
            <w:shd w:val="clear" w:color="auto" w:fill="C6EFCE"/>
            <w:noWrap/>
            <w:hideMark/>
          </w:tcPr>
          <w:p w14:paraId="33132156" w14:textId="23BFCE0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spoločného ministerského rozhodnutia</w:t>
            </w:r>
            <w:r w:rsidR="00AB26B3" w:rsidRPr="00AB26B3">
              <w:rPr>
                <w:noProof/>
                <w:spacing w:val="-6"/>
                <w:lang w:val="sk-SK"/>
              </w:rPr>
              <w:t xml:space="preserve"> o </w:t>
            </w:r>
            <w:r w:rsidRPr="00AB26B3">
              <w:rPr>
                <w:noProof/>
                <w:spacing w:val="-6"/>
                <w:lang w:val="sk-SK"/>
              </w:rPr>
              <w:t>začatí programu tretieho kola renovácií vrátane vytvorenia výberového procesu</w:t>
            </w:r>
            <w:r w:rsidR="00AB26B3" w:rsidRPr="00AB26B3">
              <w:rPr>
                <w:noProof/>
                <w:spacing w:val="-6"/>
                <w:lang w:val="sk-SK"/>
              </w:rPr>
              <w:t xml:space="preserve"> s </w:t>
            </w:r>
            <w:r w:rsidRPr="00AB26B3">
              <w:rPr>
                <w:noProof/>
                <w:spacing w:val="-6"/>
                <w:lang w:val="sk-SK"/>
              </w:rPr>
              <w:t>cieľom zabezpečiť, aby sa primárna energetická spotreba obydlí znížila aspoň</w:t>
            </w:r>
            <w:r w:rsidR="00AB26B3" w:rsidRPr="00AB26B3">
              <w:rPr>
                <w:noProof/>
                <w:spacing w:val="-6"/>
                <w:lang w:val="sk-SK"/>
              </w:rPr>
              <w:t xml:space="preserve"> o </w:t>
            </w:r>
            <w:r w:rsidRPr="00AB26B3">
              <w:rPr>
                <w:noProof/>
                <w:spacing w:val="-6"/>
                <w:lang w:val="sk-SK"/>
              </w:rPr>
              <w:t>30</w:t>
            </w:r>
            <w:r w:rsidR="00AB26B3" w:rsidRPr="00AB26B3">
              <w:rPr>
                <w:noProof/>
                <w:spacing w:val="-6"/>
                <w:lang w:val="sk-SK"/>
              </w:rPr>
              <w:t> % v </w:t>
            </w:r>
            <w:r w:rsidRPr="00AB26B3">
              <w:rPr>
                <w:noProof/>
                <w:spacing w:val="-6"/>
                <w:lang w:val="sk-SK"/>
              </w:rPr>
              <w:t>porovnaní</w:t>
            </w:r>
            <w:r w:rsidR="00AB26B3" w:rsidRPr="00AB26B3">
              <w:rPr>
                <w:noProof/>
                <w:spacing w:val="-6"/>
                <w:lang w:val="sk-SK"/>
              </w:rPr>
              <w:t xml:space="preserve"> s </w:t>
            </w:r>
            <w:r w:rsidRPr="00AB26B3">
              <w:rPr>
                <w:noProof/>
                <w:spacing w:val="-6"/>
                <w:lang w:val="sk-SK"/>
              </w:rPr>
              <w:t>pôvodnou výkonnosťou obydlia vypočítanou</w:t>
            </w:r>
            <w:r w:rsidR="00AB26B3" w:rsidRPr="00AB26B3">
              <w:rPr>
                <w:noProof/>
                <w:spacing w:val="-6"/>
                <w:lang w:val="sk-SK"/>
              </w:rPr>
              <w:t xml:space="preserve"> v </w:t>
            </w:r>
            <w:r w:rsidRPr="00AB26B3">
              <w:rPr>
                <w:noProof/>
                <w:spacing w:val="-6"/>
                <w:lang w:val="sk-SK"/>
              </w:rPr>
              <w:t>kWh/m</w:t>
            </w:r>
            <w:r w:rsidRPr="00AB26B3">
              <w:rPr>
                <w:noProof/>
                <w:spacing w:val="-6"/>
                <w:vertAlign w:val="superscript"/>
                <w:lang w:val="sk-SK"/>
              </w:rPr>
              <w:t>2.</w:t>
            </w:r>
          </w:p>
          <w:p w14:paraId="7FF2A4C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1AA92E0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 spoločnom ministerskom rozhodnutí sa stanovujú:</w:t>
            </w:r>
          </w:p>
          <w:p w14:paraId="6757AF9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Mechanizmus vykonávania,</w:t>
            </w:r>
          </w:p>
          <w:p w14:paraId="6E7CE025" w14:textId="77777777" w:rsidR="00AB26B3" w:rsidRPr="00AB26B3" w:rsidRDefault="00D64F26">
            <w:pPr>
              <w:pStyle w:val="P68B1DB1-Normal12"/>
              <w:spacing w:after="0" w:line="240" w:lineRule="auto"/>
              <w:rPr>
                <w:noProof/>
                <w:spacing w:val="-6"/>
                <w:lang w:val="sk-SK"/>
              </w:rPr>
            </w:pPr>
            <w:r w:rsidRPr="00AB26B3">
              <w:rPr>
                <w:noProof/>
                <w:spacing w:val="-6"/>
                <w:lang w:val="sk-SK"/>
              </w:rPr>
              <w:t>— Výberový proces na dosiahnutie stanoveného cieľa úspor primárnej energie,</w:t>
            </w:r>
          </w:p>
          <w:p w14:paraId="059A93D5" w14:textId="3C6E4C9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Ustanovenia pre energeticky chudobné obydlia</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kritériami stanovenými</w:t>
            </w:r>
            <w:r w:rsidR="00AB26B3" w:rsidRPr="00AB26B3">
              <w:rPr>
                <w:noProof/>
                <w:spacing w:val="-6"/>
                <w:lang w:val="sk-SK"/>
              </w:rPr>
              <w:t xml:space="preserve"> v </w:t>
            </w:r>
            <w:r w:rsidRPr="00AB26B3">
              <w:rPr>
                <w:noProof/>
                <w:spacing w:val="-6"/>
                <w:lang w:val="sk-SK"/>
              </w:rPr>
              <w:t>prijatom akčnom pláne pre energetickú chudobu;</w:t>
            </w:r>
          </w:p>
          <w:p w14:paraId="16260D6D" w14:textId="617B71C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Certifikačný mechanizmus na potvrdenie skutočných dosiahnutých úspor primárnej energie (vrátane podrobností</w:t>
            </w:r>
            <w:r w:rsidR="00AB26B3" w:rsidRPr="00AB26B3">
              <w:rPr>
                <w:noProof/>
                <w:spacing w:val="-6"/>
                <w:lang w:val="sk-SK"/>
              </w:rPr>
              <w:t xml:space="preserve"> o </w:t>
            </w:r>
            <w:r w:rsidRPr="00AB26B3">
              <w:rPr>
                <w:noProof/>
                <w:spacing w:val="-6"/>
                <w:lang w:val="sk-SK"/>
              </w:rPr>
              <w:t>možných nápravných opatreniach na zabezpečenie splnenia cieľa úspor primárnej energie); podielu a</w:t>
            </w:r>
          </w:p>
          <w:p w14:paraId="4CDDC7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Chronologický prehľad.</w:t>
            </w:r>
          </w:p>
          <w:p w14:paraId="732E9BC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5E1B155B" w14:textId="7273E16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Osobitné ustanovenie</w:t>
            </w:r>
            <w:r w:rsidR="00AB26B3" w:rsidRPr="00AB26B3">
              <w:rPr>
                <w:noProof/>
                <w:spacing w:val="-6"/>
                <w:lang w:val="sk-SK"/>
              </w:rPr>
              <w:t xml:space="preserve"> o </w:t>
            </w:r>
            <w:r w:rsidRPr="00AB26B3">
              <w:rPr>
                <w:noProof/>
                <w:spacing w:val="-6"/>
                <w:lang w:val="sk-SK"/>
              </w:rPr>
              <w:t>účelovo viazaných finančných prostriedkoch zameraných na energeticky chudobné obydlia, ako sa vymedzuje</w:t>
            </w:r>
            <w:r w:rsidR="00AB26B3" w:rsidRPr="00AB26B3">
              <w:rPr>
                <w:noProof/>
                <w:spacing w:val="-6"/>
                <w:lang w:val="sk-SK"/>
              </w:rPr>
              <w:t xml:space="preserve"> v </w:t>
            </w:r>
            <w:r w:rsidRPr="00AB26B3">
              <w:rPr>
                <w:noProof/>
                <w:spacing w:val="-6"/>
                <w:lang w:val="sk-SK"/>
              </w:rPr>
              <w:t>kritériách akčného plánu pre energetickú chudobu.</w:t>
            </w:r>
          </w:p>
        </w:tc>
      </w:tr>
      <w:tr w:rsidR="00302FC1" w:rsidRPr="00AB26B3" w14:paraId="7E26B65B" w14:textId="77777777">
        <w:trPr>
          <w:trHeight w:val="309"/>
        </w:trPr>
        <w:tc>
          <w:tcPr>
            <w:tcW w:w="562" w:type="dxa"/>
            <w:shd w:val="clear" w:color="auto" w:fill="C6EFCE"/>
            <w:noWrap/>
            <w:hideMark/>
          </w:tcPr>
          <w:p w14:paraId="71117A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w:t>
            </w:r>
          </w:p>
        </w:tc>
        <w:tc>
          <w:tcPr>
            <w:tcW w:w="1593" w:type="dxa"/>
            <w:shd w:val="clear" w:color="auto" w:fill="C6EFCE"/>
            <w:noWrap/>
            <w:hideMark/>
          </w:tcPr>
          <w:p w14:paraId="4688C4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16872_Energetická obnova obytných budov</w:t>
            </w:r>
          </w:p>
        </w:tc>
        <w:tc>
          <w:tcPr>
            <w:tcW w:w="1114" w:type="dxa"/>
            <w:shd w:val="clear" w:color="auto" w:fill="C6EFCE"/>
            <w:noWrap/>
            <w:hideMark/>
          </w:tcPr>
          <w:p w14:paraId="07D8C6E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056" w:type="dxa"/>
            <w:shd w:val="clear" w:color="auto" w:fill="C6EFCE"/>
            <w:noWrap/>
          </w:tcPr>
          <w:p w14:paraId="22529B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Renovácia obytných budov – renovácia obytných budov #1</w:t>
            </w:r>
          </w:p>
        </w:tc>
        <w:tc>
          <w:tcPr>
            <w:tcW w:w="2311" w:type="dxa"/>
            <w:shd w:val="clear" w:color="auto" w:fill="C6EFCE"/>
            <w:noWrap/>
          </w:tcPr>
          <w:p w14:paraId="5636916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2" w:type="dxa"/>
            <w:shd w:val="clear" w:color="auto" w:fill="C6EFCE"/>
            <w:noWrap/>
            <w:hideMark/>
          </w:tcPr>
          <w:p w14:paraId="0675C0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Počet dokončených certifikovaných obnov </w:t>
            </w:r>
          </w:p>
        </w:tc>
        <w:tc>
          <w:tcPr>
            <w:tcW w:w="999" w:type="dxa"/>
            <w:shd w:val="clear" w:color="auto" w:fill="C6EFCE"/>
            <w:noWrap/>
            <w:hideMark/>
          </w:tcPr>
          <w:p w14:paraId="6E6C165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820" w:type="dxa"/>
            <w:shd w:val="clear" w:color="auto" w:fill="C6EFCE"/>
            <w:noWrap/>
            <w:hideMark/>
          </w:tcPr>
          <w:p w14:paraId="43A1DB6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8 000</w:t>
            </w:r>
          </w:p>
        </w:tc>
        <w:tc>
          <w:tcPr>
            <w:tcW w:w="851" w:type="dxa"/>
            <w:shd w:val="clear" w:color="auto" w:fill="C6EFCE"/>
            <w:noWrap/>
            <w:hideMark/>
          </w:tcPr>
          <w:p w14:paraId="3369CEB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hideMark/>
          </w:tcPr>
          <w:p w14:paraId="7D2BF7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997" w:type="dxa"/>
            <w:shd w:val="clear" w:color="auto" w:fill="C6EFCE"/>
            <w:noWrap/>
            <w:hideMark/>
          </w:tcPr>
          <w:p w14:paraId="1AD52630" w14:textId="7341F833" w:rsidR="00302FC1" w:rsidRPr="00AB26B3" w:rsidRDefault="00D64F26">
            <w:pPr>
              <w:pStyle w:val="P68B1DB1-Normal12"/>
              <w:spacing w:after="0" w:line="240" w:lineRule="auto"/>
              <w:rPr>
                <w:noProof/>
                <w:spacing w:val="-6"/>
                <w:lang w:val="sk-SK"/>
              </w:rPr>
            </w:pPr>
            <w:r w:rsidRPr="00AB26B3">
              <w:rPr>
                <w:noProof/>
                <w:spacing w:val="-6"/>
                <w:lang w:val="sk-SK"/>
              </w:rPr>
              <w:t>Obnovy na zlepšenie energetickej efektívnosti dokončené pre počet obydlí, ktoré zodpovedajú zníženiu energie</w:t>
            </w:r>
            <w:r w:rsidR="00AB26B3" w:rsidRPr="00AB26B3">
              <w:rPr>
                <w:noProof/>
                <w:spacing w:val="-6"/>
                <w:lang w:val="sk-SK"/>
              </w:rPr>
              <w:t xml:space="preserve"> o </w:t>
            </w:r>
            <w:r w:rsidRPr="00AB26B3">
              <w:rPr>
                <w:noProof/>
                <w:spacing w:val="-6"/>
                <w:lang w:val="sk-SK"/>
              </w:rPr>
              <w:t>16 ktoe ročne</w:t>
            </w:r>
            <w:r w:rsidR="00AB26B3" w:rsidRPr="00AB26B3">
              <w:rPr>
                <w:noProof/>
                <w:spacing w:val="-6"/>
                <w:lang w:val="sk-SK"/>
              </w:rPr>
              <w:t xml:space="preserve"> a s </w:t>
            </w:r>
            <w:r w:rsidRPr="00AB26B3">
              <w:rPr>
                <w:noProof/>
                <w:spacing w:val="-6"/>
                <w:lang w:val="sk-SK"/>
              </w:rPr>
              <w:t>úsporami primárnej energie</w:t>
            </w:r>
            <w:r w:rsidR="00AB26B3" w:rsidRPr="00AB26B3">
              <w:rPr>
                <w:noProof/>
                <w:spacing w:val="-6"/>
                <w:lang w:val="sk-SK"/>
              </w:rPr>
              <w:t xml:space="preserve"> v </w:t>
            </w:r>
            <w:r w:rsidRPr="00AB26B3">
              <w:rPr>
                <w:noProof/>
                <w:spacing w:val="-6"/>
                <w:lang w:val="sk-SK"/>
              </w:rPr>
              <w:t>priemere aspoň 30</w:t>
            </w:r>
            <w:r w:rsidR="00AB26B3" w:rsidRPr="00AB26B3">
              <w:rPr>
                <w:noProof/>
                <w:spacing w:val="-6"/>
                <w:lang w:val="sk-SK"/>
              </w:rPr>
              <w:t> %</w:t>
            </w:r>
            <w:r w:rsidRPr="00AB26B3">
              <w:rPr>
                <w:noProof/>
                <w:spacing w:val="-6"/>
                <w:lang w:val="sk-SK"/>
              </w:rPr>
              <w:t>, na základe predložených energetických certifikátov.</w:t>
            </w:r>
            <w:r w:rsidR="00AB26B3" w:rsidRPr="00AB26B3">
              <w:rPr>
                <w:noProof/>
                <w:spacing w:val="-6"/>
                <w:lang w:val="sk-SK"/>
              </w:rPr>
              <w:t xml:space="preserve"> V </w:t>
            </w:r>
            <w:r w:rsidRPr="00AB26B3">
              <w:rPr>
                <w:noProof/>
                <w:spacing w:val="-6"/>
                <w:lang w:val="sk-SK"/>
              </w:rPr>
              <w:t>rozhodnutí</w:t>
            </w:r>
            <w:r w:rsidR="00AB26B3" w:rsidRPr="00AB26B3">
              <w:rPr>
                <w:noProof/>
                <w:spacing w:val="-6"/>
                <w:lang w:val="sk-SK"/>
              </w:rPr>
              <w:t xml:space="preserve"> o </w:t>
            </w:r>
            <w:r w:rsidRPr="00AB26B3">
              <w:rPr>
                <w:noProof/>
                <w:spacing w:val="-6"/>
                <w:lang w:val="sk-SK"/>
              </w:rPr>
              <w:t xml:space="preserve">dokončení, ktoré vydal riadiaci orgán, sa preukazuje dokončenie intervencií. </w:t>
            </w:r>
          </w:p>
        </w:tc>
      </w:tr>
      <w:tr w:rsidR="00302FC1" w:rsidRPr="00AB26B3" w14:paraId="5386A9EF" w14:textId="77777777">
        <w:trPr>
          <w:trHeight w:val="3914"/>
        </w:trPr>
        <w:tc>
          <w:tcPr>
            <w:tcW w:w="562" w:type="dxa"/>
            <w:tcBorders>
              <w:top w:val="single" w:sz="4" w:space="0" w:color="auto"/>
              <w:left w:val="single" w:sz="4" w:space="0" w:color="auto"/>
              <w:bottom w:val="single" w:sz="4" w:space="0" w:color="auto"/>
              <w:right w:val="single" w:sz="4" w:space="0" w:color="auto"/>
            </w:tcBorders>
            <w:shd w:val="clear" w:color="auto" w:fill="C6EFCE"/>
            <w:noWrap/>
          </w:tcPr>
          <w:p w14:paraId="2E2EC6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26</w:t>
            </w:r>
          </w:p>
        </w:tc>
        <w:tc>
          <w:tcPr>
            <w:tcW w:w="1593" w:type="dxa"/>
            <w:tcBorders>
              <w:top w:val="single" w:sz="4" w:space="0" w:color="auto"/>
              <w:left w:val="single" w:sz="4" w:space="0" w:color="auto"/>
              <w:bottom w:val="single" w:sz="4" w:space="0" w:color="auto"/>
              <w:right w:val="single" w:sz="4" w:space="0" w:color="auto"/>
            </w:tcBorders>
            <w:shd w:val="clear" w:color="auto" w:fill="C6EFCE"/>
            <w:noWrap/>
          </w:tcPr>
          <w:p w14:paraId="538ACF9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16872_Energetická obnova obytných budov</w:t>
            </w:r>
          </w:p>
        </w:tc>
        <w:tc>
          <w:tcPr>
            <w:tcW w:w="1114" w:type="dxa"/>
            <w:tcBorders>
              <w:top w:val="single" w:sz="4" w:space="0" w:color="auto"/>
              <w:left w:val="single" w:sz="4" w:space="0" w:color="auto"/>
              <w:bottom w:val="single" w:sz="4" w:space="0" w:color="auto"/>
              <w:right w:val="single" w:sz="4" w:space="0" w:color="auto"/>
            </w:tcBorders>
            <w:shd w:val="clear" w:color="auto" w:fill="C6EFCE"/>
            <w:noWrap/>
          </w:tcPr>
          <w:p w14:paraId="0F49F38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056" w:type="dxa"/>
            <w:tcBorders>
              <w:top w:val="single" w:sz="4" w:space="0" w:color="auto"/>
              <w:left w:val="single" w:sz="4" w:space="0" w:color="auto"/>
              <w:bottom w:val="single" w:sz="4" w:space="0" w:color="auto"/>
              <w:right w:val="single" w:sz="4" w:space="0" w:color="auto"/>
            </w:tcBorders>
            <w:shd w:val="clear" w:color="auto" w:fill="C6EFCE"/>
            <w:noWrap/>
          </w:tcPr>
          <w:p w14:paraId="230F38B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Renovácia obytných budov – renovácia obytných budov #3</w:t>
            </w:r>
          </w:p>
        </w:tc>
        <w:tc>
          <w:tcPr>
            <w:tcW w:w="2311" w:type="dxa"/>
            <w:tcBorders>
              <w:top w:val="single" w:sz="4" w:space="0" w:color="auto"/>
              <w:left w:val="single" w:sz="4" w:space="0" w:color="auto"/>
              <w:bottom w:val="single" w:sz="4" w:space="0" w:color="auto"/>
              <w:right w:val="single" w:sz="4" w:space="0" w:color="auto"/>
            </w:tcBorders>
            <w:shd w:val="clear" w:color="auto" w:fill="C6EFCE"/>
            <w:noWrap/>
          </w:tcPr>
          <w:p w14:paraId="19FF755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2" w:type="dxa"/>
            <w:tcBorders>
              <w:top w:val="single" w:sz="4" w:space="0" w:color="auto"/>
              <w:left w:val="single" w:sz="4" w:space="0" w:color="auto"/>
              <w:bottom w:val="single" w:sz="4" w:space="0" w:color="auto"/>
              <w:right w:val="single" w:sz="4" w:space="0" w:color="auto"/>
            </w:tcBorders>
            <w:shd w:val="clear" w:color="auto" w:fill="C6EFCE"/>
            <w:noWrap/>
          </w:tcPr>
          <w:p w14:paraId="784528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vykonaných renovácií</w:t>
            </w:r>
          </w:p>
        </w:tc>
        <w:tc>
          <w:tcPr>
            <w:tcW w:w="999" w:type="dxa"/>
            <w:tcBorders>
              <w:top w:val="single" w:sz="4" w:space="0" w:color="auto"/>
              <w:left w:val="single" w:sz="4" w:space="0" w:color="auto"/>
              <w:bottom w:val="single" w:sz="4" w:space="0" w:color="auto"/>
              <w:right w:val="single" w:sz="4" w:space="0" w:color="auto"/>
            </w:tcBorders>
            <w:shd w:val="clear" w:color="auto" w:fill="C6EFCE"/>
            <w:noWrap/>
          </w:tcPr>
          <w:p w14:paraId="10242311" w14:textId="2485A1A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8 000</w:t>
            </w:r>
          </w:p>
        </w:tc>
        <w:tc>
          <w:tcPr>
            <w:tcW w:w="820" w:type="dxa"/>
            <w:tcBorders>
              <w:top w:val="single" w:sz="4" w:space="0" w:color="auto"/>
              <w:left w:val="single" w:sz="4" w:space="0" w:color="auto"/>
              <w:bottom w:val="single" w:sz="4" w:space="0" w:color="auto"/>
              <w:right w:val="single" w:sz="4" w:space="0" w:color="auto"/>
            </w:tcBorders>
            <w:shd w:val="clear" w:color="auto" w:fill="C6EFCE"/>
            <w:noWrap/>
          </w:tcPr>
          <w:p w14:paraId="55620470" w14:textId="77F00CF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83 400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C511E8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3F0D9CE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97" w:type="dxa"/>
            <w:tcBorders>
              <w:top w:val="single" w:sz="4" w:space="0" w:color="auto"/>
              <w:left w:val="single" w:sz="4" w:space="0" w:color="auto"/>
              <w:bottom w:val="single" w:sz="4" w:space="0" w:color="auto"/>
              <w:right w:val="single" w:sz="4" w:space="0" w:color="auto"/>
            </w:tcBorders>
            <w:shd w:val="clear" w:color="auto" w:fill="C6EFCE"/>
            <w:noWrap/>
          </w:tcPr>
          <w:p w14:paraId="08482A2D" w14:textId="399429C2" w:rsidR="00302FC1" w:rsidRPr="00AB26B3" w:rsidRDefault="00D64F26">
            <w:pPr>
              <w:pStyle w:val="P68B1DB1-Normal12"/>
              <w:spacing w:after="0" w:line="240" w:lineRule="auto"/>
              <w:rPr>
                <w:noProof/>
                <w:spacing w:val="-6"/>
                <w:lang w:val="sk-SK"/>
              </w:rPr>
            </w:pPr>
            <w:r w:rsidRPr="00AB26B3">
              <w:rPr>
                <w:noProof/>
                <w:spacing w:val="-6"/>
                <w:lang w:val="sk-SK"/>
              </w:rPr>
              <w:t>Obnova zameraná na energetickú efektívnosť 83400 rezidencií,</w:t>
            </w:r>
            <w:r w:rsidR="00AB26B3" w:rsidRPr="00AB26B3">
              <w:rPr>
                <w:noProof/>
                <w:spacing w:val="-6"/>
                <w:lang w:val="sk-SK"/>
              </w:rPr>
              <w:t xml:space="preserve"> z </w:t>
            </w:r>
            <w:r w:rsidRPr="00AB26B3">
              <w:rPr>
                <w:noProof/>
                <w:spacing w:val="-6"/>
                <w:lang w:val="sk-SK"/>
              </w:rPr>
              <w:t>ktorých aspoň 20400 sú zraniteľné domácnosti. Obnovami sa dosiahnu úspory primárnej energie</w:t>
            </w:r>
            <w:r w:rsidR="00AB26B3" w:rsidRPr="00AB26B3">
              <w:rPr>
                <w:noProof/>
                <w:spacing w:val="-6"/>
                <w:lang w:val="sk-SK"/>
              </w:rPr>
              <w:t xml:space="preserve"> v </w:t>
            </w:r>
            <w:r w:rsidRPr="00AB26B3">
              <w:rPr>
                <w:noProof/>
                <w:spacing w:val="-6"/>
                <w:lang w:val="sk-SK"/>
              </w:rPr>
              <w:t>priemere aspoň 30</w:t>
            </w:r>
            <w:r w:rsidR="00AB26B3" w:rsidRPr="00AB26B3">
              <w:rPr>
                <w:noProof/>
                <w:spacing w:val="-6"/>
                <w:lang w:val="sk-SK"/>
              </w:rPr>
              <w:t> %</w:t>
            </w:r>
            <w:r w:rsidRPr="00AB26B3">
              <w:rPr>
                <w:noProof/>
                <w:spacing w:val="-6"/>
                <w:lang w:val="sk-SK"/>
              </w:rPr>
              <w:t xml:space="preserve"> na základe predložených energetických certifikátov. </w:t>
            </w:r>
          </w:p>
        </w:tc>
      </w:tr>
    </w:tbl>
    <w:p w14:paraId="70320865"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4A78EAF9"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sectPr w:rsidR="00302FC1" w:rsidRPr="00AB26B3" w:rsidSect="00315FC0">
          <w:headerReference w:type="even" r:id="rId38"/>
          <w:headerReference w:type="default" r:id="rId39"/>
          <w:footerReference w:type="even" r:id="rId40"/>
          <w:footerReference w:type="default" r:id="rId41"/>
          <w:headerReference w:type="first" r:id="rId42"/>
          <w:footerReference w:type="first" r:id="rId43"/>
          <w:pgSz w:w="16839" w:h="11907" w:orient="landscape"/>
          <w:pgMar w:top="1134" w:right="1134" w:bottom="1134" w:left="1134" w:header="567" w:footer="567" w:gutter="0"/>
          <w:cols w:space="720"/>
          <w:docGrid w:linePitch="360"/>
        </w:sectPr>
      </w:pPr>
    </w:p>
    <w:p w14:paraId="1BDB3C09" w14:textId="77777777" w:rsidR="00302FC1" w:rsidRPr="00AB26B3" w:rsidRDefault="00D64F26">
      <w:pPr>
        <w:pStyle w:val="P68B1DB1-Normal9"/>
        <w:keepNext/>
        <w:keepLines/>
        <w:spacing w:before="40" w:after="0" w:line="240" w:lineRule="auto"/>
        <w:jc w:val="both"/>
        <w:outlineLvl w:val="4"/>
        <w:rPr>
          <w:rFonts w:ascii="Times New Roman" w:hAnsi="Times New Roman"/>
          <w:noProof/>
          <w:spacing w:val="-6"/>
          <w:lang w:val="sk-SK"/>
        </w:rPr>
      </w:pPr>
      <w:r w:rsidRPr="00AB26B3">
        <w:rPr>
          <w:rFonts w:ascii="Times New Roman" w:hAnsi="Times New Roman"/>
          <w:noProof/>
          <w:spacing w:val="-6"/>
          <w:lang w:val="sk-SK"/>
        </w:rPr>
        <w:t>Kľúčová reforma 2: Mestské plány</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160"/>
        <w:gridCol w:w="1134"/>
        <w:gridCol w:w="1120"/>
        <w:gridCol w:w="1440"/>
        <w:gridCol w:w="1125"/>
        <w:gridCol w:w="1281"/>
        <w:gridCol w:w="705"/>
        <w:gridCol w:w="1119"/>
        <w:gridCol w:w="709"/>
        <w:gridCol w:w="4450"/>
      </w:tblGrid>
      <w:tr w:rsidR="00302FC1" w:rsidRPr="00AB26B3" w14:paraId="7075D9A6" w14:textId="77777777">
        <w:trPr>
          <w:trHeight w:val="844"/>
          <w:jc w:val="center"/>
        </w:trPr>
        <w:tc>
          <w:tcPr>
            <w:tcW w:w="643" w:type="dxa"/>
            <w:vMerge w:val="restart"/>
            <w:shd w:val="clear" w:color="auto" w:fill="BDD7EE"/>
            <w:vAlign w:val="center"/>
            <w:hideMark/>
          </w:tcPr>
          <w:p w14:paraId="03154D97" w14:textId="1BDA7F90"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 Nie.</w:t>
            </w:r>
          </w:p>
        </w:tc>
        <w:tc>
          <w:tcPr>
            <w:tcW w:w="2160" w:type="dxa"/>
            <w:vMerge w:val="restart"/>
            <w:shd w:val="clear" w:color="auto" w:fill="BDD7EE"/>
            <w:vAlign w:val="center"/>
            <w:hideMark/>
          </w:tcPr>
          <w:p w14:paraId="634E43A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34" w:type="dxa"/>
            <w:vMerge w:val="restart"/>
            <w:shd w:val="clear" w:color="auto" w:fill="BDD7EE"/>
            <w:vAlign w:val="center"/>
            <w:hideMark/>
          </w:tcPr>
          <w:p w14:paraId="4C86B83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120" w:type="dxa"/>
            <w:vMerge w:val="restart"/>
            <w:shd w:val="clear" w:color="auto" w:fill="BDD7EE"/>
            <w:vAlign w:val="center"/>
            <w:hideMark/>
          </w:tcPr>
          <w:p w14:paraId="6756C0B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440" w:type="dxa"/>
            <w:vMerge w:val="restart"/>
            <w:shd w:val="clear" w:color="auto" w:fill="BDD7EE"/>
            <w:vAlign w:val="center"/>
            <w:hideMark/>
          </w:tcPr>
          <w:p w14:paraId="062C3467" w14:textId="35267204"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111" w:type="dxa"/>
            <w:gridSpan w:val="3"/>
            <w:shd w:val="clear" w:color="auto" w:fill="BDD7EE"/>
            <w:vAlign w:val="center"/>
            <w:hideMark/>
          </w:tcPr>
          <w:p w14:paraId="68E319EC" w14:textId="7AC9BC73"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Kvantitatívne ukazovatele </w:t>
            </w:r>
            <w:r w:rsidRPr="00AB26B3">
              <w:rPr>
                <w:noProof/>
                <w:spacing w:val="-6"/>
                <w:lang w:val="sk-SK"/>
              </w:rPr>
              <w:br/>
              <w:t>(pre ciele)</w:t>
            </w:r>
          </w:p>
        </w:tc>
        <w:tc>
          <w:tcPr>
            <w:tcW w:w="1558" w:type="dxa"/>
            <w:gridSpan w:val="2"/>
            <w:shd w:val="clear" w:color="auto" w:fill="BDD7EE"/>
            <w:vAlign w:val="center"/>
            <w:hideMark/>
          </w:tcPr>
          <w:p w14:paraId="6B66700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450" w:type="dxa"/>
            <w:vMerge w:val="restart"/>
            <w:shd w:val="clear" w:color="auto" w:fill="BDD7EE"/>
            <w:vAlign w:val="center"/>
            <w:hideMark/>
          </w:tcPr>
          <w:p w14:paraId="53E417E7" w14:textId="20F5AE84"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489F3426" w14:textId="77777777">
        <w:trPr>
          <w:trHeight w:val="601"/>
          <w:tblHeader/>
          <w:jc w:val="center"/>
        </w:trPr>
        <w:tc>
          <w:tcPr>
            <w:tcW w:w="643" w:type="dxa"/>
            <w:vMerge/>
            <w:vAlign w:val="center"/>
            <w:hideMark/>
          </w:tcPr>
          <w:p w14:paraId="742BA23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160" w:type="dxa"/>
            <w:vMerge/>
            <w:vAlign w:val="center"/>
            <w:hideMark/>
          </w:tcPr>
          <w:p w14:paraId="48FC4F4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4" w:type="dxa"/>
            <w:vMerge/>
            <w:vAlign w:val="center"/>
            <w:hideMark/>
          </w:tcPr>
          <w:p w14:paraId="127A7BD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20" w:type="dxa"/>
            <w:vMerge/>
            <w:vAlign w:val="center"/>
            <w:hideMark/>
          </w:tcPr>
          <w:p w14:paraId="7FEE86A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40" w:type="dxa"/>
            <w:vMerge/>
            <w:vAlign w:val="center"/>
            <w:hideMark/>
          </w:tcPr>
          <w:p w14:paraId="7CB1A04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25" w:type="dxa"/>
            <w:shd w:val="clear" w:color="auto" w:fill="BDD7EE"/>
            <w:vAlign w:val="center"/>
            <w:hideMark/>
          </w:tcPr>
          <w:p w14:paraId="455F4A6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281" w:type="dxa"/>
            <w:shd w:val="clear" w:color="auto" w:fill="BDD7EE"/>
            <w:vAlign w:val="center"/>
            <w:hideMark/>
          </w:tcPr>
          <w:p w14:paraId="73B6B75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705" w:type="dxa"/>
            <w:shd w:val="clear" w:color="auto" w:fill="BDD7EE"/>
            <w:vAlign w:val="center"/>
            <w:hideMark/>
          </w:tcPr>
          <w:p w14:paraId="43A5A2C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49" w:type="dxa"/>
            <w:shd w:val="clear" w:color="auto" w:fill="BDD7EE"/>
            <w:vAlign w:val="center"/>
            <w:hideMark/>
          </w:tcPr>
          <w:p w14:paraId="4463BD3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415F7F1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450" w:type="dxa"/>
            <w:vMerge/>
            <w:vAlign w:val="center"/>
            <w:hideMark/>
          </w:tcPr>
          <w:p w14:paraId="079A619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799159BA" w14:textId="77777777">
        <w:trPr>
          <w:trHeight w:val="313"/>
          <w:tblHeader/>
          <w:jc w:val="center"/>
        </w:trPr>
        <w:tc>
          <w:tcPr>
            <w:tcW w:w="643" w:type="dxa"/>
            <w:tcBorders>
              <w:top w:val="single" w:sz="4" w:space="0" w:color="auto"/>
              <w:left w:val="single" w:sz="4" w:space="0" w:color="auto"/>
              <w:bottom w:val="single" w:sz="4" w:space="0" w:color="auto"/>
              <w:right w:val="single" w:sz="4" w:space="0" w:color="auto"/>
            </w:tcBorders>
            <w:shd w:val="clear" w:color="auto" w:fill="C6EFCE"/>
            <w:noWrap/>
          </w:tcPr>
          <w:p w14:paraId="1EA0828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w:t>
            </w:r>
          </w:p>
        </w:tc>
        <w:tc>
          <w:tcPr>
            <w:tcW w:w="2160" w:type="dxa"/>
            <w:tcBorders>
              <w:top w:val="single" w:sz="4" w:space="0" w:color="auto"/>
              <w:left w:val="single" w:sz="4" w:space="0" w:color="auto"/>
              <w:bottom w:val="single" w:sz="4" w:space="0" w:color="auto"/>
              <w:right w:val="single" w:sz="4" w:space="0" w:color="auto"/>
            </w:tcBorders>
            <w:shd w:val="clear" w:color="auto" w:fill="C6EFCE"/>
            <w:noWrap/>
          </w:tcPr>
          <w:p w14:paraId="0EBC3E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Renovate – 16879_Príprava mestských plánov pri vykonávaní reformy mestskej politiky</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6A442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20" w:type="dxa"/>
            <w:tcBorders>
              <w:top w:val="single" w:sz="4" w:space="0" w:color="auto"/>
              <w:left w:val="single" w:sz="4" w:space="0" w:color="auto"/>
              <w:bottom w:val="single" w:sz="4" w:space="0" w:color="auto"/>
              <w:right w:val="single" w:sz="4" w:space="0" w:color="auto"/>
            </w:tcBorders>
            <w:shd w:val="clear" w:color="auto" w:fill="C6EFCE"/>
            <w:noWrap/>
          </w:tcPr>
          <w:p w14:paraId="46A644E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Ocenenie za mestské plány</w:t>
            </w:r>
          </w:p>
        </w:tc>
        <w:tc>
          <w:tcPr>
            <w:tcW w:w="1440" w:type="dxa"/>
            <w:tcBorders>
              <w:top w:val="single" w:sz="4" w:space="0" w:color="auto"/>
              <w:left w:val="single" w:sz="4" w:space="0" w:color="auto"/>
              <w:bottom w:val="single" w:sz="4" w:space="0" w:color="auto"/>
              <w:right w:val="single" w:sz="4" w:space="0" w:color="auto"/>
            </w:tcBorders>
            <w:shd w:val="clear" w:color="auto" w:fill="C6EFCE"/>
            <w:noWrap/>
          </w:tcPr>
          <w:p w14:paraId="73AED864" w14:textId="421A9B8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15B0592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81" w:type="dxa"/>
            <w:tcBorders>
              <w:top w:val="single" w:sz="4" w:space="0" w:color="auto"/>
              <w:left w:val="single" w:sz="4" w:space="0" w:color="auto"/>
              <w:bottom w:val="single" w:sz="4" w:space="0" w:color="auto"/>
              <w:right w:val="single" w:sz="4" w:space="0" w:color="auto"/>
            </w:tcBorders>
            <w:shd w:val="clear" w:color="auto" w:fill="C6EFCE"/>
            <w:noWrap/>
          </w:tcPr>
          <w:p w14:paraId="295A266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5" w:type="dxa"/>
            <w:tcBorders>
              <w:top w:val="single" w:sz="4" w:space="0" w:color="auto"/>
              <w:left w:val="single" w:sz="4" w:space="0" w:color="auto"/>
              <w:bottom w:val="single" w:sz="4" w:space="0" w:color="auto"/>
              <w:right w:val="single" w:sz="4" w:space="0" w:color="auto"/>
            </w:tcBorders>
            <w:shd w:val="clear" w:color="auto" w:fill="C6EFCE"/>
            <w:noWrap/>
          </w:tcPr>
          <w:p w14:paraId="0281394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9" w:type="dxa"/>
            <w:tcBorders>
              <w:top w:val="single" w:sz="4" w:space="0" w:color="auto"/>
              <w:left w:val="single" w:sz="4" w:space="0" w:color="auto"/>
              <w:bottom w:val="single" w:sz="4" w:space="0" w:color="auto"/>
              <w:right w:val="single" w:sz="4" w:space="0" w:color="auto"/>
            </w:tcBorders>
            <w:shd w:val="clear" w:color="auto" w:fill="C6EFCE"/>
            <w:noWrap/>
          </w:tcPr>
          <w:p w14:paraId="32803C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7C8BB8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450" w:type="dxa"/>
            <w:tcBorders>
              <w:top w:val="single" w:sz="4" w:space="0" w:color="auto"/>
              <w:left w:val="single" w:sz="4" w:space="0" w:color="auto"/>
              <w:bottom w:val="single" w:sz="4" w:space="0" w:color="auto"/>
              <w:right w:val="single" w:sz="4" w:space="0" w:color="auto"/>
            </w:tcBorders>
            <w:shd w:val="clear" w:color="auto" w:fill="C6EFCE"/>
            <w:noWrap/>
          </w:tcPr>
          <w:p w14:paraId="184F850F" w14:textId="4FA5E8BA" w:rsidR="00AB26B3"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30</w:t>
            </w:r>
            <w:r w:rsidR="00AB26B3" w:rsidRPr="00AB26B3">
              <w:rPr>
                <w:noProof/>
                <w:spacing w:val="-6"/>
                <w:lang w:val="sk-SK"/>
              </w:rPr>
              <w:t> %</w:t>
            </w:r>
            <w:r w:rsidRPr="00AB26B3">
              <w:rPr>
                <w:noProof/>
                <w:spacing w:val="-6"/>
                <w:lang w:val="sk-SK"/>
              </w:rPr>
              <w:t xml:space="preserve"> všetkých zákaziek (v prípade všetkých intervencií)</w:t>
            </w:r>
            <w:r w:rsidR="00AB26B3" w:rsidRPr="00AB26B3">
              <w:rPr>
                <w:noProof/>
                <w:spacing w:val="-6"/>
                <w:lang w:val="sk-SK"/>
              </w:rPr>
              <w:t>:</w:t>
            </w:r>
          </w:p>
          <w:p w14:paraId="2B0DEF69" w14:textId="417A9FC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príprava miestnych mestských plánov;</w:t>
            </w:r>
          </w:p>
          <w:p w14:paraId="50A6641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príprava osobitných mestských plánov;</w:t>
            </w:r>
          </w:p>
          <w:p w14:paraId="1A5B85A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príprava nezávislých plánov na vymedzenie zón prevodu rozvojových práv;</w:t>
            </w:r>
          </w:p>
          <w:p w14:paraId="442223D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vypracovanie nezávislých plánov na vymedzenie úhrad; podielu a</w:t>
            </w:r>
          </w:p>
          <w:p w14:paraId="6CC5CB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 príprava nezávislých plánov na charakterizáciu obecných ciest.</w:t>
            </w:r>
          </w:p>
          <w:p w14:paraId="7B16B97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31D53989" w14:textId="6A74A61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Miestne mestské plány</w:t>
            </w:r>
            <w:r w:rsidR="00AB26B3" w:rsidRPr="00AB26B3">
              <w:rPr>
                <w:noProof/>
                <w:spacing w:val="-6"/>
                <w:lang w:val="sk-SK"/>
              </w:rPr>
              <w:t xml:space="preserve"> s </w:t>
            </w:r>
            <w:r w:rsidRPr="00AB26B3">
              <w:rPr>
                <w:noProof/>
                <w:spacing w:val="-6"/>
                <w:lang w:val="sk-SK"/>
              </w:rPr>
              <w:t>cieľom zahrnúť osobitnú kapitolu</w:t>
            </w:r>
            <w:r w:rsidR="00AB26B3" w:rsidRPr="00AB26B3">
              <w:rPr>
                <w:noProof/>
                <w:spacing w:val="-6"/>
                <w:lang w:val="sk-SK"/>
              </w:rPr>
              <w:t xml:space="preserve"> o </w:t>
            </w:r>
            <w:r w:rsidRPr="00AB26B3">
              <w:rPr>
                <w:noProof/>
                <w:spacing w:val="-6"/>
                <w:lang w:val="sk-SK"/>
              </w:rPr>
              <w:t>opatreniach</w:t>
            </w:r>
            <w:r w:rsidR="00AB26B3" w:rsidRPr="00AB26B3">
              <w:rPr>
                <w:noProof/>
                <w:spacing w:val="-6"/>
                <w:lang w:val="sk-SK"/>
              </w:rPr>
              <w:t xml:space="preserve"> v </w:t>
            </w:r>
            <w:r w:rsidRPr="00AB26B3">
              <w:rPr>
                <w:noProof/>
                <w:spacing w:val="-6"/>
                <w:lang w:val="sk-SK"/>
              </w:rPr>
              <w:t>oblasti zmeny klímy</w:t>
            </w:r>
            <w:r w:rsidR="00AB26B3" w:rsidRPr="00AB26B3">
              <w:rPr>
                <w:noProof/>
                <w:spacing w:val="-6"/>
                <w:lang w:val="sk-SK"/>
              </w:rPr>
              <w:t xml:space="preserve"> a </w:t>
            </w:r>
            <w:r w:rsidRPr="00AB26B3">
              <w:rPr>
                <w:noProof/>
                <w:spacing w:val="-6"/>
                <w:lang w:val="sk-SK"/>
              </w:rPr>
              <w:t>prevencii</w:t>
            </w:r>
            <w:r w:rsidR="00AB26B3" w:rsidRPr="00AB26B3">
              <w:rPr>
                <w:noProof/>
                <w:spacing w:val="-6"/>
                <w:lang w:val="sk-SK"/>
              </w:rPr>
              <w:t xml:space="preserve"> a </w:t>
            </w:r>
            <w:r w:rsidRPr="00AB26B3">
              <w:rPr>
                <w:noProof/>
                <w:spacing w:val="-6"/>
                <w:lang w:val="sk-SK"/>
              </w:rPr>
              <w:t>riadení rizík súvisiacich</w:t>
            </w:r>
            <w:r w:rsidR="00AB26B3" w:rsidRPr="00AB26B3">
              <w:rPr>
                <w:noProof/>
                <w:spacing w:val="-6"/>
                <w:lang w:val="sk-SK"/>
              </w:rPr>
              <w:t xml:space="preserve"> s </w:t>
            </w:r>
            <w:r w:rsidRPr="00AB26B3">
              <w:rPr>
                <w:noProof/>
                <w:spacing w:val="-6"/>
                <w:lang w:val="sk-SK"/>
              </w:rPr>
              <w:t>klímou);</w:t>
            </w:r>
          </w:p>
          <w:p w14:paraId="5C0CFEA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78D94C62" w14:textId="77777777">
        <w:trPr>
          <w:trHeight w:val="313"/>
          <w:tblHeader/>
          <w:jc w:val="center"/>
        </w:trPr>
        <w:tc>
          <w:tcPr>
            <w:tcW w:w="643" w:type="dxa"/>
            <w:tcBorders>
              <w:top w:val="single" w:sz="4" w:space="0" w:color="auto"/>
              <w:left w:val="single" w:sz="4" w:space="0" w:color="auto"/>
              <w:bottom w:val="single" w:sz="4" w:space="0" w:color="auto"/>
              <w:right w:val="single" w:sz="4" w:space="0" w:color="auto"/>
            </w:tcBorders>
            <w:shd w:val="clear" w:color="auto" w:fill="C6EFCE"/>
            <w:noWrap/>
          </w:tcPr>
          <w:p w14:paraId="582C1C58" w14:textId="77777777" w:rsidR="00302FC1" w:rsidRPr="00AB26B3" w:rsidRDefault="00D64F26">
            <w:pPr>
              <w:pStyle w:val="P68B1DB1-Normal12"/>
              <w:spacing w:after="0" w:line="240" w:lineRule="auto"/>
              <w:rPr>
                <w:noProof/>
                <w:spacing w:val="-6"/>
                <w:lang w:val="sk-SK"/>
              </w:rPr>
            </w:pPr>
            <w:r w:rsidRPr="00AB26B3">
              <w:rPr>
                <w:noProof/>
                <w:spacing w:val="-6"/>
                <w:lang w:val="sk-SK"/>
              </w:rPr>
              <w:t>28</w:t>
            </w:r>
          </w:p>
        </w:tc>
        <w:tc>
          <w:tcPr>
            <w:tcW w:w="2160" w:type="dxa"/>
            <w:tcBorders>
              <w:top w:val="single" w:sz="4" w:space="0" w:color="auto"/>
              <w:left w:val="single" w:sz="4" w:space="0" w:color="auto"/>
              <w:bottom w:val="single" w:sz="4" w:space="0" w:color="auto"/>
              <w:right w:val="single" w:sz="4" w:space="0" w:color="auto"/>
            </w:tcBorders>
            <w:shd w:val="clear" w:color="auto" w:fill="C6EFCE"/>
            <w:noWrap/>
          </w:tcPr>
          <w:p w14:paraId="2F484BD7" w14:textId="77777777" w:rsidR="00302FC1" w:rsidRPr="00AB26B3" w:rsidRDefault="00D64F26">
            <w:pPr>
              <w:pStyle w:val="P68B1DB1-Normal12"/>
              <w:spacing w:after="0" w:line="240" w:lineRule="auto"/>
              <w:rPr>
                <w:noProof/>
                <w:spacing w:val="-6"/>
                <w:lang w:val="sk-SK"/>
              </w:rPr>
            </w:pPr>
            <w:r w:rsidRPr="00AB26B3">
              <w:rPr>
                <w:noProof/>
                <w:spacing w:val="-6"/>
                <w:lang w:val="sk-SK"/>
              </w:rPr>
              <w:t>2 – 1.2. Renovate – 16879_Príprava mestských plánov pri vykonávaní reformy mestskej politiky</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039231DA"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20" w:type="dxa"/>
            <w:tcBorders>
              <w:top w:val="single" w:sz="4" w:space="0" w:color="auto"/>
              <w:left w:val="single" w:sz="4" w:space="0" w:color="auto"/>
              <w:bottom w:val="single" w:sz="4" w:space="0" w:color="auto"/>
              <w:right w:val="single" w:sz="4" w:space="0" w:color="auto"/>
            </w:tcBorders>
            <w:shd w:val="clear" w:color="auto" w:fill="C6EFCE"/>
            <w:noWrap/>
          </w:tcPr>
          <w:p w14:paraId="1A8F3B42" w14:textId="77777777" w:rsidR="00302FC1" w:rsidRPr="00AB26B3" w:rsidRDefault="00D64F26">
            <w:pPr>
              <w:pStyle w:val="P68B1DB1-Normal12"/>
              <w:spacing w:after="0" w:line="240" w:lineRule="auto"/>
              <w:rPr>
                <w:noProof/>
                <w:spacing w:val="-6"/>
                <w:lang w:val="sk-SK"/>
              </w:rPr>
            </w:pPr>
            <w:r w:rsidRPr="00AB26B3">
              <w:rPr>
                <w:noProof/>
                <w:spacing w:val="-6"/>
                <w:lang w:val="sk-SK"/>
              </w:rPr>
              <w:t>Ocenenie za mestské plány</w:t>
            </w:r>
          </w:p>
        </w:tc>
        <w:tc>
          <w:tcPr>
            <w:tcW w:w="1440" w:type="dxa"/>
            <w:tcBorders>
              <w:top w:val="single" w:sz="4" w:space="0" w:color="auto"/>
              <w:left w:val="single" w:sz="4" w:space="0" w:color="auto"/>
              <w:bottom w:val="single" w:sz="4" w:space="0" w:color="auto"/>
              <w:right w:val="single" w:sz="4" w:space="0" w:color="auto"/>
            </w:tcBorders>
            <w:shd w:val="clear" w:color="auto" w:fill="C6EFCE"/>
            <w:noWrap/>
          </w:tcPr>
          <w:p w14:paraId="03E11C43" w14:textId="649AA0F5" w:rsidR="00302FC1"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1125" w:type="dxa"/>
            <w:tcBorders>
              <w:top w:val="single" w:sz="4" w:space="0" w:color="auto"/>
              <w:left w:val="single" w:sz="4" w:space="0" w:color="auto"/>
              <w:bottom w:val="single" w:sz="4" w:space="0" w:color="auto"/>
              <w:right w:val="single" w:sz="4" w:space="0" w:color="auto"/>
            </w:tcBorders>
            <w:shd w:val="clear" w:color="auto" w:fill="C6EFCE"/>
            <w:noWrap/>
          </w:tcPr>
          <w:p w14:paraId="6E05DC2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81" w:type="dxa"/>
            <w:tcBorders>
              <w:top w:val="single" w:sz="4" w:space="0" w:color="auto"/>
              <w:left w:val="single" w:sz="4" w:space="0" w:color="auto"/>
              <w:bottom w:val="single" w:sz="4" w:space="0" w:color="auto"/>
              <w:right w:val="single" w:sz="4" w:space="0" w:color="auto"/>
            </w:tcBorders>
            <w:shd w:val="clear" w:color="auto" w:fill="C6EFCE"/>
            <w:noWrap/>
          </w:tcPr>
          <w:p w14:paraId="71DCA02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5" w:type="dxa"/>
            <w:tcBorders>
              <w:top w:val="single" w:sz="4" w:space="0" w:color="auto"/>
              <w:left w:val="single" w:sz="4" w:space="0" w:color="auto"/>
              <w:bottom w:val="single" w:sz="4" w:space="0" w:color="auto"/>
              <w:right w:val="single" w:sz="4" w:space="0" w:color="auto"/>
            </w:tcBorders>
            <w:shd w:val="clear" w:color="auto" w:fill="C6EFCE"/>
            <w:noWrap/>
          </w:tcPr>
          <w:p w14:paraId="37F826D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9" w:type="dxa"/>
            <w:tcBorders>
              <w:top w:val="single" w:sz="4" w:space="0" w:color="auto"/>
              <w:left w:val="single" w:sz="4" w:space="0" w:color="auto"/>
              <w:bottom w:val="single" w:sz="4" w:space="0" w:color="auto"/>
              <w:right w:val="single" w:sz="4" w:space="0" w:color="auto"/>
            </w:tcBorders>
            <w:shd w:val="clear" w:color="auto" w:fill="C6EFCE"/>
            <w:noWrap/>
          </w:tcPr>
          <w:p w14:paraId="45F80FDB"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58850C0A" w14:textId="77777777" w:rsidR="00302FC1" w:rsidRPr="00AB26B3" w:rsidRDefault="00D64F26">
            <w:pPr>
              <w:pStyle w:val="P68B1DB1-Normal12"/>
              <w:spacing w:after="0" w:line="240" w:lineRule="auto"/>
              <w:rPr>
                <w:noProof/>
                <w:spacing w:val="-6"/>
                <w:lang w:val="sk-SK"/>
              </w:rPr>
            </w:pPr>
            <w:r w:rsidRPr="00AB26B3">
              <w:rPr>
                <w:noProof/>
                <w:spacing w:val="-6"/>
                <w:lang w:val="sk-SK"/>
              </w:rPr>
              <w:t>2023</w:t>
            </w:r>
          </w:p>
        </w:tc>
        <w:tc>
          <w:tcPr>
            <w:tcW w:w="4450" w:type="dxa"/>
            <w:tcBorders>
              <w:top w:val="single" w:sz="4" w:space="0" w:color="auto"/>
              <w:left w:val="single" w:sz="4" w:space="0" w:color="auto"/>
              <w:bottom w:val="single" w:sz="4" w:space="0" w:color="auto"/>
              <w:right w:val="single" w:sz="4" w:space="0" w:color="auto"/>
            </w:tcBorders>
            <w:shd w:val="clear" w:color="auto" w:fill="C6EFCE"/>
            <w:noWrap/>
          </w:tcPr>
          <w:p w14:paraId="3021B624" w14:textId="20A4196F" w:rsidR="00AB26B3"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100</w:t>
            </w:r>
            <w:r w:rsidR="00AB26B3" w:rsidRPr="00AB26B3">
              <w:rPr>
                <w:noProof/>
                <w:spacing w:val="-6"/>
                <w:lang w:val="sk-SK"/>
              </w:rPr>
              <w:t> %</w:t>
            </w:r>
            <w:r w:rsidRPr="00AB26B3">
              <w:rPr>
                <w:noProof/>
                <w:spacing w:val="-6"/>
                <w:lang w:val="sk-SK"/>
              </w:rPr>
              <w:t xml:space="preserve"> všetkých zákaziek (v prípade všetkých intervencií)</w:t>
            </w:r>
            <w:r w:rsidR="00AB26B3" w:rsidRPr="00AB26B3">
              <w:rPr>
                <w:noProof/>
                <w:spacing w:val="-6"/>
                <w:lang w:val="sk-SK"/>
              </w:rPr>
              <w:t>:</w:t>
            </w:r>
          </w:p>
          <w:p w14:paraId="63DB6561" w14:textId="3DB0510A" w:rsidR="00AB26B3" w:rsidRPr="00AB26B3" w:rsidRDefault="00D64F26">
            <w:pPr>
              <w:pStyle w:val="P68B1DB1-Normal12"/>
              <w:spacing w:after="0" w:line="240" w:lineRule="auto"/>
              <w:rPr>
                <w:noProof/>
                <w:spacing w:val="-6"/>
                <w:lang w:val="sk-SK"/>
              </w:rPr>
            </w:pPr>
            <w:r w:rsidRPr="00AB26B3">
              <w:rPr>
                <w:noProof/>
                <w:spacing w:val="-6"/>
                <w:lang w:val="sk-SK"/>
              </w:rPr>
              <w:t>1. príprava miestnych mestských plánov</w:t>
            </w:r>
            <w:r w:rsidR="00AB26B3" w:rsidRPr="00AB26B3">
              <w:rPr>
                <w:noProof/>
                <w:spacing w:val="-6"/>
                <w:lang w:val="sk-SK"/>
              </w:rPr>
              <w:t>;</w:t>
            </w:r>
          </w:p>
          <w:p w14:paraId="3E8FC1EB" w14:textId="3C6E05A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príprava osobitných mestských plánov;</w:t>
            </w:r>
          </w:p>
          <w:p w14:paraId="2C0F239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príprava nezávislých plánov na vymedzenie zón prevodu rozvojových práv;</w:t>
            </w:r>
          </w:p>
          <w:p w14:paraId="5BD471A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vypracovanie nezávislých plánov na vymedzenie úhrad; podielu a</w:t>
            </w:r>
          </w:p>
          <w:p w14:paraId="0018F6C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 príprava nezávislých plánov na charakterizáciu obecných ciest.</w:t>
            </w:r>
          </w:p>
          <w:p w14:paraId="58C0D5DC"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bl>
    <w:p w14:paraId="435455EB" w14:textId="77777777" w:rsidR="00302FC1" w:rsidRPr="00AB26B3" w:rsidRDefault="00302FC1">
      <w:pPr>
        <w:spacing w:after="0" w:line="240" w:lineRule="auto"/>
        <w:rPr>
          <w:rFonts w:ascii="Times New Roman" w:hAnsi="Times New Roman"/>
          <w:noProof/>
          <w:color w:val="006100"/>
          <w:spacing w:val="-6"/>
          <w:sz w:val="18"/>
          <w:lang w:val="sk-SK"/>
        </w:rPr>
        <w:sectPr w:rsidR="00302FC1" w:rsidRPr="00AB26B3" w:rsidSect="00315FC0">
          <w:headerReference w:type="even" r:id="rId44"/>
          <w:headerReference w:type="default" r:id="rId45"/>
          <w:footerReference w:type="even" r:id="rId46"/>
          <w:footerReference w:type="default" r:id="rId47"/>
          <w:headerReference w:type="first" r:id="rId48"/>
          <w:footerReference w:type="first" r:id="rId49"/>
          <w:pgSz w:w="16839" w:h="11907" w:orient="landscape"/>
          <w:pgMar w:top="1134" w:right="1134" w:bottom="1134" w:left="1134" w:header="567" w:footer="217" w:gutter="0"/>
          <w:cols w:space="720"/>
          <w:docGrid w:linePitch="360"/>
        </w:sectPr>
      </w:pP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800"/>
        <w:gridCol w:w="1080"/>
        <w:gridCol w:w="1569"/>
        <w:gridCol w:w="1477"/>
        <w:gridCol w:w="1125"/>
        <w:gridCol w:w="1281"/>
        <w:gridCol w:w="705"/>
        <w:gridCol w:w="1119"/>
        <w:gridCol w:w="709"/>
        <w:gridCol w:w="4450"/>
      </w:tblGrid>
      <w:tr w:rsidR="00302FC1" w:rsidRPr="00AB26B3" w14:paraId="2F46480A" w14:textId="77777777">
        <w:trPr>
          <w:trHeight w:val="443"/>
          <w:tblHeader/>
          <w:jc w:val="center"/>
        </w:trPr>
        <w:tc>
          <w:tcPr>
            <w:tcW w:w="608" w:type="dxa"/>
            <w:vMerge w:val="restart"/>
            <w:shd w:val="clear" w:color="auto" w:fill="BDD7EE"/>
            <w:noWrap/>
            <w:vAlign w:val="center"/>
          </w:tcPr>
          <w:p w14:paraId="1570FE34" w14:textId="26D6F2CD"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A nasl. Nie.</w:t>
            </w:r>
          </w:p>
        </w:tc>
        <w:tc>
          <w:tcPr>
            <w:tcW w:w="1800" w:type="dxa"/>
            <w:vMerge w:val="restart"/>
            <w:shd w:val="clear" w:color="auto" w:fill="BDD7EE"/>
            <w:noWrap/>
            <w:vAlign w:val="center"/>
          </w:tcPr>
          <w:p w14:paraId="2AD4BE99" w14:textId="77777777"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Súvisiace opatrenie (reforma alebo investícia)</w:t>
            </w:r>
          </w:p>
        </w:tc>
        <w:tc>
          <w:tcPr>
            <w:tcW w:w="1080" w:type="dxa"/>
            <w:vMerge w:val="restart"/>
            <w:shd w:val="clear" w:color="auto" w:fill="BDD7EE"/>
            <w:noWrap/>
            <w:vAlign w:val="center"/>
          </w:tcPr>
          <w:p w14:paraId="3EA0C5C7" w14:textId="77777777"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Míľnik/cieľ</w:t>
            </w:r>
          </w:p>
        </w:tc>
        <w:tc>
          <w:tcPr>
            <w:tcW w:w="1569" w:type="dxa"/>
            <w:vMerge w:val="restart"/>
            <w:shd w:val="clear" w:color="auto" w:fill="BDD7EE"/>
            <w:noWrap/>
            <w:vAlign w:val="center"/>
          </w:tcPr>
          <w:p w14:paraId="38D04719" w14:textId="77777777"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Názov</w:t>
            </w:r>
          </w:p>
        </w:tc>
        <w:tc>
          <w:tcPr>
            <w:tcW w:w="1477" w:type="dxa"/>
            <w:vMerge w:val="restart"/>
            <w:shd w:val="clear" w:color="auto" w:fill="BDD7EE"/>
            <w:noWrap/>
            <w:vAlign w:val="center"/>
          </w:tcPr>
          <w:p w14:paraId="294461D3" w14:textId="4FABAAB1"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Kvalitatívne ukazovatele (pre míľniky)</w:t>
            </w:r>
          </w:p>
        </w:tc>
        <w:tc>
          <w:tcPr>
            <w:tcW w:w="3111" w:type="dxa"/>
            <w:gridSpan w:val="3"/>
            <w:shd w:val="clear" w:color="auto" w:fill="BDD7EE"/>
            <w:noWrap/>
            <w:vAlign w:val="center"/>
          </w:tcPr>
          <w:p w14:paraId="3F69AA07" w14:textId="43317342" w:rsidR="00302FC1" w:rsidRPr="00AB26B3" w:rsidRDefault="00D64F26">
            <w:pPr>
              <w:pStyle w:val="P68B1DB1-Normal18"/>
              <w:spacing w:after="0" w:line="240" w:lineRule="auto"/>
              <w:jc w:val="center"/>
              <w:rPr>
                <w:rFonts w:ascii="Times New Roman" w:eastAsia="Times New Roman" w:hAnsi="Times New Roman" w:cs="Times New Roman"/>
                <w:noProof/>
                <w:color w:val="006100"/>
                <w:spacing w:val="-6"/>
                <w:szCs w:val="18"/>
                <w:lang w:val="sk-SK"/>
              </w:rPr>
            </w:pPr>
            <w:r w:rsidRPr="00AB26B3">
              <w:rPr>
                <w:rFonts w:ascii="Times New Roman" w:hAnsi="Times New Roman"/>
                <w:noProof/>
                <w:spacing w:val="-6"/>
                <w:lang w:val="sk-SK"/>
              </w:rPr>
              <w:t xml:space="preserve">Kvantitatívne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(pre ciele)</w:t>
            </w:r>
          </w:p>
        </w:tc>
        <w:tc>
          <w:tcPr>
            <w:tcW w:w="1560" w:type="dxa"/>
            <w:gridSpan w:val="2"/>
            <w:shd w:val="clear" w:color="auto" w:fill="BDD7EE"/>
            <w:noWrap/>
          </w:tcPr>
          <w:p w14:paraId="53ACA83B" w14:textId="77777777"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Orientačný harmonogram dokončenia</w:t>
            </w:r>
          </w:p>
        </w:tc>
        <w:tc>
          <w:tcPr>
            <w:tcW w:w="4450" w:type="dxa"/>
            <w:vMerge w:val="restart"/>
            <w:shd w:val="clear" w:color="auto" w:fill="BDD7EE"/>
            <w:noWrap/>
            <w:vAlign w:val="center"/>
          </w:tcPr>
          <w:p w14:paraId="21BEC989" w14:textId="4A57EFE6"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C834B7E" w14:textId="77777777">
        <w:trPr>
          <w:trHeight w:val="442"/>
          <w:tblHeader/>
          <w:jc w:val="center"/>
        </w:trPr>
        <w:tc>
          <w:tcPr>
            <w:tcW w:w="608" w:type="dxa"/>
            <w:vMerge/>
            <w:noWrap/>
            <w:vAlign w:val="center"/>
          </w:tcPr>
          <w:p w14:paraId="3646751C" w14:textId="77777777" w:rsidR="00302FC1" w:rsidRPr="00AB26B3" w:rsidRDefault="00302FC1">
            <w:pPr>
              <w:spacing w:after="0" w:line="240" w:lineRule="auto"/>
              <w:rPr>
                <w:rFonts w:ascii="Times New Roman" w:hAnsi="Times New Roman"/>
                <w:b/>
                <w:noProof/>
                <w:spacing w:val="-6"/>
                <w:sz w:val="18"/>
                <w:lang w:val="sk-SK"/>
              </w:rPr>
            </w:pPr>
          </w:p>
        </w:tc>
        <w:tc>
          <w:tcPr>
            <w:tcW w:w="1800" w:type="dxa"/>
            <w:vMerge/>
            <w:noWrap/>
            <w:vAlign w:val="center"/>
          </w:tcPr>
          <w:p w14:paraId="480785F8" w14:textId="77777777" w:rsidR="00302FC1" w:rsidRPr="00AB26B3" w:rsidRDefault="00302FC1">
            <w:pPr>
              <w:spacing w:after="0" w:line="240" w:lineRule="auto"/>
              <w:rPr>
                <w:rFonts w:ascii="Times New Roman" w:hAnsi="Times New Roman"/>
                <w:b/>
                <w:noProof/>
                <w:spacing w:val="-6"/>
                <w:sz w:val="18"/>
                <w:lang w:val="sk-SK"/>
              </w:rPr>
            </w:pPr>
          </w:p>
        </w:tc>
        <w:tc>
          <w:tcPr>
            <w:tcW w:w="1080" w:type="dxa"/>
            <w:vMerge/>
            <w:noWrap/>
            <w:vAlign w:val="center"/>
          </w:tcPr>
          <w:p w14:paraId="63AB49EB" w14:textId="77777777" w:rsidR="00302FC1" w:rsidRPr="00AB26B3" w:rsidRDefault="00302FC1">
            <w:pPr>
              <w:spacing w:after="0" w:line="240" w:lineRule="auto"/>
              <w:rPr>
                <w:rFonts w:ascii="Times New Roman" w:hAnsi="Times New Roman"/>
                <w:b/>
                <w:noProof/>
                <w:spacing w:val="-6"/>
                <w:sz w:val="18"/>
                <w:lang w:val="sk-SK"/>
              </w:rPr>
            </w:pPr>
          </w:p>
        </w:tc>
        <w:tc>
          <w:tcPr>
            <w:tcW w:w="1569" w:type="dxa"/>
            <w:vMerge/>
            <w:noWrap/>
            <w:vAlign w:val="center"/>
          </w:tcPr>
          <w:p w14:paraId="3D3F9982" w14:textId="77777777" w:rsidR="00302FC1" w:rsidRPr="00AB26B3" w:rsidRDefault="00302FC1">
            <w:pPr>
              <w:spacing w:after="0" w:line="240" w:lineRule="auto"/>
              <w:rPr>
                <w:rFonts w:ascii="Times New Roman" w:hAnsi="Times New Roman"/>
                <w:b/>
                <w:noProof/>
                <w:spacing w:val="-6"/>
                <w:sz w:val="18"/>
                <w:lang w:val="sk-SK"/>
              </w:rPr>
            </w:pPr>
          </w:p>
        </w:tc>
        <w:tc>
          <w:tcPr>
            <w:tcW w:w="1477" w:type="dxa"/>
            <w:vMerge/>
            <w:noWrap/>
            <w:vAlign w:val="center"/>
          </w:tcPr>
          <w:p w14:paraId="4BF0E199" w14:textId="77777777" w:rsidR="00302FC1" w:rsidRPr="00AB26B3" w:rsidRDefault="00302FC1">
            <w:pPr>
              <w:spacing w:after="0" w:line="240" w:lineRule="auto"/>
              <w:rPr>
                <w:rFonts w:ascii="Times New Roman" w:hAnsi="Times New Roman"/>
                <w:b/>
                <w:noProof/>
                <w:spacing w:val="-6"/>
                <w:sz w:val="18"/>
                <w:lang w:val="sk-SK"/>
              </w:rPr>
            </w:pPr>
          </w:p>
        </w:tc>
        <w:tc>
          <w:tcPr>
            <w:tcW w:w="1125"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730B8E75"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Merná jednotka</w:t>
            </w:r>
          </w:p>
        </w:tc>
        <w:tc>
          <w:tcPr>
            <w:tcW w:w="1281" w:type="dxa"/>
            <w:tcBorders>
              <w:top w:val="single" w:sz="4" w:space="0" w:color="auto"/>
              <w:left w:val="single" w:sz="4" w:space="0" w:color="auto"/>
              <w:bottom w:val="single" w:sz="4" w:space="0" w:color="auto"/>
              <w:right w:val="single" w:sz="4" w:space="0" w:color="auto"/>
            </w:tcBorders>
            <w:shd w:val="clear" w:color="auto" w:fill="BDD7EE"/>
            <w:vAlign w:val="center"/>
          </w:tcPr>
          <w:p w14:paraId="1D652394"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Základná</w:t>
            </w:r>
          </w:p>
        </w:tc>
        <w:tc>
          <w:tcPr>
            <w:tcW w:w="705" w:type="dxa"/>
            <w:tcBorders>
              <w:top w:val="single" w:sz="4" w:space="0" w:color="auto"/>
              <w:left w:val="single" w:sz="4" w:space="0" w:color="auto"/>
              <w:bottom w:val="single" w:sz="4" w:space="0" w:color="auto"/>
              <w:right w:val="single" w:sz="4" w:space="0" w:color="auto"/>
            </w:tcBorders>
            <w:shd w:val="clear" w:color="auto" w:fill="BDD7EE"/>
            <w:vAlign w:val="center"/>
          </w:tcPr>
          <w:p w14:paraId="4C12AF05"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Cieľ</w:t>
            </w:r>
          </w:p>
        </w:tc>
        <w:tc>
          <w:tcPr>
            <w:tcW w:w="851"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03D12CE2" w14:textId="77777777"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Štvrtina</w:t>
            </w:r>
          </w:p>
        </w:tc>
        <w:tc>
          <w:tcPr>
            <w:tcW w:w="709" w:type="dxa"/>
            <w:tcBorders>
              <w:top w:val="single" w:sz="4" w:space="0" w:color="auto"/>
              <w:left w:val="single" w:sz="4" w:space="0" w:color="auto"/>
              <w:bottom w:val="single" w:sz="4" w:space="0" w:color="auto"/>
              <w:right w:val="single" w:sz="4" w:space="0" w:color="auto"/>
            </w:tcBorders>
            <w:shd w:val="clear" w:color="auto" w:fill="BDD7EE"/>
            <w:vAlign w:val="center"/>
          </w:tcPr>
          <w:p w14:paraId="0AB39A52" w14:textId="77777777" w:rsidR="00302FC1" w:rsidRPr="00AB26B3" w:rsidRDefault="00D64F26">
            <w:pPr>
              <w:pStyle w:val="P68B1DB1-Normal10"/>
              <w:spacing w:after="0" w:line="240" w:lineRule="auto"/>
              <w:jc w:val="center"/>
              <w:rPr>
                <w:rFonts w:cs="Times New Roman"/>
                <w:noProof/>
                <w:color w:val="006100"/>
                <w:spacing w:val="-6"/>
                <w:szCs w:val="18"/>
                <w:lang w:val="sk-SK"/>
              </w:rPr>
            </w:pPr>
            <w:r w:rsidRPr="00AB26B3">
              <w:rPr>
                <w:noProof/>
                <w:spacing w:val="-6"/>
                <w:lang w:val="sk-SK"/>
              </w:rPr>
              <w:t>Rok</w:t>
            </w:r>
          </w:p>
        </w:tc>
        <w:tc>
          <w:tcPr>
            <w:tcW w:w="4450" w:type="dxa"/>
            <w:vMerge/>
            <w:noWrap/>
          </w:tcPr>
          <w:p w14:paraId="2733E274"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5AEC7681" w14:textId="77777777">
        <w:trPr>
          <w:trHeight w:val="313"/>
          <w:tblHeader/>
          <w:jc w:val="center"/>
        </w:trPr>
        <w:tc>
          <w:tcPr>
            <w:tcW w:w="608" w:type="dxa"/>
            <w:shd w:val="clear" w:color="auto" w:fill="C6EFCE"/>
            <w:noWrap/>
          </w:tcPr>
          <w:p w14:paraId="23F3E1F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w:t>
            </w:r>
          </w:p>
        </w:tc>
        <w:tc>
          <w:tcPr>
            <w:tcW w:w="1800" w:type="dxa"/>
            <w:shd w:val="clear" w:color="auto" w:fill="C6EFCE"/>
            <w:noWrap/>
          </w:tcPr>
          <w:p w14:paraId="5E30754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Renovate – 16879_Príprava mestských plánov pri vykonávaní reformy mestskej politiky</w:t>
            </w:r>
          </w:p>
        </w:tc>
        <w:tc>
          <w:tcPr>
            <w:tcW w:w="1080" w:type="dxa"/>
            <w:shd w:val="clear" w:color="auto" w:fill="C6EFCE"/>
            <w:noWrap/>
          </w:tcPr>
          <w:p w14:paraId="040F25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9" w:type="dxa"/>
            <w:shd w:val="clear" w:color="auto" w:fill="C6EFCE"/>
            <w:noWrap/>
          </w:tcPr>
          <w:p w14:paraId="540FB5F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Prípravné kroky pre mestské plány</w:t>
            </w:r>
          </w:p>
        </w:tc>
        <w:tc>
          <w:tcPr>
            <w:tcW w:w="1477" w:type="dxa"/>
            <w:shd w:val="clear" w:color="auto" w:fill="C6EFCE"/>
            <w:noWrap/>
          </w:tcPr>
          <w:p w14:paraId="79C44B79" w14:textId="1E79753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Vydanie kladného hodnotenia pre určité štúdie zodpovedným ministerstvom</w:t>
            </w:r>
            <w:r w:rsidR="00AB26B3" w:rsidRPr="00AB26B3">
              <w:rPr>
                <w:noProof/>
                <w:spacing w:val="-6"/>
                <w:lang w:val="sk-SK"/>
              </w:rPr>
              <w:t xml:space="preserve"> a </w:t>
            </w:r>
            <w:r w:rsidRPr="00AB26B3">
              <w:rPr>
                <w:noProof/>
                <w:spacing w:val="-6"/>
                <w:lang w:val="sk-SK"/>
              </w:rPr>
              <w:t>vydanie osvedčenia</w:t>
            </w:r>
            <w:r w:rsidR="00AB26B3" w:rsidRPr="00AB26B3">
              <w:rPr>
                <w:noProof/>
                <w:spacing w:val="-6"/>
                <w:lang w:val="sk-SK"/>
              </w:rPr>
              <w:t xml:space="preserve"> o </w:t>
            </w:r>
            <w:r w:rsidRPr="00AB26B3">
              <w:rPr>
                <w:noProof/>
                <w:spacing w:val="-6"/>
                <w:lang w:val="sk-SK"/>
              </w:rPr>
              <w:t>absolvovaní iných štúdií pre mestské plány príslušným ministerstvom</w:t>
            </w:r>
          </w:p>
        </w:tc>
        <w:tc>
          <w:tcPr>
            <w:tcW w:w="1125" w:type="dxa"/>
            <w:shd w:val="clear" w:color="auto" w:fill="C6EFCE"/>
            <w:noWrap/>
          </w:tcPr>
          <w:p w14:paraId="7A90482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81" w:type="dxa"/>
            <w:shd w:val="clear" w:color="auto" w:fill="C6EFCE"/>
            <w:noWrap/>
          </w:tcPr>
          <w:p w14:paraId="0C2C1ED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5" w:type="dxa"/>
            <w:shd w:val="clear" w:color="auto" w:fill="C6EFCE"/>
            <w:noWrap/>
          </w:tcPr>
          <w:p w14:paraId="13A7D38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286ACF7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24A4DD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450" w:type="dxa"/>
            <w:shd w:val="clear" w:color="auto" w:fill="C6EFCE"/>
            <w:noWrap/>
          </w:tcPr>
          <w:p w14:paraId="63BFE0C8" w14:textId="6AC027B0" w:rsidR="00302FC1" w:rsidRPr="00AB26B3" w:rsidRDefault="00D64F26">
            <w:pPr>
              <w:pStyle w:val="P68B1DB1-Normal12"/>
              <w:spacing w:after="0" w:line="240" w:lineRule="auto"/>
              <w:rPr>
                <w:noProof/>
                <w:spacing w:val="-6"/>
                <w:lang w:val="sk-SK"/>
              </w:rPr>
            </w:pPr>
            <w:r w:rsidRPr="00AB26B3">
              <w:rPr>
                <w:noProof/>
                <w:spacing w:val="-6"/>
                <w:lang w:val="sk-SK"/>
              </w:rPr>
              <w:t>Vydanie kladného stanoviska príslušným ministerstvom</w:t>
            </w:r>
            <w:r w:rsidR="00AB26B3" w:rsidRPr="00AB26B3">
              <w:rPr>
                <w:noProof/>
                <w:spacing w:val="-6"/>
                <w:lang w:val="sk-SK"/>
              </w:rPr>
              <w:t xml:space="preserve"> k </w:t>
            </w:r>
            <w:r w:rsidRPr="00AB26B3">
              <w:rPr>
                <w:noProof/>
                <w:spacing w:val="-6"/>
                <w:lang w:val="sk-SK"/>
              </w:rPr>
              <w:t>štúdiám týkajúcim sa:</w:t>
            </w:r>
          </w:p>
          <w:p w14:paraId="531F3BEF" w14:textId="2DD169F0" w:rsidR="00302FC1" w:rsidRPr="00AB26B3" w:rsidRDefault="00D64F26">
            <w:pPr>
              <w:pStyle w:val="P68B1DB1-ListParagraph19"/>
              <w:numPr>
                <w:ilvl w:val="0"/>
                <w:numId w:val="7"/>
              </w:numPr>
              <w:spacing w:after="0" w:line="240" w:lineRule="auto"/>
              <w:rPr>
                <w:noProof/>
                <w:spacing w:val="-6"/>
                <w:lang w:val="sk-SK"/>
              </w:rPr>
            </w:pPr>
            <w:r w:rsidRPr="00AB26B3">
              <w:rPr>
                <w:noProof/>
                <w:spacing w:val="-6"/>
                <w:lang w:val="sk-SK"/>
              </w:rPr>
              <w:t>miestne mestské plány</w:t>
            </w:r>
            <w:r w:rsidR="00AB26B3" w:rsidRPr="00AB26B3">
              <w:rPr>
                <w:noProof/>
                <w:spacing w:val="-6"/>
                <w:lang w:val="sk-SK"/>
              </w:rPr>
              <w:t xml:space="preserve"> v </w:t>
            </w:r>
            <w:r w:rsidRPr="00AB26B3">
              <w:rPr>
                <w:noProof/>
                <w:spacing w:val="-6"/>
                <w:lang w:val="sk-SK"/>
              </w:rPr>
              <w:t>405 obecných jednotkách,</w:t>
            </w:r>
          </w:p>
          <w:p w14:paraId="704B3383" w14:textId="77777777" w:rsidR="00302FC1" w:rsidRPr="00AB26B3" w:rsidRDefault="00D64F26">
            <w:pPr>
              <w:pStyle w:val="P68B1DB1-ListParagraph19"/>
              <w:numPr>
                <w:ilvl w:val="0"/>
                <w:numId w:val="7"/>
              </w:numPr>
              <w:spacing w:after="0" w:line="240" w:lineRule="auto"/>
              <w:rPr>
                <w:noProof/>
                <w:spacing w:val="-6"/>
                <w:lang w:val="sk-SK"/>
              </w:rPr>
            </w:pPr>
            <w:r w:rsidRPr="00AB26B3">
              <w:rPr>
                <w:noProof/>
                <w:spacing w:val="-6"/>
                <w:lang w:val="sk-SK"/>
              </w:rPr>
              <w:t>11 osobitných mestských plánov a</w:t>
            </w:r>
          </w:p>
          <w:p w14:paraId="100413D1" w14:textId="22CC3E3B" w:rsidR="00302FC1" w:rsidRPr="00AB26B3" w:rsidRDefault="00D64F26">
            <w:pPr>
              <w:pStyle w:val="P68B1DB1-ListParagraph19"/>
              <w:numPr>
                <w:ilvl w:val="0"/>
                <w:numId w:val="7"/>
              </w:numPr>
              <w:spacing w:after="0" w:line="240" w:lineRule="auto"/>
              <w:rPr>
                <w:noProof/>
                <w:spacing w:val="-6"/>
                <w:lang w:val="sk-SK"/>
              </w:rPr>
            </w:pPr>
            <w:r w:rsidRPr="00AB26B3">
              <w:rPr>
                <w:noProof/>
                <w:spacing w:val="-6"/>
                <w:lang w:val="sk-SK"/>
              </w:rPr>
              <w:t>vymedzenie sídiel</w:t>
            </w:r>
            <w:r w:rsidR="00AB26B3" w:rsidRPr="00AB26B3">
              <w:rPr>
                <w:noProof/>
                <w:spacing w:val="-6"/>
                <w:lang w:val="sk-SK"/>
              </w:rPr>
              <w:t xml:space="preserve"> v </w:t>
            </w:r>
            <w:r w:rsidRPr="00AB26B3">
              <w:rPr>
                <w:noProof/>
                <w:spacing w:val="-6"/>
                <w:lang w:val="sk-SK"/>
              </w:rPr>
              <w:t>36 obecných jednotkách;</w:t>
            </w:r>
          </w:p>
          <w:p w14:paraId="0778E9B5" w14:textId="7A3361DE" w:rsidR="00302FC1" w:rsidRPr="00AB26B3" w:rsidRDefault="00D64F26">
            <w:pPr>
              <w:pStyle w:val="P68B1DB1-Normal12"/>
              <w:spacing w:after="0" w:line="240" w:lineRule="auto"/>
              <w:rPr>
                <w:noProof/>
                <w:spacing w:val="-6"/>
                <w:lang w:val="sk-SK"/>
              </w:rPr>
            </w:pPr>
            <w:r w:rsidRPr="00AB26B3">
              <w:rPr>
                <w:noProof/>
                <w:spacing w:val="-6"/>
                <w:lang w:val="sk-SK"/>
              </w:rPr>
              <w:t>a vydanie osvedčenia</w:t>
            </w:r>
            <w:r w:rsidR="00AB26B3" w:rsidRPr="00AB26B3">
              <w:rPr>
                <w:noProof/>
                <w:spacing w:val="-6"/>
                <w:lang w:val="sk-SK"/>
              </w:rPr>
              <w:t xml:space="preserve"> o </w:t>
            </w:r>
            <w:r w:rsidRPr="00AB26B3">
              <w:rPr>
                <w:noProof/>
                <w:spacing w:val="-6"/>
                <w:lang w:val="sk-SK"/>
              </w:rPr>
              <w:t>ukončení štúdia príslušným ministerstvom, ktoré sa týka:</w:t>
            </w:r>
          </w:p>
          <w:p w14:paraId="44AA81BF" w14:textId="04031C6A" w:rsidR="00302FC1" w:rsidRPr="00AB26B3" w:rsidRDefault="00D64F26">
            <w:pPr>
              <w:pStyle w:val="P68B1DB1-ListParagraph19"/>
              <w:numPr>
                <w:ilvl w:val="0"/>
                <w:numId w:val="8"/>
              </w:numPr>
              <w:spacing w:after="0" w:line="240" w:lineRule="auto"/>
              <w:rPr>
                <w:noProof/>
                <w:spacing w:val="-6"/>
                <w:lang w:val="sk-SK"/>
              </w:rPr>
            </w:pPr>
            <w:r w:rsidRPr="00AB26B3">
              <w:rPr>
                <w:noProof/>
                <w:spacing w:val="-6"/>
                <w:lang w:val="sk-SK"/>
              </w:rPr>
              <w:t>zóny prevodu práv na rozvoj</w:t>
            </w:r>
            <w:r w:rsidR="00AB26B3" w:rsidRPr="00AB26B3">
              <w:rPr>
                <w:noProof/>
                <w:spacing w:val="-6"/>
                <w:lang w:val="sk-SK"/>
              </w:rPr>
              <w:t xml:space="preserve"> v </w:t>
            </w:r>
            <w:r w:rsidRPr="00AB26B3">
              <w:rPr>
                <w:noProof/>
                <w:spacing w:val="-6"/>
                <w:lang w:val="sk-SK"/>
              </w:rPr>
              <w:t>50 obecných jednotkách a</w:t>
            </w:r>
          </w:p>
          <w:p w14:paraId="2A640A50" w14:textId="07852118" w:rsidR="00302FC1" w:rsidRPr="00AB26B3" w:rsidRDefault="00D64F26">
            <w:pPr>
              <w:pStyle w:val="P68B1DB1-ListParagraph19"/>
              <w:numPr>
                <w:ilvl w:val="0"/>
                <w:numId w:val="8"/>
              </w:numPr>
              <w:spacing w:after="0" w:line="240" w:lineRule="auto"/>
              <w:rPr>
                <w:rFonts w:eastAsia="Times New Roman"/>
                <w:noProof/>
                <w:spacing w:val="-6"/>
                <w:lang w:val="sk-SK"/>
              </w:rPr>
            </w:pPr>
            <w:r w:rsidRPr="00AB26B3">
              <w:rPr>
                <w:noProof/>
                <w:spacing w:val="-6"/>
                <w:lang w:val="sk-SK"/>
              </w:rPr>
              <w:t>charakteristiky obecných ciest</w:t>
            </w:r>
            <w:r w:rsidR="00AB26B3" w:rsidRPr="00AB26B3">
              <w:rPr>
                <w:noProof/>
                <w:spacing w:val="-6"/>
                <w:lang w:val="sk-SK"/>
              </w:rPr>
              <w:t xml:space="preserve"> v </w:t>
            </w:r>
            <w:r w:rsidRPr="00AB26B3">
              <w:rPr>
                <w:noProof/>
                <w:spacing w:val="-6"/>
                <w:lang w:val="sk-SK"/>
              </w:rPr>
              <w:t>549 obecných jednotkách.</w:t>
            </w:r>
          </w:p>
        </w:tc>
      </w:tr>
      <w:tr w:rsidR="00302FC1" w:rsidRPr="00AB26B3" w14:paraId="7718BABE" w14:textId="77777777">
        <w:trPr>
          <w:trHeight w:val="313"/>
          <w:tblHeader/>
          <w:jc w:val="center"/>
        </w:trPr>
        <w:tc>
          <w:tcPr>
            <w:tcW w:w="608" w:type="dxa"/>
            <w:shd w:val="clear" w:color="auto" w:fill="C6EFCE"/>
            <w:noWrap/>
          </w:tcPr>
          <w:p w14:paraId="3C8B0B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w:t>
            </w:r>
          </w:p>
        </w:tc>
        <w:tc>
          <w:tcPr>
            <w:tcW w:w="1800" w:type="dxa"/>
            <w:shd w:val="clear" w:color="auto" w:fill="C6EFCE"/>
            <w:noWrap/>
          </w:tcPr>
          <w:p w14:paraId="3D4DC8BF" w14:textId="0301379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Renovate – 16894_Vytvorenie nového osobitného priestorového plánovania pre OZE, priemysel</w:t>
            </w:r>
            <w:r w:rsidR="00AB26B3" w:rsidRPr="00AB26B3">
              <w:rPr>
                <w:noProof/>
                <w:spacing w:val="-6"/>
                <w:lang w:val="sk-SK"/>
              </w:rPr>
              <w:t xml:space="preserve"> a </w:t>
            </w:r>
            <w:r w:rsidRPr="00AB26B3">
              <w:rPr>
                <w:noProof/>
                <w:spacing w:val="-6"/>
                <w:lang w:val="sk-SK"/>
              </w:rPr>
              <w:t>cestovný ruch</w:t>
            </w:r>
          </w:p>
        </w:tc>
        <w:tc>
          <w:tcPr>
            <w:tcW w:w="1080" w:type="dxa"/>
            <w:shd w:val="clear" w:color="auto" w:fill="C6EFCE"/>
            <w:noWrap/>
          </w:tcPr>
          <w:p w14:paraId="6C1B099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Míľnik</w:t>
            </w:r>
          </w:p>
        </w:tc>
        <w:tc>
          <w:tcPr>
            <w:tcW w:w="1569" w:type="dxa"/>
            <w:shd w:val="clear" w:color="auto" w:fill="C6EFCE"/>
            <w:noWrap/>
          </w:tcPr>
          <w:p w14:paraId="644D087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osobitných priestorových rámcov</w:t>
            </w:r>
          </w:p>
        </w:tc>
        <w:tc>
          <w:tcPr>
            <w:tcW w:w="1477" w:type="dxa"/>
            <w:shd w:val="clear" w:color="auto" w:fill="C6EFCE"/>
            <w:noWrap/>
          </w:tcPr>
          <w:p w14:paraId="7A4B29ED" w14:textId="7A7B80A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troch osobitných priestorových rámcov pre obnoviteľné zdroje energie, cestovný ruch</w:t>
            </w:r>
            <w:r w:rsidR="00AB26B3" w:rsidRPr="00AB26B3">
              <w:rPr>
                <w:noProof/>
                <w:spacing w:val="-6"/>
                <w:lang w:val="sk-SK"/>
              </w:rPr>
              <w:t xml:space="preserve"> a </w:t>
            </w:r>
            <w:r w:rsidRPr="00AB26B3">
              <w:rPr>
                <w:noProof/>
                <w:spacing w:val="-6"/>
                <w:lang w:val="sk-SK"/>
              </w:rPr>
              <w:t>priemysel</w:t>
            </w:r>
          </w:p>
        </w:tc>
        <w:tc>
          <w:tcPr>
            <w:tcW w:w="1125" w:type="dxa"/>
            <w:shd w:val="clear" w:color="auto" w:fill="C6EFCE"/>
            <w:noWrap/>
          </w:tcPr>
          <w:p w14:paraId="309461B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81" w:type="dxa"/>
            <w:shd w:val="clear" w:color="auto" w:fill="C6EFCE"/>
            <w:noWrap/>
          </w:tcPr>
          <w:p w14:paraId="47762DD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5" w:type="dxa"/>
            <w:shd w:val="clear" w:color="auto" w:fill="C6EFCE"/>
            <w:noWrap/>
          </w:tcPr>
          <w:p w14:paraId="1BCA0C1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313FA16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711FE9B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450" w:type="dxa"/>
            <w:shd w:val="clear" w:color="auto" w:fill="C6EFCE"/>
            <w:noWrap/>
          </w:tcPr>
          <w:p w14:paraId="7055467A" w14:textId="00E7C59D" w:rsidR="00302FC1" w:rsidRPr="00AB26B3" w:rsidRDefault="00D64F26">
            <w:pPr>
              <w:pStyle w:val="P68B1DB1-Normal12"/>
              <w:spacing w:after="0" w:line="240" w:lineRule="auto"/>
              <w:rPr>
                <w:noProof/>
                <w:spacing w:val="-6"/>
                <w:lang w:val="sk-SK"/>
              </w:rPr>
            </w:pPr>
            <w:r w:rsidRPr="00AB26B3">
              <w:rPr>
                <w:noProof/>
                <w:spacing w:val="-6"/>
                <w:lang w:val="sk-SK"/>
              </w:rPr>
              <w:t>Prijatie troch osobitných priestorových rámcov pre obnoviteľné zdroje energie, cestovný ruch</w:t>
            </w:r>
            <w:r w:rsidR="00AB26B3" w:rsidRPr="00AB26B3">
              <w:rPr>
                <w:noProof/>
                <w:spacing w:val="-6"/>
                <w:lang w:val="sk-SK"/>
              </w:rPr>
              <w:t xml:space="preserve"> a </w:t>
            </w:r>
            <w:r w:rsidRPr="00AB26B3">
              <w:rPr>
                <w:noProof/>
                <w:spacing w:val="-6"/>
                <w:lang w:val="sk-SK"/>
              </w:rPr>
              <w:t>priemysel.</w:t>
            </w:r>
          </w:p>
          <w:p w14:paraId="127D970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6D3841FE" w14:textId="77777777">
        <w:trPr>
          <w:trHeight w:val="313"/>
          <w:tblHeader/>
          <w:jc w:val="center"/>
        </w:trPr>
        <w:tc>
          <w:tcPr>
            <w:tcW w:w="608" w:type="dxa"/>
            <w:shd w:val="clear" w:color="auto" w:fill="C6EFCE"/>
            <w:noWrap/>
          </w:tcPr>
          <w:p w14:paraId="0AC0EFE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31</w:t>
            </w:r>
          </w:p>
        </w:tc>
        <w:tc>
          <w:tcPr>
            <w:tcW w:w="1800" w:type="dxa"/>
            <w:shd w:val="clear" w:color="auto" w:fill="C6EFCE"/>
            <w:noWrap/>
          </w:tcPr>
          <w:p w14:paraId="26BF511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Renovate – 16891_Vytvorenie nového námorného priestorového plánovania</w:t>
            </w:r>
          </w:p>
        </w:tc>
        <w:tc>
          <w:tcPr>
            <w:tcW w:w="1080" w:type="dxa"/>
            <w:shd w:val="clear" w:color="auto" w:fill="C6EFCE"/>
            <w:noWrap/>
          </w:tcPr>
          <w:p w14:paraId="1496F51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p w14:paraId="7E443D8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569" w:type="dxa"/>
            <w:shd w:val="clear" w:color="auto" w:fill="C6EFCE"/>
            <w:noWrap/>
          </w:tcPr>
          <w:p w14:paraId="1AF85DC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námornej stratégie</w:t>
            </w:r>
          </w:p>
        </w:tc>
        <w:tc>
          <w:tcPr>
            <w:tcW w:w="1477" w:type="dxa"/>
            <w:shd w:val="clear" w:color="auto" w:fill="C6EFCE"/>
            <w:noWrap/>
          </w:tcPr>
          <w:p w14:paraId="45323B9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novej námornej priestorovej stratégie</w:t>
            </w:r>
          </w:p>
        </w:tc>
        <w:tc>
          <w:tcPr>
            <w:tcW w:w="1125" w:type="dxa"/>
            <w:shd w:val="clear" w:color="auto" w:fill="C6EFCE"/>
            <w:noWrap/>
          </w:tcPr>
          <w:p w14:paraId="3324CE5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81" w:type="dxa"/>
            <w:shd w:val="clear" w:color="auto" w:fill="C6EFCE"/>
            <w:noWrap/>
          </w:tcPr>
          <w:p w14:paraId="260CF2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5" w:type="dxa"/>
            <w:shd w:val="clear" w:color="auto" w:fill="C6EFCE"/>
            <w:noWrap/>
          </w:tcPr>
          <w:p w14:paraId="59C1798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6E60821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076AA5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450" w:type="dxa"/>
            <w:shd w:val="clear" w:color="auto" w:fill="C6EFCE"/>
            <w:noWrap/>
          </w:tcPr>
          <w:p w14:paraId="2155A218" w14:textId="222B567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námornej priestorovej stratégie ministerstvom životného prostredia</w:t>
            </w:r>
            <w:r w:rsidR="00AB26B3" w:rsidRPr="00AB26B3">
              <w:rPr>
                <w:noProof/>
                <w:spacing w:val="-6"/>
                <w:lang w:val="sk-SK"/>
              </w:rPr>
              <w:t xml:space="preserve"> a </w:t>
            </w:r>
            <w:r w:rsidRPr="00AB26B3">
              <w:rPr>
                <w:noProof/>
                <w:spacing w:val="-6"/>
                <w:lang w:val="sk-SK"/>
              </w:rPr>
              <w:t xml:space="preserve">energetiky. </w:t>
            </w:r>
          </w:p>
        </w:tc>
      </w:tr>
    </w:tbl>
    <w:p w14:paraId="1BBA0643"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pPr>
    </w:p>
    <w:p w14:paraId="6CC7CB3E" w14:textId="77777777" w:rsidR="00302FC1" w:rsidRPr="00AB26B3" w:rsidRDefault="00D64F26">
      <w:pPr>
        <w:pStyle w:val="P68B1DB1-Normal9"/>
        <w:spacing w:after="0" w:line="240" w:lineRule="auto"/>
        <w:rPr>
          <w:rFonts w:ascii="Times New Roman" w:hAnsi="Times New Roman"/>
          <w:noProof/>
          <w:spacing w:val="-6"/>
          <w:lang w:val="sk-SK"/>
        </w:rPr>
      </w:pPr>
      <w:r w:rsidRPr="00AB26B3">
        <w:rPr>
          <w:rFonts w:ascii="Times New Roman" w:hAnsi="Times New Roman"/>
          <w:noProof/>
          <w:spacing w:val="-6"/>
          <w:lang w:val="sk-SK"/>
        </w:rPr>
        <w:br w:type="page"/>
      </w:r>
    </w:p>
    <w:p w14:paraId="5476E9A4" w14:textId="0D4CA09A"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 Energetická obnova podnikov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verejných budov</w:t>
      </w:r>
    </w:p>
    <w:p w14:paraId="70EE25AC" w14:textId="77777777" w:rsidR="00302FC1" w:rsidRPr="00AB26B3" w:rsidRDefault="00D64F26">
      <w:pPr>
        <w:pStyle w:val="P68B1DB1-Normal5"/>
        <w:spacing w:before="120" w:after="120" w:line="240" w:lineRule="auto"/>
        <w:rPr>
          <w:rFonts w:cs="Times New Roman"/>
          <w:noProof/>
          <w:spacing w:val="-6"/>
          <w:lang w:val="sk-SK"/>
        </w:rPr>
      </w:pPr>
      <w:r w:rsidRPr="00AB26B3">
        <w:rPr>
          <w:noProof/>
          <w:spacing w:val="-6"/>
          <w:lang w:val="sk-SK"/>
        </w:rPr>
        <w:t>Do tejto skupiny patria tieto opatrenia:</w:t>
      </w:r>
    </w:p>
    <w:p w14:paraId="7B28234E" w14:textId="29603260"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Energetika</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podnikanie (ID: 16874)</w:t>
      </w:r>
    </w:p>
    <w:p w14:paraId="4DDF4FDC" w14:textId="4AB77692"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Energetická modernizácia budov verejného sektora</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energetickej infraštruktúry verejných subjektov (ID: 16876)</w:t>
      </w:r>
    </w:p>
    <w:p w14:paraId="0B0793C0" w14:textId="77777777"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Akčný plán pre energetickú chudobu (ID: 16920)</w:t>
      </w:r>
    </w:p>
    <w:tbl>
      <w:tblPr>
        <w:tblpPr w:leftFromText="180" w:rightFromText="180" w:vertAnchor="text" w:tblpXSpec="center"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33"/>
        <w:gridCol w:w="1080"/>
        <w:gridCol w:w="1200"/>
        <w:gridCol w:w="1440"/>
        <w:gridCol w:w="1208"/>
        <w:gridCol w:w="999"/>
        <w:gridCol w:w="985"/>
        <w:gridCol w:w="894"/>
        <w:gridCol w:w="709"/>
        <w:gridCol w:w="4394"/>
      </w:tblGrid>
      <w:tr w:rsidR="00302FC1" w:rsidRPr="00AB26B3" w14:paraId="3CF6AEF9" w14:textId="77777777">
        <w:trPr>
          <w:trHeight w:val="939"/>
          <w:tblHeader/>
        </w:trPr>
        <w:tc>
          <w:tcPr>
            <w:tcW w:w="675" w:type="dxa"/>
            <w:vMerge w:val="restart"/>
            <w:shd w:val="clear" w:color="auto" w:fill="BDD7EE"/>
            <w:vAlign w:val="center"/>
            <w:hideMark/>
          </w:tcPr>
          <w:p w14:paraId="3CBBE4A6" w14:textId="52F4225C"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w:t>
            </w:r>
            <w:r w:rsidRPr="00AB26B3">
              <w:rPr>
                <w:noProof/>
                <w:spacing w:val="-6"/>
                <w:lang w:val="sk-SK"/>
              </w:rPr>
              <w:br/>
              <w:t>Nie</w:t>
            </w:r>
          </w:p>
        </w:tc>
        <w:tc>
          <w:tcPr>
            <w:tcW w:w="1833" w:type="dxa"/>
            <w:vMerge w:val="restart"/>
            <w:shd w:val="clear" w:color="auto" w:fill="BDD7EE"/>
            <w:vAlign w:val="center"/>
            <w:hideMark/>
          </w:tcPr>
          <w:p w14:paraId="0F3F7B1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80" w:type="dxa"/>
            <w:vMerge w:val="restart"/>
            <w:shd w:val="clear" w:color="auto" w:fill="BDD7EE"/>
            <w:vAlign w:val="center"/>
            <w:hideMark/>
          </w:tcPr>
          <w:p w14:paraId="1162D3F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200" w:type="dxa"/>
            <w:vMerge w:val="restart"/>
            <w:shd w:val="clear" w:color="auto" w:fill="BDD7EE"/>
            <w:vAlign w:val="center"/>
            <w:hideMark/>
          </w:tcPr>
          <w:p w14:paraId="176A68B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440" w:type="dxa"/>
            <w:vMerge w:val="restart"/>
            <w:shd w:val="clear" w:color="auto" w:fill="BDD7EE"/>
            <w:vAlign w:val="center"/>
            <w:hideMark/>
          </w:tcPr>
          <w:p w14:paraId="683F56D1" w14:textId="030F5745" w:rsidR="00302FC1" w:rsidRPr="00AB26B3" w:rsidRDefault="00D64F26">
            <w:pPr>
              <w:pStyle w:val="P68B1DB1-Normal18"/>
              <w:spacing w:after="0" w:line="240" w:lineRule="auto"/>
              <w:jc w:val="center"/>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 xml:space="preserve">Kvalitatívne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(pre míľniky)</w:t>
            </w:r>
          </w:p>
        </w:tc>
        <w:tc>
          <w:tcPr>
            <w:tcW w:w="3192" w:type="dxa"/>
            <w:gridSpan w:val="3"/>
            <w:shd w:val="clear" w:color="auto" w:fill="BDD7EE"/>
            <w:vAlign w:val="center"/>
            <w:hideMark/>
          </w:tcPr>
          <w:p w14:paraId="60F28E2E" w14:textId="29AE5DAE" w:rsidR="00302FC1" w:rsidRPr="00AB26B3" w:rsidRDefault="00D64F26">
            <w:pPr>
              <w:pStyle w:val="P68B1DB1-Normal18"/>
              <w:spacing w:after="0" w:line="240" w:lineRule="auto"/>
              <w:jc w:val="center"/>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 xml:space="preserve">Kvantitatívne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(pre ciele)</w:t>
            </w:r>
          </w:p>
        </w:tc>
        <w:tc>
          <w:tcPr>
            <w:tcW w:w="1603" w:type="dxa"/>
            <w:gridSpan w:val="2"/>
            <w:shd w:val="clear" w:color="auto" w:fill="BDD7EE"/>
            <w:vAlign w:val="center"/>
            <w:hideMark/>
          </w:tcPr>
          <w:p w14:paraId="5445570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394" w:type="dxa"/>
            <w:vMerge w:val="restart"/>
            <w:shd w:val="clear" w:color="auto" w:fill="BDD7EE"/>
            <w:vAlign w:val="center"/>
            <w:hideMark/>
          </w:tcPr>
          <w:p w14:paraId="032852A1" w14:textId="45D972AB"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4909B01" w14:textId="77777777">
        <w:trPr>
          <w:trHeight w:val="1027"/>
        </w:trPr>
        <w:tc>
          <w:tcPr>
            <w:tcW w:w="675" w:type="dxa"/>
            <w:vMerge/>
            <w:vAlign w:val="center"/>
            <w:hideMark/>
          </w:tcPr>
          <w:p w14:paraId="5EA3610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833" w:type="dxa"/>
            <w:vMerge/>
            <w:vAlign w:val="center"/>
            <w:hideMark/>
          </w:tcPr>
          <w:p w14:paraId="3CCEEAF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80" w:type="dxa"/>
            <w:vMerge/>
            <w:vAlign w:val="center"/>
            <w:hideMark/>
          </w:tcPr>
          <w:p w14:paraId="6919DFB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0" w:type="dxa"/>
            <w:vMerge/>
            <w:vAlign w:val="center"/>
            <w:hideMark/>
          </w:tcPr>
          <w:p w14:paraId="20A99B8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40" w:type="dxa"/>
            <w:vMerge/>
            <w:vAlign w:val="center"/>
            <w:hideMark/>
          </w:tcPr>
          <w:p w14:paraId="25C118B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8" w:type="dxa"/>
            <w:shd w:val="clear" w:color="auto" w:fill="BDD7EE"/>
            <w:vAlign w:val="center"/>
            <w:hideMark/>
          </w:tcPr>
          <w:p w14:paraId="7BDCCEB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9" w:type="dxa"/>
            <w:shd w:val="clear" w:color="auto" w:fill="BDD7EE"/>
            <w:vAlign w:val="center"/>
            <w:hideMark/>
          </w:tcPr>
          <w:p w14:paraId="60F2ED7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985" w:type="dxa"/>
            <w:shd w:val="clear" w:color="auto" w:fill="BDD7EE"/>
            <w:vAlign w:val="center"/>
            <w:hideMark/>
          </w:tcPr>
          <w:p w14:paraId="628DB87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94" w:type="dxa"/>
            <w:shd w:val="clear" w:color="auto" w:fill="BDD7EE"/>
            <w:vAlign w:val="center"/>
            <w:hideMark/>
          </w:tcPr>
          <w:p w14:paraId="71E98D5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27DFDE4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394" w:type="dxa"/>
            <w:vMerge/>
            <w:vAlign w:val="center"/>
            <w:hideMark/>
          </w:tcPr>
          <w:p w14:paraId="525E3E8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2CB57CCE" w14:textId="77777777">
        <w:trPr>
          <w:trHeight w:val="313"/>
        </w:trPr>
        <w:tc>
          <w:tcPr>
            <w:tcW w:w="675" w:type="dxa"/>
            <w:shd w:val="clear" w:color="auto" w:fill="C6EFCE"/>
            <w:noWrap/>
          </w:tcPr>
          <w:p w14:paraId="3A973B6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32</w:t>
            </w:r>
          </w:p>
        </w:tc>
        <w:tc>
          <w:tcPr>
            <w:tcW w:w="1833" w:type="dxa"/>
            <w:shd w:val="clear" w:color="auto" w:fill="C6EFCE"/>
            <w:noWrap/>
          </w:tcPr>
          <w:p w14:paraId="56CF71B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16920_Akčný plán pre energetickú chudobu</w:t>
            </w:r>
          </w:p>
        </w:tc>
        <w:tc>
          <w:tcPr>
            <w:tcW w:w="1080" w:type="dxa"/>
            <w:shd w:val="clear" w:color="auto" w:fill="C6EFCE"/>
            <w:noWrap/>
          </w:tcPr>
          <w:p w14:paraId="6F49ED9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0" w:type="dxa"/>
            <w:shd w:val="clear" w:color="auto" w:fill="C6EFCE"/>
            <w:noWrap/>
          </w:tcPr>
          <w:p w14:paraId="022BB21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Energetická chudoba – prijatie akčného plánu</w:t>
            </w:r>
          </w:p>
          <w:p w14:paraId="615BCAB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40" w:type="dxa"/>
            <w:shd w:val="clear" w:color="auto" w:fill="C6EFCE"/>
            <w:noWrap/>
          </w:tcPr>
          <w:p w14:paraId="197D78DA" w14:textId="1B8AB71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ministerského rozhodnutia ministerstva životného prostredia</w:t>
            </w:r>
            <w:r w:rsidR="00AB26B3" w:rsidRPr="00AB26B3">
              <w:rPr>
                <w:noProof/>
                <w:spacing w:val="-6"/>
                <w:lang w:val="sk-SK"/>
              </w:rPr>
              <w:t xml:space="preserve"> a </w:t>
            </w:r>
            <w:r w:rsidRPr="00AB26B3">
              <w:rPr>
                <w:noProof/>
                <w:spacing w:val="-6"/>
                <w:lang w:val="sk-SK"/>
              </w:rPr>
              <w:t>energetiky.</w:t>
            </w:r>
          </w:p>
        </w:tc>
        <w:tc>
          <w:tcPr>
            <w:tcW w:w="1208" w:type="dxa"/>
            <w:shd w:val="clear" w:color="auto" w:fill="C6EFCE"/>
            <w:noWrap/>
          </w:tcPr>
          <w:p w14:paraId="7D91F28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9" w:type="dxa"/>
            <w:shd w:val="clear" w:color="auto" w:fill="C6EFCE"/>
            <w:noWrap/>
          </w:tcPr>
          <w:p w14:paraId="6312DD4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5" w:type="dxa"/>
            <w:shd w:val="clear" w:color="auto" w:fill="C6EFCE"/>
            <w:noWrap/>
          </w:tcPr>
          <w:p w14:paraId="65BF760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4" w:type="dxa"/>
            <w:shd w:val="clear" w:color="auto" w:fill="C6EFCE"/>
            <w:noWrap/>
          </w:tcPr>
          <w:p w14:paraId="7D1F11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9" w:type="dxa"/>
            <w:shd w:val="clear" w:color="auto" w:fill="C6EFCE"/>
            <w:noWrap/>
          </w:tcPr>
          <w:p w14:paraId="2BF609B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394" w:type="dxa"/>
            <w:shd w:val="clear" w:color="auto" w:fill="C6EFCE"/>
            <w:noWrap/>
          </w:tcPr>
          <w:p w14:paraId="18DF92AA" w14:textId="0B0284A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ministerského rozhodnutia ministerstva životného prostredia</w:t>
            </w:r>
            <w:r w:rsidR="00AB26B3" w:rsidRPr="00AB26B3">
              <w:rPr>
                <w:noProof/>
                <w:spacing w:val="-6"/>
                <w:lang w:val="sk-SK"/>
              </w:rPr>
              <w:t xml:space="preserve"> a </w:t>
            </w:r>
            <w:r w:rsidRPr="00AB26B3">
              <w:rPr>
                <w:noProof/>
                <w:spacing w:val="-6"/>
                <w:lang w:val="sk-SK"/>
              </w:rPr>
              <w:t>energetiky, ktorým sa prijíma akčný plán energetickej chudoby</w:t>
            </w:r>
            <w:r w:rsidR="00AB26B3" w:rsidRPr="00AB26B3">
              <w:rPr>
                <w:noProof/>
                <w:spacing w:val="-6"/>
                <w:lang w:val="sk-SK"/>
              </w:rPr>
              <w:t xml:space="preserve"> s </w:t>
            </w:r>
            <w:r w:rsidRPr="00AB26B3">
              <w:rPr>
                <w:noProof/>
                <w:spacing w:val="-6"/>
                <w:lang w:val="sk-SK"/>
              </w:rPr>
              <w:t>tromi kategóriami politických opatrení</w:t>
            </w:r>
            <w:r w:rsidR="00AB26B3" w:rsidRPr="00AB26B3">
              <w:rPr>
                <w:noProof/>
                <w:spacing w:val="-6"/>
                <w:lang w:val="sk-SK"/>
              </w:rPr>
              <w:t xml:space="preserve"> v </w:t>
            </w:r>
            <w:r w:rsidRPr="00AB26B3">
              <w:rPr>
                <w:noProof/>
                <w:spacing w:val="-6"/>
                <w:lang w:val="sk-SK"/>
              </w:rPr>
              <w:t>pláne:</w:t>
            </w:r>
          </w:p>
          <w:p w14:paraId="540A4DC9" w14:textId="00E1281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Informačné</w:t>
            </w:r>
            <w:r w:rsidR="00AB26B3" w:rsidRPr="00AB26B3">
              <w:rPr>
                <w:noProof/>
                <w:spacing w:val="-6"/>
                <w:lang w:val="sk-SK"/>
              </w:rPr>
              <w:t xml:space="preserve"> a </w:t>
            </w:r>
            <w:r w:rsidRPr="00AB26B3">
              <w:rPr>
                <w:noProof/>
                <w:spacing w:val="-6"/>
                <w:lang w:val="sk-SK"/>
              </w:rPr>
              <w:t>osvetové opatrenia,</w:t>
            </w:r>
          </w:p>
          <w:p w14:paraId="2A57038B" w14:textId="6ACD2ED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Opatrenia na krátkodobú ochranu energeticky chudobných domácností vrátane 1. vymedzenia domácností trpiacich energetickou chudobou prostredníctvom osobitných kvantitatívnych kritérií</w:t>
            </w:r>
            <w:r w:rsidR="00AB26B3" w:rsidRPr="00AB26B3">
              <w:rPr>
                <w:noProof/>
                <w:spacing w:val="-6"/>
                <w:lang w:val="sk-SK"/>
              </w:rPr>
              <w:t xml:space="preserve"> a </w:t>
            </w:r>
            <w:r w:rsidRPr="00AB26B3">
              <w:rPr>
                <w:noProof/>
                <w:spacing w:val="-6"/>
                <w:lang w:val="sk-SK"/>
              </w:rPr>
              <w:t>2. osobitného procesu na monitorovanie</w:t>
            </w:r>
            <w:r w:rsidR="00AB26B3" w:rsidRPr="00AB26B3">
              <w:rPr>
                <w:noProof/>
                <w:spacing w:val="-6"/>
                <w:lang w:val="sk-SK"/>
              </w:rPr>
              <w:t xml:space="preserve"> a </w:t>
            </w:r>
            <w:r w:rsidRPr="00AB26B3">
              <w:rPr>
                <w:noProof/>
                <w:spacing w:val="-6"/>
                <w:lang w:val="sk-SK"/>
              </w:rPr>
              <w:t>hodnotenie vývoja energetickej chudoby</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mechanizmom navrhnutým</w:t>
            </w:r>
            <w:r w:rsidR="00AB26B3" w:rsidRPr="00AB26B3">
              <w:rPr>
                <w:noProof/>
                <w:spacing w:val="-6"/>
                <w:lang w:val="sk-SK"/>
              </w:rPr>
              <w:t xml:space="preserve"> v </w:t>
            </w:r>
            <w:r w:rsidRPr="00AB26B3">
              <w:rPr>
                <w:noProof/>
                <w:spacing w:val="-6"/>
                <w:lang w:val="sk-SK"/>
              </w:rPr>
              <w:t>akčnom pláne</w:t>
            </w:r>
            <w:r w:rsidR="00AB26B3" w:rsidRPr="00AB26B3">
              <w:rPr>
                <w:noProof/>
                <w:spacing w:val="-6"/>
                <w:lang w:val="sk-SK"/>
              </w:rPr>
              <w:t xml:space="preserve"> a v </w:t>
            </w:r>
            <w:r w:rsidRPr="00AB26B3">
              <w:rPr>
                <w:noProof/>
                <w:spacing w:val="-6"/>
                <w:lang w:val="sk-SK"/>
              </w:rPr>
              <w:t>súlade</w:t>
            </w:r>
            <w:r w:rsidR="00AB26B3" w:rsidRPr="00AB26B3">
              <w:rPr>
                <w:noProof/>
                <w:spacing w:val="-6"/>
                <w:lang w:val="sk-SK"/>
              </w:rPr>
              <w:t xml:space="preserve"> s </w:t>
            </w:r>
            <w:r w:rsidRPr="00AB26B3">
              <w:rPr>
                <w:noProof/>
                <w:spacing w:val="-6"/>
                <w:lang w:val="sk-SK"/>
              </w:rPr>
              <w:t>príslušnými právnymi predpismi EÚ; podielu a</w:t>
            </w:r>
          </w:p>
          <w:p w14:paraId="672FB812" w14:textId="35162CA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Finančné opatrenia: vytvorenie mechanizmov financovania energetickej modernizácie obytných budov energeticky zraniteľných domácností</w:t>
            </w:r>
            <w:r w:rsidR="00AB26B3" w:rsidRPr="00AB26B3">
              <w:rPr>
                <w:noProof/>
                <w:spacing w:val="-6"/>
                <w:lang w:val="sk-SK"/>
              </w:rPr>
              <w:t xml:space="preserve"> a </w:t>
            </w:r>
            <w:r w:rsidRPr="00AB26B3">
              <w:rPr>
                <w:noProof/>
                <w:spacing w:val="-6"/>
                <w:lang w:val="sk-SK"/>
              </w:rPr>
              <w:t>iných sociálnych skupín so špecifickými modelmi spotreby elektrickej energie. Týmito finančnými opatreniami sa riešia otázky energetickej chudoby</w:t>
            </w:r>
            <w:r w:rsidR="00AB26B3" w:rsidRPr="00AB26B3">
              <w:rPr>
                <w:noProof/>
                <w:spacing w:val="-6"/>
                <w:lang w:val="sk-SK"/>
              </w:rPr>
              <w:t xml:space="preserve"> v </w:t>
            </w:r>
            <w:r w:rsidRPr="00AB26B3">
              <w:rPr>
                <w:noProof/>
                <w:spacing w:val="-6"/>
                <w:lang w:val="sk-SK"/>
              </w:rPr>
              <w:t>Grécku, ako sa opisuje</w:t>
            </w:r>
            <w:r w:rsidR="00AB26B3" w:rsidRPr="00AB26B3">
              <w:rPr>
                <w:noProof/>
                <w:spacing w:val="-6"/>
                <w:lang w:val="sk-SK"/>
              </w:rPr>
              <w:t xml:space="preserve"> v </w:t>
            </w:r>
            <w:r w:rsidRPr="00AB26B3">
              <w:rPr>
                <w:noProof/>
                <w:spacing w:val="-6"/>
                <w:lang w:val="sk-SK"/>
              </w:rPr>
              <w:t>národnom energetickom</w:t>
            </w:r>
            <w:r w:rsidR="00AB26B3" w:rsidRPr="00AB26B3">
              <w:rPr>
                <w:noProof/>
                <w:spacing w:val="-6"/>
                <w:lang w:val="sk-SK"/>
              </w:rPr>
              <w:t xml:space="preserve"> a </w:t>
            </w:r>
            <w:r w:rsidRPr="00AB26B3">
              <w:rPr>
                <w:noProof/>
                <w:spacing w:val="-6"/>
                <w:lang w:val="sk-SK"/>
              </w:rPr>
              <w:t>klimatickom pláne (NEKP).</w:t>
            </w:r>
          </w:p>
        </w:tc>
      </w:tr>
      <w:tr w:rsidR="00302FC1" w:rsidRPr="00AB26B3" w14:paraId="2FB1D8AC" w14:textId="77777777">
        <w:trPr>
          <w:trHeight w:val="313"/>
        </w:trPr>
        <w:tc>
          <w:tcPr>
            <w:tcW w:w="675" w:type="dxa"/>
            <w:shd w:val="clear" w:color="auto" w:fill="C6EFCE"/>
            <w:noWrap/>
          </w:tcPr>
          <w:p w14:paraId="4981C4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w:t>
            </w:r>
          </w:p>
        </w:tc>
        <w:tc>
          <w:tcPr>
            <w:tcW w:w="1833" w:type="dxa"/>
            <w:shd w:val="clear" w:color="auto" w:fill="C6EFCE"/>
            <w:noWrap/>
          </w:tcPr>
          <w:p w14:paraId="1265D265" w14:textId="5D2B6E3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16874_Energetika</w:t>
            </w:r>
            <w:r w:rsidR="00AB26B3" w:rsidRPr="00AB26B3">
              <w:rPr>
                <w:noProof/>
                <w:spacing w:val="-6"/>
                <w:lang w:val="sk-SK"/>
              </w:rPr>
              <w:t xml:space="preserve"> a </w:t>
            </w:r>
            <w:r w:rsidRPr="00AB26B3">
              <w:rPr>
                <w:noProof/>
                <w:spacing w:val="-6"/>
                <w:lang w:val="sk-SK"/>
              </w:rPr>
              <w:t>podnikanie</w:t>
            </w:r>
          </w:p>
        </w:tc>
        <w:tc>
          <w:tcPr>
            <w:tcW w:w="1080" w:type="dxa"/>
            <w:shd w:val="clear" w:color="auto" w:fill="C6EFCE"/>
            <w:noWrap/>
          </w:tcPr>
          <w:p w14:paraId="67451B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0" w:type="dxa"/>
            <w:shd w:val="clear" w:color="auto" w:fill="C6EFCE"/>
            <w:noWrap/>
          </w:tcPr>
          <w:p w14:paraId="61408B2E" w14:textId="5C3EE14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Energetická efektívnosť</w:t>
            </w:r>
            <w:r w:rsidR="00AB26B3" w:rsidRPr="00AB26B3">
              <w:rPr>
                <w:noProof/>
                <w:spacing w:val="-6"/>
                <w:lang w:val="sk-SK"/>
              </w:rPr>
              <w:t xml:space="preserve"> v </w:t>
            </w:r>
            <w:r w:rsidRPr="00AB26B3">
              <w:rPr>
                <w:noProof/>
                <w:spacing w:val="-6"/>
                <w:lang w:val="sk-SK"/>
              </w:rPr>
              <w:t>súkromnom sektore – schválené žiadosti</w:t>
            </w:r>
          </w:p>
        </w:tc>
        <w:tc>
          <w:tcPr>
            <w:tcW w:w="1440" w:type="dxa"/>
            <w:shd w:val="clear" w:color="auto" w:fill="C6EFCE"/>
            <w:noWrap/>
          </w:tcPr>
          <w:p w14:paraId="0428524F" w14:textId="0A36B52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Schválenie žiadostí predložených na vybrané intervencie</w:t>
            </w:r>
            <w:r w:rsidR="00AB26B3" w:rsidRPr="00AB26B3">
              <w:rPr>
                <w:noProof/>
                <w:spacing w:val="-6"/>
                <w:lang w:val="sk-SK"/>
              </w:rPr>
              <w:t xml:space="preserve"> v </w:t>
            </w:r>
            <w:r w:rsidRPr="00AB26B3">
              <w:rPr>
                <w:noProof/>
                <w:spacing w:val="-6"/>
                <w:lang w:val="sk-SK"/>
              </w:rPr>
              <w:t>subjektoch súkromného sektora ministerstvom životného prostredia</w:t>
            </w:r>
            <w:r w:rsidR="00AB26B3" w:rsidRPr="00AB26B3">
              <w:rPr>
                <w:noProof/>
                <w:spacing w:val="-6"/>
                <w:lang w:val="sk-SK"/>
              </w:rPr>
              <w:t xml:space="preserve"> a </w:t>
            </w:r>
            <w:r w:rsidRPr="00AB26B3">
              <w:rPr>
                <w:noProof/>
                <w:spacing w:val="-6"/>
                <w:lang w:val="sk-SK"/>
              </w:rPr>
              <w:t>energetiky.</w:t>
            </w:r>
          </w:p>
        </w:tc>
        <w:tc>
          <w:tcPr>
            <w:tcW w:w="1208" w:type="dxa"/>
            <w:shd w:val="clear" w:color="auto" w:fill="C6EFCE"/>
            <w:noWrap/>
          </w:tcPr>
          <w:p w14:paraId="19EA581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9" w:type="dxa"/>
            <w:shd w:val="clear" w:color="auto" w:fill="C6EFCE"/>
            <w:noWrap/>
          </w:tcPr>
          <w:p w14:paraId="4E418D4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5" w:type="dxa"/>
            <w:shd w:val="clear" w:color="auto" w:fill="C6EFCE"/>
            <w:noWrap/>
          </w:tcPr>
          <w:p w14:paraId="43D65F8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4" w:type="dxa"/>
            <w:shd w:val="clear" w:color="auto" w:fill="C6EFCE"/>
            <w:noWrap/>
          </w:tcPr>
          <w:p w14:paraId="121B53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3D4CE1A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394" w:type="dxa"/>
            <w:shd w:val="clear" w:color="auto" w:fill="C6EFCE"/>
            <w:noWrap/>
          </w:tcPr>
          <w:p w14:paraId="497885CD" w14:textId="3F26D6C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Schválenie žiadostí 3500 subjektov súkromného sektora ministerstvom životného prostredia</w:t>
            </w:r>
            <w:r w:rsidR="00AB26B3" w:rsidRPr="00AB26B3">
              <w:rPr>
                <w:noProof/>
                <w:spacing w:val="-6"/>
                <w:lang w:val="sk-SK"/>
              </w:rPr>
              <w:t xml:space="preserve"> a </w:t>
            </w:r>
            <w:r w:rsidRPr="00AB26B3">
              <w:rPr>
                <w:noProof/>
                <w:spacing w:val="-6"/>
                <w:lang w:val="sk-SK"/>
              </w:rPr>
              <w:t>energetiky, ktorými sa zabezpečí zníženie emisií oxidu uhličitého (CO2)</w:t>
            </w:r>
            <w:r w:rsidR="00AB26B3" w:rsidRPr="00AB26B3">
              <w:rPr>
                <w:noProof/>
                <w:spacing w:val="-6"/>
                <w:lang w:val="sk-SK"/>
              </w:rPr>
              <w:t xml:space="preserve"> v </w:t>
            </w:r>
            <w:r w:rsidRPr="00AB26B3">
              <w:rPr>
                <w:noProof/>
                <w:spacing w:val="-6"/>
                <w:lang w:val="sk-SK"/>
              </w:rPr>
              <w:t>priemere aspoň</w:t>
            </w:r>
            <w:r w:rsidR="00AB26B3" w:rsidRPr="00AB26B3">
              <w:rPr>
                <w:noProof/>
                <w:spacing w:val="-6"/>
                <w:lang w:val="sk-SK"/>
              </w:rPr>
              <w:t xml:space="preserve"> o </w:t>
            </w:r>
            <w:r w:rsidRPr="00AB26B3">
              <w:rPr>
                <w:noProof/>
                <w:spacing w:val="-6"/>
                <w:lang w:val="sk-SK"/>
              </w:rPr>
              <w:t>30</w:t>
            </w:r>
            <w:r w:rsidR="00AB26B3" w:rsidRPr="00AB26B3">
              <w:rPr>
                <w:noProof/>
                <w:spacing w:val="-6"/>
                <w:lang w:val="sk-SK"/>
              </w:rPr>
              <w:t> % v </w:t>
            </w:r>
            <w:r w:rsidRPr="00AB26B3">
              <w:rPr>
                <w:noProof/>
                <w:spacing w:val="-6"/>
                <w:lang w:val="sk-SK"/>
              </w:rPr>
              <w:t>porovnaní</w:t>
            </w:r>
            <w:r w:rsidR="00AB26B3" w:rsidRPr="00AB26B3">
              <w:rPr>
                <w:noProof/>
                <w:spacing w:val="-6"/>
                <w:lang w:val="sk-SK"/>
              </w:rPr>
              <w:t xml:space="preserve"> s </w:t>
            </w:r>
            <w:r w:rsidRPr="00AB26B3">
              <w:rPr>
                <w:noProof/>
                <w:spacing w:val="-6"/>
                <w:lang w:val="sk-SK"/>
              </w:rPr>
              <w:t>existujúcou situáciou subjektov súkromného sektora [t. j. môže sa vzťahovať na zúčastnené podniky ako celok, konkrétnu výmenu jedného zariadenia a/alebo konkrétnu výmenu procesov], ako sa uvádza</w:t>
            </w:r>
            <w:r w:rsidR="00AB26B3" w:rsidRPr="00AB26B3">
              <w:rPr>
                <w:noProof/>
                <w:spacing w:val="-6"/>
                <w:lang w:val="sk-SK"/>
              </w:rPr>
              <w:t xml:space="preserve"> v </w:t>
            </w:r>
            <w:r w:rsidRPr="00AB26B3">
              <w:rPr>
                <w:noProof/>
                <w:spacing w:val="-6"/>
                <w:lang w:val="sk-SK"/>
              </w:rPr>
              <w:t>energetických auditoch vykonaných pred intervenciami alebo</w:t>
            </w:r>
            <w:r w:rsidR="00AB26B3" w:rsidRPr="00AB26B3">
              <w:rPr>
                <w:noProof/>
                <w:spacing w:val="-6"/>
                <w:lang w:val="sk-SK"/>
              </w:rPr>
              <w:t xml:space="preserve"> v </w:t>
            </w:r>
            <w:r w:rsidRPr="00AB26B3">
              <w:rPr>
                <w:noProof/>
                <w:spacing w:val="-6"/>
                <w:lang w:val="sk-SK"/>
              </w:rPr>
              <w:t>iných certifikovaných informáciách. Vybrané projekty musia byť</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Significant Harm Technical Guidance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p>
        </w:tc>
      </w:tr>
      <w:tr w:rsidR="00302FC1" w:rsidRPr="00AB26B3" w14:paraId="6E3BD6EB" w14:textId="77777777">
        <w:trPr>
          <w:trHeight w:val="313"/>
        </w:trPr>
        <w:tc>
          <w:tcPr>
            <w:tcW w:w="675" w:type="dxa"/>
            <w:shd w:val="clear" w:color="auto" w:fill="C6EFCE"/>
            <w:noWrap/>
          </w:tcPr>
          <w:p w14:paraId="54D2181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34</w:t>
            </w:r>
          </w:p>
        </w:tc>
        <w:tc>
          <w:tcPr>
            <w:tcW w:w="1833" w:type="dxa"/>
            <w:shd w:val="clear" w:color="auto" w:fill="C6EFCE"/>
            <w:noWrap/>
          </w:tcPr>
          <w:p w14:paraId="1AF35A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2 – 1.2. Renovujme – 16876_Energetická modernizácia budov verejného sektora </w:t>
            </w:r>
          </w:p>
        </w:tc>
        <w:tc>
          <w:tcPr>
            <w:tcW w:w="1080" w:type="dxa"/>
            <w:shd w:val="clear" w:color="auto" w:fill="C6EFCE"/>
            <w:noWrap/>
          </w:tcPr>
          <w:p w14:paraId="04D8AF6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0" w:type="dxa"/>
            <w:shd w:val="clear" w:color="auto" w:fill="C6EFCE"/>
            <w:noWrap/>
          </w:tcPr>
          <w:p w14:paraId="07CC9C9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Energetická efektívnosť verejných budov – schválené žiadosti</w:t>
            </w:r>
          </w:p>
        </w:tc>
        <w:tc>
          <w:tcPr>
            <w:tcW w:w="1440" w:type="dxa"/>
            <w:shd w:val="clear" w:color="auto" w:fill="C6EFCE"/>
            <w:noWrap/>
          </w:tcPr>
          <w:p w14:paraId="4FA1095A" w14:textId="7714D65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pridelení schválených žiadostí ministerstvom životného prostredia</w:t>
            </w:r>
            <w:r w:rsidR="00AB26B3" w:rsidRPr="00AB26B3">
              <w:rPr>
                <w:noProof/>
                <w:spacing w:val="-6"/>
                <w:lang w:val="sk-SK"/>
              </w:rPr>
              <w:t xml:space="preserve"> a </w:t>
            </w:r>
            <w:r w:rsidRPr="00AB26B3">
              <w:rPr>
                <w:noProof/>
                <w:spacing w:val="-6"/>
                <w:lang w:val="sk-SK"/>
              </w:rPr>
              <w:t>energetiky</w:t>
            </w:r>
            <w:r w:rsidR="00AB26B3" w:rsidRPr="00AB26B3">
              <w:rPr>
                <w:noProof/>
                <w:spacing w:val="-6"/>
                <w:lang w:val="sk-SK"/>
              </w:rPr>
              <w:t xml:space="preserve"> o </w:t>
            </w:r>
            <w:r w:rsidRPr="00AB26B3">
              <w:rPr>
                <w:noProof/>
                <w:spacing w:val="-6"/>
                <w:lang w:val="sk-SK"/>
              </w:rPr>
              <w:t>vybraných intervenciách</w:t>
            </w:r>
            <w:r w:rsidR="00AB26B3" w:rsidRPr="00AB26B3">
              <w:rPr>
                <w:noProof/>
                <w:spacing w:val="-6"/>
                <w:lang w:val="sk-SK"/>
              </w:rPr>
              <w:t xml:space="preserve"> v </w:t>
            </w:r>
            <w:r w:rsidRPr="00AB26B3">
              <w:rPr>
                <w:noProof/>
                <w:spacing w:val="-6"/>
                <w:lang w:val="sk-SK"/>
              </w:rPr>
              <w:t>budovách verejného sektora.</w:t>
            </w:r>
          </w:p>
        </w:tc>
        <w:tc>
          <w:tcPr>
            <w:tcW w:w="1208" w:type="dxa"/>
            <w:shd w:val="clear" w:color="auto" w:fill="C6EFCE"/>
            <w:noWrap/>
          </w:tcPr>
          <w:p w14:paraId="6FF0A51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9" w:type="dxa"/>
            <w:shd w:val="clear" w:color="auto" w:fill="C6EFCE"/>
            <w:noWrap/>
          </w:tcPr>
          <w:p w14:paraId="7DFB97E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5" w:type="dxa"/>
            <w:shd w:val="clear" w:color="auto" w:fill="C6EFCE"/>
            <w:noWrap/>
          </w:tcPr>
          <w:p w14:paraId="37FEC29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4" w:type="dxa"/>
            <w:shd w:val="clear" w:color="auto" w:fill="C6EFCE"/>
            <w:noWrap/>
          </w:tcPr>
          <w:p w14:paraId="437C270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0CF2CB6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394" w:type="dxa"/>
            <w:shd w:val="clear" w:color="auto" w:fill="C6EFCE"/>
            <w:noWrap/>
          </w:tcPr>
          <w:p w14:paraId="3A578B3C" w14:textId="442A5DB5" w:rsidR="00AB26B3" w:rsidRPr="00AB26B3" w:rsidRDefault="00D64F26">
            <w:pPr>
              <w:pStyle w:val="P68B1DB1-Normal12"/>
              <w:spacing w:after="0" w:line="240" w:lineRule="auto"/>
              <w:rPr>
                <w:noProof/>
                <w:spacing w:val="-6"/>
                <w:lang w:val="sk-SK"/>
              </w:rPr>
            </w:pPr>
            <w:r w:rsidRPr="00AB26B3">
              <w:rPr>
                <w:noProof/>
                <w:spacing w:val="-6"/>
                <w:lang w:val="sk-SK"/>
              </w:rPr>
              <w:t>Schválenie žiadostí ministerstva životného prostredia</w:t>
            </w:r>
            <w:r w:rsidR="00AB26B3" w:rsidRPr="00AB26B3">
              <w:rPr>
                <w:noProof/>
                <w:spacing w:val="-6"/>
                <w:lang w:val="sk-SK"/>
              </w:rPr>
              <w:t xml:space="preserve"> a </w:t>
            </w:r>
            <w:r w:rsidRPr="00AB26B3">
              <w:rPr>
                <w:noProof/>
                <w:spacing w:val="-6"/>
                <w:lang w:val="sk-SK"/>
              </w:rPr>
              <w:t>energetiky týkajúcich sa 150 budov verejného sektora, ktorými sa zabezpečí zníženie emisií CO2 týchto príslušných budov</w:t>
            </w:r>
            <w:r w:rsidR="00AB26B3" w:rsidRPr="00AB26B3">
              <w:rPr>
                <w:noProof/>
                <w:spacing w:val="-6"/>
                <w:lang w:val="sk-SK"/>
              </w:rPr>
              <w:t xml:space="preserve"> v </w:t>
            </w:r>
            <w:r w:rsidRPr="00AB26B3">
              <w:rPr>
                <w:noProof/>
                <w:spacing w:val="-6"/>
                <w:lang w:val="sk-SK"/>
              </w:rPr>
              <w:t>priemere aspoň</w:t>
            </w:r>
            <w:r w:rsidR="00AB26B3" w:rsidRPr="00AB26B3">
              <w:rPr>
                <w:noProof/>
                <w:spacing w:val="-6"/>
                <w:lang w:val="sk-SK"/>
              </w:rPr>
              <w:t xml:space="preserve"> o </w:t>
            </w:r>
            <w:r w:rsidRPr="00AB26B3">
              <w:rPr>
                <w:noProof/>
                <w:spacing w:val="-6"/>
                <w:lang w:val="sk-SK"/>
              </w:rPr>
              <w:t>30</w:t>
            </w:r>
            <w:r w:rsidR="00AB26B3" w:rsidRPr="00AB26B3">
              <w:rPr>
                <w:noProof/>
                <w:spacing w:val="-6"/>
                <w:lang w:val="sk-SK"/>
              </w:rPr>
              <w:t> % v </w:t>
            </w:r>
            <w:r w:rsidRPr="00AB26B3">
              <w:rPr>
                <w:noProof/>
                <w:spacing w:val="-6"/>
                <w:lang w:val="sk-SK"/>
              </w:rPr>
              <w:t>porovnaní</w:t>
            </w:r>
            <w:r w:rsidR="00AB26B3" w:rsidRPr="00AB26B3">
              <w:rPr>
                <w:noProof/>
                <w:spacing w:val="-6"/>
                <w:lang w:val="sk-SK"/>
              </w:rPr>
              <w:t xml:space="preserve"> s </w:t>
            </w:r>
            <w:r w:rsidRPr="00AB26B3">
              <w:rPr>
                <w:noProof/>
                <w:spacing w:val="-6"/>
                <w:lang w:val="sk-SK"/>
              </w:rPr>
              <w:t>ich existujúcou situáciou (ako sa uvádza</w:t>
            </w:r>
            <w:r w:rsidR="00AB26B3" w:rsidRPr="00AB26B3">
              <w:rPr>
                <w:noProof/>
                <w:spacing w:val="-6"/>
                <w:lang w:val="sk-SK"/>
              </w:rPr>
              <w:t xml:space="preserve"> v </w:t>
            </w:r>
            <w:r w:rsidRPr="00AB26B3">
              <w:rPr>
                <w:noProof/>
                <w:spacing w:val="-6"/>
                <w:lang w:val="sk-SK"/>
              </w:rPr>
              <w:t>energetických auditoch vykonaných pred intervenciami)</w:t>
            </w:r>
            <w:r w:rsidR="00AB26B3" w:rsidRPr="00AB26B3">
              <w:rPr>
                <w:noProof/>
                <w:spacing w:val="-6"/>
                <w:lang w:val="sk-SK"/>
              </w:rPr>
              <w:t>.</w:t>
            </w:r>
          </w:p>
          <w:p w14:paraId="2DCC9B56" w14:textId="5CA17D7A"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1D7009FC" w14:textId="6B2F9A1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 prípade programu energetickej modernizácie budov verejného sektora sa stanovil právny rámec na umožnenie zmlúv</w:t>
            </w:r>
            <w:r w:rsidR="00AB26B3" w:rsidRPr="00AB26B3">
              <w:rPr>
                <w:noProof/>
                <w:spacing w:val="-6"/>
                <w:lang w:val="sk-SK"/>
              </w:rPr>
              <w:t xml:space="preserve"> o </w:t>
            </w:r>
            <w:r w:rsidRPr="00AB26B3">
              <w:rPr>
                <w:noProof/>
                <w:spacing w:val="-6"/>
                <w:lang w:val="sk-SK"/>
              </w:rPr>
              <w:t>energetickej efektívnosti.</w:t>
            </w:r>
          </w:p>
        </w:tc>
      </w:tr>
      <w:tr w:rsidR="00302FC1" w:rsidRPr="00AB26B3" w14:paraId="09C6D849" w14:textId="77777777">
        <w:trPr>
          <w:trHeight w:val="313"/>
        </w:trPr>
        <w:tc>
          <w:tcPr>
            <w:tcW w:w="675" w:type="dxa"/>
            <w:shd w:val="clear" w:color="auto" w:fill="C6EFCE"/>
            <w:noWrap/>
          </w:tcPr>
          <w:p w14:paraId="08B0F56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w:t>
            </w:r>
          </w:p>
        </w:tc>
        <w:tc>
          <w:tcPr>
            <w:tcW w:w="1833" w:type="dxa"/>
            <w:shd w:val="clear" w:color="auto" w:fill="C6EFCE"/>
            <w:noWrap/>
          </w:tcPr>
          <w:p w14:paraId="07C41A69" w14:textId="628F4F1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16874_Energetika</w:t>
            </w:r>
            <w:r w:rsidR="00AB26B3" w:rsidRPr="00AB26B3">
              <w:rPr>
                <w:noProof/>
                <w:spacing w:val="-6"/>
                <w:lang w:val="sk-SK"/>
              </w:rPr>
              <w:t xml:space="preserve"> a </w:t>
            </w:r>
            <w:r w:rsidRPr="00AB26B3">
              <w:rPr>
                <w:noProof/>
                <w:spacing w:val="-6"/>
                <w:lang w:val="sk-SK"/>
              </w:rPr>
              <w:t>podnikanie</w:t>
            </w:r>
          </w:p>
        </w:tc>
        <w:tc>
          <w:tcPr>
            <w:tcW w:w="1080" w:type="dxa"/>
            <w:shd w:val="clear" w:color="auto" w:fill="C6EFCE"/>
            <w:noWrap/>
          </w:tcPr>
          <w:p w14:paraId="0935F063"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200" w:type="dxa"/>
            <w:shd w:val="clear" w:color="auto" w:fill="C6EFCE"/>
            <w:noWrap/>
          </w:tcPr>
          <w:p w14:paraId="7553A8F4" w14:textId="71346B9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Energetická efektívnosť</w:t>
            </w:r>
            <w:r w:rsidR="00AB26B3" w:rsidRPr="00AB26B3">
              <w:rPr>
                <w:noProof/>
                <w:spacing w:val="-6"/>
                <w:lang w:val="sk-SK"/>
              </w:rPr>
              <w:t xml:space="preserve"> v </w:t>
            </w:r>
            <w:r w:rsidRPr="00AB26B3">
              <w:rPr>
                <w:noProof/>
                <w:spacing w:val="-6"/>
                <w:lang w:val="sk-SK"/>
              </w:rPr>
              <w:t xml:space="preserve">súkromnom sektore </w:t>
            </w:r>
          </w:p>
        </w:tc>
        <w:tc>
          <w:tcPr>
            <w:tcW w:w="1440" w:type="dxa"/>
            <w:shd w:val="clear" w:color="auto" w:fill="C6EFCE"/>
            <w:noWrap/>
          </w:tcPr>
          <w:p w14:paraId="2585922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08" w:type="dxa"/>
            <w:shd w:val="clear" w:color="auto" w:fill="C6EFCE"/>
            <w:noWrap/>
          </w:tcPr>
          <w:p w14:paraId="104593CE" w14:textId="69634D4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subjektov súkromného sektora</w:t>
            </w:r>
            <w:r w:rsidR="00AB26B3" w:rsidRPr="00AB26B3">
              <w:rPr>
                <w:noProof/>
                <w:spacing w:val="-6"/>
                <w:lang w:val="sk-SK"/>
              </w:rPr>
              <w:t xml:space="preserve"> s </w:t>
            </w:r>
            <w:r w:rsidRPr="00AB26B3">
              <w:rPr>
                <w:noProof/>
                <w:spacing w:val="-6"/>
                <w:lang w:val="sk-SK"/>
              </w:rPr>
              <w:t>vykonanými intervenciami</w:t>
            </w:r>
          </w:p>
        </w:tc>
        <w:tc>
          <w:tcPr>
            <w:tcW w:w="999" w:type="dxa"/>
            <w:shd w:val="clear" w:color="auto" w:fill="C6EFCE"/>
            <w:noWrap/>
          </w:tcPr>
          <w:p w14:paraId="5843F5F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985" w:type="dxa"/>
            <w:shd w:val="clear" w:color="auto" w:fill="C6EFCE"/>
            <w:noWrap/>
          </w:tcPr>
          <w:p w14:paraId="423EE98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2 600</w:t>
            </w:r>
          </w:p>
        </w:tc>
        <w:tc>
          <w:tcPr>
            <w:tcW w:w="894" w:type="dxa"/>
            <w:shd w:val="clear" w:color="auto" w:fill="C6EFCE"/>
            <w:noWrap/>
          </w:tcPr>
          <w:p w14:paraId="0292BF9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52CD81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394" w:type="dxa"/>
            <w:shd w:val="clear" w:color="auto" w:fill="C6EFCE"/>
            <w:noWrap/>
          </w:tcPr>
          <w:p w14:paraId="30DC2D69" w14:textId="196F7C3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Vykonali sa intervencie</w:t>
            </w:r>
            <w:r w:rsidR="00AB26B3" w:rsidRPr="00AB26B3">
              <w:rPr>
                <w:noProof/>
                <w:spacing w:val="-6"/>
                <w:lang w:val="sk-SK"/>
              </w:rPr>
              <w:t xml:space="preserve"> v </w:t>
            </w:r>
            <w:r w:rsidRPr="00AB26B3">
              <w:rPr>
                <w:noProof/>
                <w:spacing w:val="-6"/>
                <w:lang w:val="sk-SK"/>
              </w:rPr>
              <w:t>oblasti energetickej efektívnosti pre 2600 subjektov súkromného sektora.</w:t>
            </w:r>
          </w:p>
        </w:tc>
      </w:tr>
    </w:tbl>
    <w:p w14:paraId="78E20196" w14:textId="77777777" w:rsidR="00302FC1" w:rsidRPr="00AB26B3" w:rsidRDefault="00302FC1">
      <w:pPr>
        <w:rPr>
          <w:rFonts w:ascii="Times New Roman" w:hAnsi="Times New Roman"/>
          <w:noProof/>
          <w:spacing w:val="-6"/>
          <w:lang w:val="sk-SK"/>
        </w:rPr>
      </w:pPr>
    </w:p>
    <w:p w14:paraId="3FE62783" w14:textId="77777777" w:rsidR="00302FC1" w:rsidRPr="00AB26B3" w:rsidRDefault="00302FC1">
      <w:pPr>
        <w:rPr>
          <w:rFonts w:ascii="Times New Roman" w:hAnsi="Times New Roman"/>
          <w:noProof/>
          <w:spacing w:val="-6"/>
          <w:lang w:val="sk-SK"/>
        </w:rPr>
      </w:pPr>
    </w:p>
    <w:p w14:paraId="504FBBF1" w14:textId="77777777" w:rsidR="00302FC1" w:rsidRPr="00AB26B3" w:rsidRDefault="00302FC1">
      <w:pPr>
        <w:rPr>
          <w:rFonts w:ascii="Times New Roman" w:hAnsi="Times New Roman"/>
          <w:noProof/>
          <w:spacing w:val="-6"/>
          <w:sz w:val="24"/>
          <w:lang w:val="sk-SK"/>
        </w:rPr>
        <w:sectPr w:rsidR="00302FC1" w:rsidRPr="00AB26B3" w:rsidSect="00315FC0">
          <w:headerReference w:type="even" r:id="rId50"/>
          <w:headerReference w:type="default" r:id="rId51"/>
          <w:footerReference w:type="even" r:id="rId52"/>
          <w:footerReference w:type="default" r:id="rId53"/>
          <w:headerReference w:type="first" r:id="rId54"/>
          <w:footerReference w:type="first" r:id="rId55"/>
          <w:pgSz w:w="16839" w:h="11907" w:orient="landscape"/>
          <w:pgMar w:top="720" w:right="720" w:bottom="851" w:left="720" w:header="709" w:footer="709" w:gutter="0"/>
          <w:cols w:space="720"/>
          <w:docGrid w:linePitch="360"/>
        </w:sectPr>
      </w:pPr>
    </w:p>
    <w:p w14:paraId="1622E7DD" w14:textId="7AA67F75"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3: Intervencie</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obytných oblastiach</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vo fonde budov</w:t>
      </w:r>
    </w:p>
    <w:p w14:paraId="5425D915" w14:textId="77777777" w:rsidR="00302FC1" w:rsidRPr="00AB26B3" w:rsidRDefault="00D64F26">
      <w:pPr>
        <w:pStyle w:val="P68B1DB1-Normal5"/>
        <w:spacing w:before="120" w:after="120" w:line="240" w:lineRule="auto"/>
        <w:rPr>
          <w:rFonts w:cs="Times New Roman"/>
          <w:noProof/>
          <w:spacing w:val="-6"/>
          <w:lang w:val="sk-SK"/>
        </w:rPr>
      </w:pPr>
      <w:r w:rsidRPr="00AB26B3">
        <w:rPr>
          <w:noProof/>
          <w:spacing w:val="-6"/>
          <w:lang w:val="sk-SK"/>
        </w:rPr>
        <w:t>Do tejto skupiny patria tieto opatrenia:</w:t>
      </w:r>
    </w:p>
    <w:p w14:paraId="4B05E5A0" w14:textId="7456EE3E"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Intervencie</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obytných oblastiach</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vo fonde budov (ID: 16873)</w:t>
      </w:r>
    </w:p>
    <w:p w14:paraId="3C4713A7" w14:textId="587F5963"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Rozvoj infraštruktúry</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obnova budov</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bývalých kráľovských nehnuteľnostiach</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Tatoi (ID: 16875)</w:t>
      </w:r>
    </w:p>
    <w:p w14:paraId="0DC9B00F" w14:textId="19C0E19D" w:rsidR="00302FC1" w:rsidRPr="00AB26B3" w:rsidRDefault="00D64F26">
      <w:pPr>
        <w:spacing w:before="120" w:after="120" w:line="240" w:lineRule="auto"/>
        <w:rPr>
          <w:rFonts w:ascii="Times New Roman" w:hAnsi="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Atletické centrum olympijských hier</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Aténach (ID: 16932)</w:t>
      </w:r>
    </w:p>
    <w:tbl>
      <w:tblPr>
        <w:tblW w:w="15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691"/>
        <w:gridCol w:w="1080"/>
        <w:gridCol w:w="1566"/>
        <w:gridCol w:w="1276"/>
        <w:gridCol w:w="1134"/>
        <w:gridCol w:w="992"/>
        <w:gridCol w:w="851"/>
        <w:gridCol w:w="850"/>
        <w:gridCol w:w="709"/>
        <w:gridCol w:w="4592"/>
      </w:tblGrid>
      <w:tr w:rsidR="00302FC1" w:rsidRPr="00AB26B3" w14:paraId="0672EE5A" w14:textId="77777777">
        <w:trPr>
          <w:trHeight w:val="939"/>
          <w:tblHeader/>
          <w:jc w:val="center"/>
        </w:trPr>
        <w:tc>
          <w:tcPr>
            <w:tcW w:w="761" w:type="dxa"/>
            <w:vMerge w:val="restart"/>
            <w:shd w:val="clear" w:color="auto" w:fill="BDD7EE"/>
            <w:vAlign w:val="center"/>
            <w:hideMark/>
          </w:tcPr>
          <w:p w14:paraId="0D73E061" w14:textId="1F0E9CA9"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w:t>
            </w:r>
            <w:r w:rsidRPr="00AB26B3">
              <w:rPr>
                <w:noProof/>
                <w:spacing w:val="-6"/>
                <w:lang w:val="sk-SK"/>
              </w:rPr>
              <w:br/>
              <w:t>Nie</w:t>
            </w:r>
          </w:p>
        </w:tc>
        <w:tc>
          <w:tcPr>
            <w:tcW w:w="1691" w:type="dxa"/>
            <w:vMerge w:val="restart"/>
            <w:shd w:val="clear" w:color="auto" w:fill="BDD7EE"/>
            <w:vAlign w:val="center"/>
            <w:hideMark/>
          </w:tcPr>
          <w:p w14:paraId="3173B42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80" w:type="dxa"/>
            <w:vMerge w:val="restart"/>
            <w:shd w:val="clear" w:color="auto" w:fill="BDD7EE"/>
            <w:vAlign w:val="center"/>
            <w:hideMark/>
          </w:tcPr>
          <w:p w14:paraId="3ED3A1A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566" w:type="dxa"/>
            <w:vMerge w:val="restart"/>
            <w:shd w:val="clear" w:color="auto" w:fill="BDD7EE"/>
            <w:vAlign w:val="center"/>
            <w:hideMark/>
          </w:tcPr>
          <w:p w14:paraId="57EE2B5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276" w:type="dxa"/>
            <w:vMerge w:val="restart"/>
            <w:shd w:val="clear" w:color="auto" w:fill="BDD7EE"/>
            <w:vAlign w:val="center"/>
            <w:hideMark/>
          </w:tcPr>
          <w:p w14:paraId="670152A3" w14:textId="742F0B1D"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977" w:type="dxa"/>
            <w:gridSpan w:val="3"/>
            <w:shd w:val="clear" w:color="auto" w:fill="BDD7EE"/>
            <w:vAlign w:val="center"/>
            <w:hideMark/>
          </w:tcPr>
          <w:p w14:paraId="38CC3399" w14:textId="61F6281A" w:rsidR="00302FC1" w:rsidRPr="00AB26B3" w:rsidRDefault="00D64F26">
            <w:pPr>
              <w:pStyle w:val="P68B1DB1-Normal18"/>
              <w:spacing w:after="0" w:line="240" w:lineRule="auto"/>
              <w:jc w:val="center"/>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 xml:space="preserve">Kvantitatívne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(pre ciele)</w:t>
            </w:r>
          </w:p>
        </w:tc>
        <w:tc>
          <w:tcPr>
            <w:tcW w:w="1559" w:type="dxa"/>
            <w:gridSpan w:val="2"/>
            <w:shd w:val="clear" w:color="auto" w:fill="BDD7EE"/>
            <w:vAlign w:val="center"/>
            <w:hideMark/>
          </w:tcPr>
          <w:p w14:paraId="0CE43C2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592" w:type="dxa"/>
            <w:vMerge w:val="restart"/>
            <w:shd w:val="clear" w:color="auto" w:fill="BDD7EE"/>
            <w:vAlign w:val="center"/>
            <w:hideMark/>
          </w:tcPr>
          <w:p w14:paraId="2AE3F677" w14:textId="7C3E9275"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89AF3C1" w14:textId="77777777">
        <w:trPr>
          <w:trHeight w:val="654"/>
          <w:tblHeader/>
          <w:jc w:val="center"/>
        </w:trPr>
        <w:tc>
          <w:tcPr>
            <w:tcW w:w="761" w:type="dxa"/>
            <w:vMerge/>
            <w:vAlign w:val="center"/>
            <w:hideMark/>
          </w:tcPr>
          <w:p w14:paraId="022EB23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91" w:type="dxa"/>
            <w:vMerge/>
            <w:vAlign w:val="center"/>
            <w:hideMark/>
          </w:tcPr>
          <w:p w14:paraId="547882D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80" w:type="dxa"/>
            <w:vMerge/>
            <w:vAlign w:val="center"/>
            <w:hideMark/>
          </w:tcPr>
          <w:p w14:paraId="2E4019D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66" w:type="dxa"/>
            <w:vMerge/>
            <w:vAlign w:val="center"/>
            <w:hideMark/>
          </w:tcPr>
          <w:p w14:paraId="6C2B621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76" w:type="dxa"/>
            <w:vMerge/>
            <w:vAlign w:val="center"/>
            <w:hideMark/>
          </w:tcPr>
          <w:p w14:paraId="575F975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4" w:type="dxa"/>
            <w:shd w:val="clear" w:color="auto" w:fill="BDD7EE"/>
            <w:vAlign w:val="center"/>
            <w:hideMark/>
          </w:tcPr>
          <w:p w14:paraId="093D2C3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2" w:type="dxa"/>
            <w:shd w:val="clear" w:color="auto" w:fill="BDD7EE"/>
            <w:vAlign w:val="center"/>
            <w:hideMark/>
          </w:tcPr>
          <w:p w14:paraId="0AD4E98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851" w:type="dxa"/>
            <w:shd w:val="clear" w:color="auto" w:fill="BDD7EE"/>
            <w:vAlign w:val="center"/>
            <w:hideMark/>
          </w:tcPr>
          <w:p w14:paraId="250FD3C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50" w:type="dxa"/>
            <w:shd w:val="clear" w:color="auto" w:fill="BDD7EE"/>
            <w:vAlign w:val="center"/>
            <w:hideMark/>
          </w:tcPr>
          <w:p w14:paraId="6B3D780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3032777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592" w:type="dxa"/>
            <w:vMerge/>
            <w:vAlign w:val="center"/>
            <w:hideMark/>
          </w:tcPr>
          <w:p w14:paraId="1B1ED34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605FDC73" w14:textId="77777777">
        <w:trPr>
          <w:trHeight w:val="313"/>
          <w:jc w:val="center"/>
        </w:trPr>
        <w:tc>
          <w:tcPr>
            <w:tcW w:w="761" w:type="dxa"/>
            <w:shd w:val="clear" w:color="auto" w:fill="C6EFCE"/>
            <w:noWrap/>
          </w:tcPr>
          <w:p w14:paraId="3B85DA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37</w:t>
            </w:r>
          </w:p>
        </w:tc>
        <w:tc>
          <w:tcPr>
            <w:tcW w:w="1691" w:type="dxa"/>
            <w:shd w:val="clear" w:color="auto" w:fill="C6EFCE"/>
            <w:noWrap/>
          </w:tcPr>
          <w:p w14:paraId="1925D4F7" w14:textId="56BDBF6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16932_olympijské atletické centrum</w:t>
            </w:r>
            <w:r w:rsidR="00AB26B3" w:rsidRPr="00AB26B3">
              <w:rPr>
                <w:noProof/>
                <w:spacing w:val="-6"/>
                <w:lang w:val="sk-SK"/>
              </w:rPr>
              <w:t xml:space="preserve"> v </w:t>
            </w:r>
            <w:r w:rsidRPr="00AB26B3">
              <w:rPr>
                <w:noProof/>
                <w:spacing w:val="-6"/>
                <w:lang w:val="sk-SK"/>
              </w:rPr>
              <w:t>Aténach</w:t>
            </w:r>
          </w:p>
        </w:tc>
        <w:tc>
          <w:tcPr>
            <w:tcW w:w="1080" w:type="dxa"/>
            <w:shd w:val="clear" w:color="auto" w:fill="C6EFCE"/>
            <w:noWrap/>
          </w:tcPr>
          <w:p w14:paraId="5B67B9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6" w:type="dxa"/>
            <w:shd w:val="clear" w:color="auto" w:fill="C6EFCE"/>
            <w:noWrap/>
          </w:tcPr>
          <w:p w14:paraId="354C348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OAKA – zadanie zákazky</w:t>
            </w:r>
          </w:p>
        </w:tc>
        <w:tc>
          <w:tcPr>
            <w:tcW w:w="1276" w:type="dxa"/>
            <w:shd w:val="clear" w:color="auto" w:fill="C6EFCE"/>
            <w:noWrap/>
          </w:tcPr>
          <w:p w14:paraId="478764AC" w14:textId="272402C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(zákaziek)</w:t>
            </w:r>
          </w:p>
        </w:tc>
        <w:tc>
          <w:tcPr>
            <w:tcW w:w="1134" w:type="dxa"/>
            <w:shd w:val="clear" w:color="auto" w:fill="C6EFCE"/>
            <w:noWrap/>
          </w:tcPr>
          <w:p w14:paraId="302E079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70E5A49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34E7F6F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41F95D7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1684210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592" w:type="dxa"/>
            <w:shd w:val="clear" w:color="auto" w:fill="C6EFCE"/>
            <w:noWrap/>
          </w:tcPr>
          <w:p w14:paraId="65F41894" w14:textId="5C5EF91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(zákaziek) na vymenovanie partnera (partnerov) zo súkromného sektora na vykonávanie stavebných</w:t>
            </w:r>
            <w:r w:rsidR="00AB26B3" w:rsidRPr="00AB26B3">
              <w:rPr>
                <w:noProof/>
                <w:spacing w:val="-6"/>
                <w:lang w:val="sk-SK"/>
              </w:rPr>
              <w:t xml:space="preserve"> a </w:t>
            </w:r>
            <w:r w:rsidRPr="00AB26B3">
              <w:rPr>
                <w:noProof/>
                <w:spacing w:val="-6"/>
                <w:lang w:val="sk-SK"/>
              </w:rPr>
              <w:t>renovačných prác, ktorými sa zvýši energetická efektívnosť i) centrálneho štadióna; II) mechanické</w:t>
            </w:r>
            <w:r w:rsidR="00AB26B3" w:rsidRPr="00AB26B3">
              <w:rPr>
                <w:noProof/>
                <w:spacing w:val="-6"/>
                <w:lang w:val="sk-SK"/>
              </w:rPr>
              <w:t xml:space="preserve"> a </w:t>
            </w:r>
            <w:r w:rsidRPr="00AB26B3">
              <w:rPr>
                <w:noProof/>
                <w:spacing w:val="-6"/>
                <w:lang w:val="sk-SK"/>
              </w:rPr>
              <w:t>elektrické práce;</w:t>
            </w:r>
            <w:r w:rsidR="00AB26B3" w:rsidRPr="00AB26B3">
              <w:rPr>
                <w:noProof/>
                <w:spacing w:val="-6"/>
                <w:lang w:val="sk-SK"/>
              </w:rPr>
              <w:t xml:space="preserve"> a </w:t>
            </w:r>
            <w:r w:rsidRPr="00AB26B3">
              <w:rPr>
                <w:noProof/>
                <w:spacing w:val="-6"/>
                <w:lang w:val="sk-SK"/>
              </w:rPr>
              <w:t>iii) vonkajšie priestory</w:t>
            </w:r>
            <w:r w:rsidR="00AB26B3" w:rsidRPr="00AB26B3">
              <w:rPr>
                <w:noProof/>
                <w:spacing w:val="-6"/>
                <w:lang w:val="sk-SK"/>
              </w:rPr>
              <w:t xml:space="preserve"> a </w:t>
            </w:r>
            <w:r w:rsidRPr="00AB26B3">
              <w:rPr>
                <w:noProof/>
                <w:spacing w:val="-6"/>
                <w:lang w:val="sk-SK"/>
              </w:rPr>
              <w:t xml:space="preserve">začiatok prác. </w:t>
            </w:r>
          </w:p>
        </w:tc>
      </w:tr>
      <w:tr w:rsidR="00302FC1" w:rsidRPr="00AB26B3" w14:paraId="71DAD28D" w14:textId="77777777">
        <w:trPr>
          <w:trHeight w:val="313"/>
          <w:jc w:val="center"/>
        </w:trPr>
        <w:tc>
          <w:tcPr>
            <w:tcW w:w="761" w:type="dxa"/>
            <w:shd w:val="clear" w:color="auto" w:fill="C6EFCE"/>
            <w:noWrap/>
          </w:tcPr>
          <w:p w14:paraId="58991D3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38</w:t>
            </w:r>
          </w:p>
        </w:tc>
        <w:tc>
          <w:tcPr>
            <w:tcW w:w="1691" w:type="dxa"/>
            <w:shd w:val="clear" w:color="auto" w:fill="C6EFCE"/>
            <w:noWrap/>
          </w:tcPr>
          <w:p w14:paraId="0501AC7B" w14:textId="6D8DED1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16873_ Intervencie</w:t>
            </w:r>
            <w:r w:rsidR="00AB26B3" w:rsidRPr="00AB26B3">
              <w:rPr>
                <w:noProof/>
                <w:spacing w:val="-6"/>
                <w:lang w:val="sk-SK"/>
              </w:rPr>
              <w:t xml:space="preserve"> v </w:t>
            </w:r>
            <w:r w:rsidRPr="00AB26B3">
              <w:rPr>
                <w:noProof/>
                <w:spacing w:val="-6"/>
                <w:lang w:val="sk-SK"/>
              </w:rPr>
              <w:t>obytných oblastiach</w:t>
            </w:r>
            <w:r w:rsidR="00AB26B3" w:rsidRPr="00AB26B3">
              <w:rPr>
                <w:noProof/>
                <w:spacing w:val="-6"/>
                <w:lang w:val="sk-SK"/>
              </w:rPr>
              <w:t xml:space="preserve"> a </w:t>
            </w:r>
            <w:r w:rsidRPr="00AB26B3">
              <w:rPr>
                <w:noProof/>
                <w:spacing w:val="-6"/>
                <w:lang w:val="sk-SK"/>
              </w:rPr>
              <w:t>vo fonde budov</w:t>
            </w:r>
          </w:p>
        </w:tc>
        <w:tc>
          <w:tcPr>
            <w:tcW w:w="1080" w:type="dxa"/>
            <w:shd w:val="clear" w:color="auto" w:fill="C6EFCE"/>
            <w:noWrap/>
          </w:tcPr>
          <w:p w14:paraId="2C42AFB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6" w:type="dxa"/>
            <w:shd w:val="clear" w:color="auto" w:fill="C6EFCE"/>
            <w:noWrap/>
          </w:tcPr>
          <w:p w14:paraId="155AFE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Mestské intervencie – zadávanie zákaziek</w:t>
            </w:r>
          </w:p>
        </w:tc>
        <w:tc>
          <w:tcPr>
            <w:tcW w:w="1276" w:type="dxa"/>
            <w:shd w:val="clear" w:color="auto" w:fill="C6EFCE"/>
            <w:noWrap/>
          </w:tcPr>
          <w:p w14:paraId="5EDACA7B" w14:textId="7D15D2B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(zákaziek)</w:t>
            </w:r>
          </w:p>
        </w:tc>
        <w:tc>
          <w:tcPr>
            <w:tcW w:w="1134" w:type="dxa"/>
            <w:shd w:val="clear" w:color="auto" w:fill="C6EFCE"/>
            <w:noWrap/>
          </w:tcPr>
          <w:p w14:paraId="0A96A9D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50FEC98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5985A51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771A6E6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4C09DDC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592" w:type="dxa"/>
            <w:shd w:val="clear" w:color="auto" w:fill="C6EFCE"/>
            <w:noWrap/>
          </w:tcPr>
          <w:p w14:paraId="15BA3DDD" w14:textId="77777777" w:rsidR="00AB26B3"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(zákaziek) na vykonanie prác na</w:t>
            </w:r>
          </w:p>
          <w:p w14:paraId="2AFF8DAF" w14:textId="7B6CBDC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 zlepšenie mestského prostredia</w:t>
            </w:r>
            <w:r w:rsidR="00AB26B3" w:rsidRPr="00AB26B3">
              <w:rPr>
                <w:noProof/>
                <w:spacing w:val="-6"/>
                <w:lang w:val="sk-SK"/>
              </w:rPr>
              <w:t xml:space="preserve"> a </w:t>
            </w:r>
            <w:r w:rsidRPr="00AB26B3">
              <w:rPr>
                <w:noProof/>
                <w:spacing w:val="-6"/>
                <w:lang w:val="sk-SK"/>
              </w:rPr>
              <w:t>verejného priestoru vo vybraných obciach na základe verejnej výzvy zameranej na posilnenie odolnosti proti zmene klímy;</w:t>
            </w:r>
          </w:p>
          <w:p w14:paraId="45FCB137" w14:textId="712FA026" w:rsidR="00AB26B3" w:rsidRPr="00AB26B3" w:rsidRDefault="00D64F26">
            <w:pPr>
              <w:pStyle w:val="P68B1DB1-Normal12"/>
              <w:spacing w:after="0" w:line="240" w:lineRule="auto"/>
              <w:rPr>
                <w:noProof/>
                <w:spacing w:val="-6"/>
                <w:lang w:val="sk-SK"/>
              </w:rPr>
            </w:pPr>
            <w:r w:rsidRPr="00AB26B3">
              <w:rPr>
                <w:noProof/>
                <w:spacing w:val="-6"/>
                <w:lang w:val="sk-SK"/>
              </w:rPr>
              <w:t>II) obnova miest</w:t>
            </w:r>
            <w:r w:rsidR="00AB26B3" w:rsidRPr="00AB26B3">
              <w:rPr>
                <w:noProof/>
                <w:spacing w:val="-6"/>
                <w:lang w:val="sk-SK"/>
              </w:rPr>
              <w:t xml:space="preserve"> v </w:t>
            </w:r>
            <w:r w:rsidRPr="00AB26B3">
              <w:rPr>
                <w:noProof/>
                <w:spacing w:val="-6"/>
                <w:lang w:val="sk-SK"/>
              </w:rPr>
              <w:t>bývalej priemyselnej oblasti Votanikos/Elaionas</w:t>
            </w:r>
            <w:r w:rsidR="00AB26B3" w:rsidRPr="00AB26B3">
              <w:rPr>
                <w:noProof/>
                <w:spacing w:val="-6"/>
                <w:lang w:val="sk-SK"/>
              </w:rPr>
              <w:t xml:space="preserve"> a </w:t>
            </w:r>
            <w:r w:rsidRPr="00AB26B3">
              <w:rPr>
                <w:noProof/>
                <w:spacing w:val="-6"/>
                <w:lang w:val="sk-SK"/>
              </w:rPr>
              <w:t>renovácia areálu poľnohospodárskej univerzity</w:t>
            </w:r>
            <w:r w:rsidR="00AB26B3" w:rsidRPr="00AB26B3">
              <w:rPr>
                <w:noProof/>
                <w:spacing w:val="-6"/>
                <w:lang w:val="sk-SK"/>
              </w:rPr>
              <w:t xml:space="preserve"> v </w:t>
            </w:r>
            <w:r w:rsidRPr="00AB26B3">
              <w:rPr>
                <w:noProof/>
                <w:spacing w:val="-6"/>
                <w:lang w:val="sk-SK"/>
              </w:rPr>
              <w:t>Aténach (AUA)</w:t>
            </w:r>
            <w:r w:rsidR="00AB26B3" w:rsidRPr="00AB26B3">
              <w:rPr>
                <w:noProof/>
                <w:spacing w:val="-6"/>
                <w:lang w:val="sk-SK"/>
              </w:rPr>
              <w:t>;</w:t>
            </w:r>
          </w:p>
          <w:p w14:paraId="58E41ED7" w14:textId="77777777" w:rsidR="00AB26B3" w:rsidRPr="00AB26B3" w:rsidRDefault="00D64F26">
            <w:pPr>
              <w:pStyle w:val="P68B1DB1-Normal12"/>
              <w:spacing w:after="0" w:line="240" w:lineRule="auto"/>
              <w:rPr>
                <w:noProof/>
                <w:spacing w:val="-6"/>
                <w:lang w:val="sk-SK"/>
              </w:rPr>
            </w:pPr>
            <w:r w:rsidRPr="00AB26B3">
              <w:rPr>
                <w:noProof/>
                <w:spacing w:val="-6"/>
                <w:lang w:val="sk-SK"/>
              </w:rPr>
              <w:t>III) Atény Riviera: cyklistická infraštruktúra; podielu</w:t>
            </w:r>
            <w:r w:rsidR="00AB26B3" w:rsidRPr="00AB26B3">
              <w:rPr>
                <w:noProof/>
                <w:spacing w:val="-6"/>
                <w:lang w:val="sk-SK"/>
              </w:rPr>
              <w:t xml:space="preserve"> a</w:t>
            </w:r>
          </w:p>
          <w:p w14:paraId="27B8A691" w14:textId="3FC68F9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IV) iné strategické intervencie, ktoré sa vyberú na základe verejnej výzvy pre obce týkajúcej sa: 1. projekty energetickej efektívnosti</w:t>
            </w:r>
            <w:r w:rsidR="00AB26B3" w:rsidRPr="00AB26B3">
              <w:rPr>
                <w:noProof/>
                <w:spacing w:val="-6"/>
                <w:lang w:val="sk-SK"/>
              </w:rPr>
              <w:t xml:space="preserve"> a </w:t>
            </w:r>
            <w:r w:rsidRPr="00AB26B3">
              <w:rPr>
                <w:noProof/>
                <w:spacing w:val="-6"/>
                <w:lang w:val="sk-SK"/>
              </w:rPr>
              <w:t>demonštračné projekty</w:t>
            </w:r>
            <w:r w:rsidR="00AB26B3" w:rsidRPr="00AB26B3">
              <w:rPr>
                <w:noProof/>
                <w:spacing w:val="-6"/>
                <w:lang w:val="sk-SK"/>
              </w:rPr>
              <w:t xml:space="preserve"> v </w:t>
            </w:r>
            <w:r w:rsidRPr="00AB26B3">
              <w:rPr>
                <w:noProof/>
                <w:spacing w:val="-6"/>
                <w:lang w:val="sk-SK"/>
              </w:rPr>
              <w:t>MSP alebo veľkých podnikoch, ktoré dosahujú aspoň strednú hĺbkovú obnovu, ako sa vymedzuje</w:t>
            </w:r>
            <w:r w:rsidR="00AB26B3" w:rsidRPr="00AB26B3">
              <w:rPr>
                <w:noProof/>
                <w:spacing w:val="-6"/>
                <w:lang w:val="sk-SK"/>
              </w:rPr>
              <w:t xml:space="preserve"> v </w:t>
            </w:r>
            <w:r w:rsidRPr="00AB26B3">
              <w:rPr>
                <w:noProof/>
                <w:spacing w:val="-6"/>
                <w:lang w:val="sk-SK"/>
              </w:rPr>
              <w:t>odporúčaní Komisie</w:t>
            </w:r>
            <w:r w:rsidR="00AB26B3" w:rsidRPr="00AB26B3">
              <w:rPr>
                <w:noProof/>
                <w:spacing w:val="-6"/>
                <w:lang w:val="sk-SK"/>
              </w:rPr>
              <w:t xml:space="preserve"> o </w:t>
            </w:r>
            <w:r w:rsidRPr="00AB26B3">
              <w:rPr>
                <w:noProof/>
                <w:spacing w:val="-6"/>
                <w:lang w:val="sk-SK"/>
              </w:rPr>
              <w:t>obnove budov (EÚ) 2019/786, alebo</w:t>
            </w:r>
            <w:r w:rsidR="00AB26B3" w:rsidRPr="00AB26B3">
              <w:rPr>
                <w:noProof/>
                <w:spacing w:val="-6"/>
                <w:lang w:val="sk-SK"/>
              </w:rPr>
              <w:t xml:space="preserve"> v </w:t>
            </w:r>
            <w:r w:rsidRPr="00AB26B3">
              <w:rPr>
                <w:noProof/>
                <w:spacing w:val="-6"/>
                <w:lang w:val="sk-SK"/>
              </w:rPr>
              <w:t>priemere aspoň 30</w:t>
            </w:r>
            <w:r w:rsidR="00AB26B3" w:rsidRPr="00AB26B3">
              <w:rPr>
                <w:noProof/>
                <w:spacing w:val="-6"/>
                <w:lang w:val="sk-SK"/>
              </w:rPr>
              <w:t> %</w:t>
            </w:r>
            <w:r w:rsidRPr="00AB26B3">
              <w:rPr>
                <w:noProof/>
                <w:spacing w:val="-6"/>
                <w:lang w:val="sk-SK"/>
              </w:rPr>
              <w:t xml:space="preserve"> zníženie priamych</w:t>
            </w:r>
            <w:r w:rsidR="00AB26B3" w:rsidRPr="00AB26B3">
              <w:rPr>
                <w:noProof/>
                <w:spacing w:val="-6"/>
                <w:lang w:val="sk-SK"/>
              </w:rPr>
              <w:t xml:space="preserve"> a </w:t>
            </w:r>
            <w:r w:rsidRPr="00AB26B3">
              <w:rPr>
                <w:noProof/>
                <w:spacing w:val="-6"/>
                <w:lang w:val="sk-SK"/>
              </w:rPr>
              <w:t>nepriamych emisií CO2</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emisiami ex ante; 2. výstavba nových energeticky efektívnych budov</w:t>
            </w:r>
            <w:r w:rsidR="00AB26B3" w:rsidRPr="00AB26B3">
              <w:rPr>
                <w:noProof/>
                <w:spacing w:val="-6"/>
                <w:lang w:val="sk-SK"/>
              </w:rPr>
              <w:t xml:space="preserve"> s </w:t>
            </w:r>
            <w:r w:rsidRPr="00AB26B3">
              <w:rPr>
                <w:noProof/>
                <w:spacing w:val="-6"/>
                <w:lang w:val="sk-SK"/>
              </w:rPr>
              <w:t>primárnou spotrebou energie, ktorá je aspoň</w:t>
            </w:r>
            <w:r w:rsidR="00AB26B3" w:rsidRPr="00AB26B3">
              <w:rPr>
                <w:noProof/>
                <w:spacing w:val="-6"/>
                <w:lang w:val="sk-SK"/>
              </w:rPr>
              <w:t xml:space="preserve"> o </w:t>
            </w:r>
            <w:r w:rsidRPr="00AB26B3">
              <w:rPr>
                <w:noProof/>
                <w:spacing w:val="-6"/>
                <w:lang w:val="sk-SK"/>
              </w:rPr>
              <w:t>20</w:t>
            </w:r>
            <w:r w:rsidR="00AB26B3" w:rsidRPr="00AB26B3">
              <w:rPr>
                <w:noProof/>
                <w:spacing w:val="-6"/>
                <w:lang w:val="sk-SK"/>
              </w:rPr>
              <w:t> %</w:t>
            </w:r>
            <w:r w:rsidRPr="00AB26B3">
              <w:rPr>
                <w:noProof/>
                <w:spacing w:val="-6"/>
                <w:lang w:val="sk-SK"/>
              </w:rPr>
              <w:t xml:space="preserve"> nižšia ako požiadavka na budovy</w:t>
            </w:r>
            <w:r w:rsidR="00AB26B3" w:rsidRPr="00AB26B3">
              <w:rPr>
                <w:noProof/>
                <w:spacing w:val="-6"/>
                <w:lang w:val="sk-SK"/>
              </w:rPr>
              <w:t xml:space="preserve"> s </w:t>
            </w:r>
            <w:r w:rsidRPr="00AB26B3">
              <w:rPr>
                <w:noProof/>
                <w:spacing w:val="-6"/>
                <w:lang w:val="sk-SK"/>
              </w:rPr>
              <w:t>takmer nulovou spotrebou energie (budova</w:t>
            </w:r>
            <w:r w:rsidR="00AB26B3" w:rsidRPr="00AB26B3">
              <w:rPr>
                <w:noProof/>
                <w:spacing w:val="-6"/>
                <w:lang w:val="sk-SK"/>
              </w:rPr>
              <w:t xml:space="preserve"> s </w:t>
            </w:r>
            <w:r w:rsidRPr="00AB26B3">
              <w:rPr>
                <w:noProof/>
                <w:spacing w:val="-6"/>
                <w:lang w:val="sk-SK"/>
              </w:rPr>
              <w:t>takmer nulovou spotrebou energie, vnútroštátne smernice);</w:t>
            </w:r>
            <w:r w:rsidR="00AB26B3" w:rsidRPr="00AB26B3">
              <w:rPr>
                <w:noProof/>
                <w:spacing w:val="-6"/>
                <w:lang w:val="sk-SK"/>
              </w:rPr>
              <w:t xml:space="preserve"> a </w:t>
            </w:r>
            <w:r w:rsidRPr="00AB26B3">
              <w:rPr>
                <w:noProof/>
                <w:spacing w:val="-6"/>
                <w:lang w:val="sk-SK"/>
              </w:rPr>
              <w:t>3. ochrana prírody</w:t>
            </w:r>
            <w:r w:rsidR="00AB26B3" w:rsidRPr="00AB26B3">
              <w:rPr>
                <w:noProof/>
                <w:spacing w:val="-6"/>
                <w:lang w:val="sk-SK"/>
              </w:rPr>
              <w:t xml:space="preserve"> a </w:t>
            </w:r>
            <w:r w:rsidRPr="00AB26B3">
              <w:rPr>
                <w:noProof/>
                <w:spacing w:val="-6"/>
                <w:lang w:val="sk-SK"/>
              </w:rPr>
              <w:t>biodiverzity, prírodné dedičstvo</w:t>
            </w:r>
            <w:r w:rsidR="00AB26B3" w:rsidRPr="00AB26B3">
              <w:rPr>
                <w:noProof/>
                <w:spacing w:val="-6"/>
                <w:lang w:val="sk-SK"/>
              </w:rPr>
              <w:t xml:space="preserve"> a </w:t>
            </w:r>
            <w:r w:rsidRPr="00AB26B3">
              <w:rPr>
                <w:noProof/>
                <w:spacing w:val="-6"/>
                <w:lang w:val="sk-SK"/>
              </w:rPr>
              <w:t>zdroje, zelená</w:t>
            </w:r>
            <w:r w:rsidR="00AB26B3" w:rsidRPr="00AB26B3">
              <w:rPr>
                <w:noProof/>
                <w:spacing w:val="-6"/>
                <w:lang w:val="sk-SK"/>
              </w:rPr>
              <w:t xml:space="preserve"> a </w:t>
            </w:r>
            <w:r w:rsidRPr="00AB26B3">
              <w:rPr>
                <w:noProof/>
                <w:spacing w:val="-6"/>
                <w:lang w:val="sk-SK"/>
              </w:rPr>
              <w:t xml:space="preserve">modrá infraštruktúra. </w:t>
            </w:r>
          </w:p>
        </w:tc>
      </w:tr>
      <w:tr w:rsidR="00302FC1" w:rsidRPr="00AB26B3" w14:paraId="4E9FFEB1" w14:textId="77777777">
        <w:trPr>
          <w:trHeight w:val="313"/>
          <w:jc w:val="center"/>
        </w:trPr>
        <w:tc>
          <w:tcPr>
            <w:tcW w:w="761" w:type="dxa"/>
            <w:shd w:val="clear" w:color="auto" w:fill="C6EFCE"/>
            <w:noWrap/>
          </w:tcPr>
          <w:p w14:paraId="72CC6F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39</w:t>
            </w:r>
          </w:p>
        </w:tc>
        <w:tc>
          <w:tcPr>
            <w:tcW w:w="1691" w:type="dxa"/>
            <w:shd w:val="clear" w:color="auto" w:fill="C6EFCE"/>
            <w:noWrap/>
          </w:tcPr>
          <w:p w14:paraId="27D1BFE1" w14:textId="02DBC54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16932_olympijské atletické centrum</w:t>
            </w:r>
            <w:r w:rsidR="00AB26B3" w:rsidRPr="00AB26B3">
              <w:rPr>
                <w:noProof/>
                <w:spacing w:val="-6"/>
                <w:lang w:val="sk-SK"/>
              </w:rPr>
              <w:t xml:space="preserve"> v </w:t>
            </w:r>
            <w:r w:rsidRPr="00AB26B3">
              <w:rPr>
                <w:noProof/>
                <w:spacing w:val="-6"/>
                <w:lang w:val="sk-SK"/>
              </w:rPr>
              <w:t>Aténach</w:t>
            </w:r>
          </w:p>
        </w:tc>
        <w:tc>
          <w:tcPr>
            <w:tcW w:w="1080" w:type="dxa"/>
            <w:shd w:val="clear" w:color="auto" w:fill="C6EFCE"/>
            <w:noWrap/>
          </w:tcPr>
          <w:p w14:paraId="34BAECF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6" w:type="dxa"/>
            <w:shd w:val="clear" w:color="auto" w:fill="C6EFCE"/>
            <w:noWrap/>
          </w:tcPr>
          <w:p w14:paraId="022070A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OAKA – vykonanie prác </w:t>
            </w:r>
          </w:p>
        </w:tc>
        <w:tc>
          <w:tcPr>
            <w:tcW w:w="1276" w:type="dxa"/>
            <w:shd w:val="clear" w:color="auto" w:fill="C6EFCE"/>
            <w:noWrap/>
          </w:tcPr>
          <w:p w14:paraId="318DA83B" w14:textId="77777777" w:rsidR="00302FC1" w:rsidRPr="00AB26B3" w:rsidRDefault="00D64F26">
            <w:pPr>
              <w:pStyle w:val="P68B1DB1-Normal12"/>
              <w:spacing w:after="0" w:line="240" w:lineRule="auto"/>
              <w:rPr>
                <w:noProof/>
                <w:spacing w:val="-6"/>
                <w:lang w:val="sk-SK"/>
              </w:rPr>
            </w:pPr>
            <w:r w:rsidRPr="00AB26B3">
              <w:rPr>
                <w:noProof/>
                <w:spacing w:val="-6"/>
                <w:lang w:val="sk-SK"/>
              </w:rPr>
              <w:t>Vykonávanie prác</w:t>
            </w:r>
          </w:p>
        </w:tc>
        <w:tc>
          <w:tcPr>
            <w:tcW w:w="1134" w:type="dxa"/>
            <w:shd w:val="clear" w:color="auto" w:fill="C6EFCE"/>
            <w:noWrap/>
          </w:tcPr>
          <w:p w14:paraId="227BADD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7DC7CEE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7558E1D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6DDD97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6908119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592" w:type="dxa"/>
            <w:shd w:val="clear" w:color="auto" w:fill="C6EFCE"/>
            <w:noWrap/>
          </w:tcPr>
          <w:p w14:paraId="7597763D" w14:textId="44DAD92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Vykonávanie prác na dosiahnutie energetickej účinnosti vrátane i) modernizácie mechanických</w:t>
            </w:r>
            <w:r w:rsidR="00AB26B3" w:rsidRPr="00AB26B3">
              <w:rPr>
                <w:noProof/>
                <w:spacing w:val="-6"/>
                <w:lang w:val="sk-SK"/>
              </w:rPr>
              <w:t xml:space="preserve"> a </w:t>
            </w:r>
            <w:r w:rsidRPr="00AB26B3">
              <w:rPr>
                <w:noProof/>
                <w:spacing w:val="-6"/>
                <w:lang w:val="sk-SK"/>
              </w:rPr>
              <w:t>elektrických inštalácií centrálneho štadióna; II) mechanické</w:t>
            </w:r>
            <w:r w:rsidR="00AB26B3" w:rsidRPr="00AB26B3">
              <w:rPr>
                <w:noProof/>
                <w:spacing w:val="-6"/>
                <w:lang w:val="sk-SK"/>
              </w:rPr>
              <w:t xml:space="preserve"> a </w:t>
            </w:r>
            <w:r w:rsidRPr="00AB26B3">
              <w:rPr>
                <w:noProof/>
                <w:spacing w:val="-6"/>
                <w:lang w:val="sk-SK"/>
              </w:rPr>
              <w:t>elektrické inštalácie</w:t>
            </w:r>
            <w:r w:rsidR="00AB26B3" w:rsidRPr="00AB26B3">
              <w:rPr>
                <w:noProof/>
                <w:spacing w:val="-6"/>
                <w:lang w:val="sk-SK"/>
              </w:rPr>
              <w:t xml:space="preserve"> a </w:t>
            </w:r>
            <w:r w:rsidRPr="00AB26B3">
              <w:rPr>
                <w:noProof/>
                <w:spacing w:val="-6"/>
                <w:lang w:val="sk-SK"/>
              </w:rPr>
              <w:t>strojové zariadenia pre vodné zariadenia; III) mechanické</w:t>
            </w:r>
            <w:r w:rsidR="00AB26B3" w:rsidRPr="00AB26B3">
              <w:rPr>
                <w:noProof/>
                <w:spacing w:val="-6"/>
                <w:lang w:val="sk-SK"/>
              </w:rPr>
              <w:t xml:space="preserve"> a </w:t>
            </w:r>
            <w:r w:rsidRPr="00AB26B3">
              <w:rPr>
                <w:noProof/>
                <w:spacing w:val="-6"/>
                <w:lang w:val="sk-SK"/>
              </w:rPr>
              <w:t>elektrické inštalácie</w:t>
            </w:r>
            <w:r w:rsidR="00AB26B3" w:rsidRPr="00AB26B3">
              <w:rPr>
                <w:noProof/>
                <w:spacing w:val="-6"/>
                <w:lang w:val="sk-SK"/>
              </w:rPr>
              <w:t xml:space="preserve"> a </w:t>
            </w:r>
            <w:r w:rsidRPr="00AB26B3">
              <w:rPr>
                <w:noProof/>
                <w:spacing w:val="-6"/>
                <w:lang w:val="sk-SK"/>
              </w:rPr>
              <w:t>reštaurovanie oceľového prístrešku Velodrome;</w:t>
            </w:r>
            <w:r w:rsidR="00AB26B3" w:rsidRPr="00AB26B3">
              <w:rPr>
                <w:noProof/>
                <w:spacing w:val="-6"/>
                <w:lang w:val="sk-SK"/>
              </w:rPr>
              <w:t xml:space="preserve"> a </w:t>
            </w:r>
            <w:r w:rsidRPr="00AB26B3">
              <w:rPr>
                <w:noProof/>
                <w:spacing w:val="-6"/>
                <w:lang w:val="sk-SK"/>
              </w:rPr>
              <w:t>iv) vonkajšie priestory vrátane oceľových konštrukcií Agora</w:t>
            </w:r>
            <w:r w:rsidR="00AB26B3" w:rsidRPr="00AB26B3">
              <w:rPr>
                <w:noProof/>
                <w:spacing w:val="-6"/>
                <w:lang w:val="sk-SK"/>
              </w:rPr>
              <w:t xml:space="preserve"> a </w:t>
            </w:r>
            <w:r w:rsidRPr="00AB26B3">
              <w:rPr>
                <w:noProof/>
                <w:spacing w:val="-6"/>
                <w:lang w:val="sk-SK"/>
              </w:rPr>
              <w:t>Wall of Nations.</w:t>
            </w:r>
          </w:p>
        </w:tc>
      </w:tr>
      <w:tr w:rsidR="00302FC1" w:rsidRPr="00AB26B3" w14:paraId="6CE9CBE9" w14:textId="77777777">
        <w:trPr>
          <w:trHeight w:val="313"/>
          <w:jc w:val="center"/>
        </w:trPr>
        <w:tc>
          <w:tcPr>
            <w:tcW w:w="761" w:type="dxa"/>
            <w:shd w:val="clear" w:color="auto" w:fill="C6EFCE"/>
            <w:noWrap/>
          </w:tcPr>
          <w:p w14:paraId="6AFAA1F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40</w:t>
            </w:r>
          </w:p>
        </w:tc>
        <w:tc>
          <w:tcPr>
            <w:tcW w:w="1691" w:type="dxa"/>
            <w:shd w:val="clear" w:color="auto" w:fill="C6EFCE"/>
            <w:noWrap/>
          </w:tcPr>
          <w:p w14:paraId="2C238BFE" w14:textId="2773E79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Renovate – 16873_ – Intervencie</w:t>
            </w:r>
            <w:r w:rsidR="00AB26B3" w:rsidRPr="00AB26B3">
              <w:rPr>
                <w:noProof/>
                <w:spacing w:val="-6"/>
                <w:lang w:val="sk-SK"/>
              </w:rPr>
              <w:t xml:space="preserve"> v </w:t>
            </w:r>
            <w:r w:rsidRPr="00AB26B3">
              <w:rPr>
                <w:noProof/>
                <w:spacing w:val="-6"/>
                <w:lang w:val="sk-SK"/>
              </w:rPr>
              <w:t>obytných oblastiach</w:t>
            </w:r>
            <w:r w:rsidR="00AB26B3" w:rsidRPr="00AB26B3">
              <w:rPr>
                <w:noProof/>
                <w:spacing w:val="-6"/>
                <w:lang w:val="sk-SK"/>
              </w:rPr>
              <w:t xml:space="preserve"> a </w:t>
            </w:r>
            <w:r w:rsidRPr="00AB26B3">
              <w:rPr>
                <w:noProof/>
                <w:spacing w:val="-6"/>
                <w:lang w:val="sk-SK"/>
              </w:rPr>
              <w:t>vo fonde budov</w:t>
            </w:r>
          </w:p>
        </w:tc>
        <w:tc>
          <w:tcPr>
            <w:tcW w:w="1080" w:type="dxa"/>
            <w:shd w:val="clear" w:color="auto" w:fill="C6EFCE"/>
            <w:noWrap/>
          </w:tcPr>
          <w:p w14:paraId="6ABE69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6" w:type="dxa"/>
            <w:shd w:val="clear" w:color="auto" w:fill="C6EFCE"/>
            <w:noWrap/>
          </w:tcPr>
          <w:p w14:paraId="25DECEB1" w14:textId="42ABC473" w:rsidR="00302FC1" w:rsidRPr="00AB26B3" w:rsidRDefault="00D64F26">
            <w:pPr>
              <w:pStyle w:val="P68B1DB1-Normal12"/>
              <w:spacing w:after="0" w:line="240" w:lineRule="auto"/>
              <w:rPr>
                <w:noProof/>
                <w:spacing w:val="-6"/>
                <w:lang w:val="sk-SK"/>
              </w:rPr>
            </w:pPr>
            <w:r w:rsidRPr="00AB26B3">
              <w:rPr>
                <w:noProof/>
                <w:spacing w:val="-6"/>
                <w:lang w:val="sk-SK"/>
              </w:rPr>
              <w:t>Zásahy</w:t>
            </w:r>
            <w:r w:rsidR="00AB26B3" w:rsidRPr="00AB26B3">
              <w:rPr>
                <w:noProof/>
                <w:spacing w:val="-6"/>
                <w:lang w:val="sk-SK"/>
              </w:rPr>
              <w:t xml:space="preserve"> v </w:t>
            </w:r>
            <w:r w:rsidRPr="00AB26B3">
              <w:rPr>
                <w:noProof/>
                <w:spacing w:val="-6"/>
                <w:lang w:val="sk-SK"/>
              </w:rPr>
              <w:t>mestách – vykonávanie prác</w:t>
            </w:r>
          </w:p>
        </w:tc>
        <w:tc>
          <w:tcPr>
            <w:tcW w:w="1276" w:type="dxa"/>
            <w:shd w:val="clear" w:color="auto" w:fill="C6EFCE"/>
            <w:noWrap/>
          </w:tcPr>
          <w:p w14:paraId="6FAC2534"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 Vykonávanie prác</w:t>
            </w:r>
          </w:p>
        </w:tc>
        <w:tc>
          <w:tcPr>
            <w:tcW w:w="1134" w:type="dxa"/>
            <w:shd w:val="clear" w:color="auto" w:fill="C6EFCE"/>
            <w:noWrap/>
          </w:tcPr>
          <w:p w14:paraId="3A1C31F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66B627D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75239C7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7236DCB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3DBD73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592" w:type="dxa"/>
            <w:shd w:val="clear" w:color="auto" w:fill="C6EFCE"/>
            <w:noWrap/>
          </w:tcPr>
          <w:p w14:paraId="2806CEC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Vykonanie prác na týchto intervenciách:</w:t>
            </w:r>
          </w:p>
          <w:p w14:paraId="24E3577F" w14:textId="126F09E8" w:rsidR="00AB26B3" w:rsidRPr="00AB26B3" w:rsidRDefault="00D64F26">
            <w:pPr>
              <w:pStyle w:val="P68B1DB1-Normal12"/>
              <w:spacing w:after="0" w:line="240" w:lineRule="auto"/>
              <w:rPr>
                <w:noProof/>
                <w:spacing w:val="-6"/>
                <w:lang w:val="sk-SK"/>
              </w:rPr>
            </w:pPr>
            <w:r w:rsidRPr="00AB26B3">
              <w:rPr>
                <w:noProof/>
                <w:spacing w:val="-6"/>
                <w:lang w:val="sk-SK"/>
              </w:rPr>
              <w:t>I) Intervencie</w:t>
            </w:r>
            <w:r w:rsidR="00AB26B3" w:rsidRPr="00AB26B3">
              <w:rPr>
                <w:noProof/>
                <w:spacing w:val="-6"/>
                <w:lang w:val="sk-SK"/>
              </w:rPr>
              <w:t xml:space="preserve"> v </w:t>
            </w:r>
            <w:r w:rsidRPr="00AB26B3">
              <w:rPr>
                <w:noProof/>
                <w:spacing w:val="-6"/>
                <w:lang w:val="sk-SK"/>
              </w:rPr>
              <w:t>mestskom prostredí</w:t>
            </w:r>
            <w:r w:rsidR="00AB26B3" w:rsidRPr="00AB26B3">
              <w:rPr>
                <w:noProof/>
                <w:spacing w:val="-6"/>
                <w:lang w:val="sk-SK"/>
              </w:rPr>
              <w:t xml:space="preserve"> a </w:t>
            </w:r>
            <w:r w:rsidRPr="00AB26B3">
              <w:rPr>
                <w:noProof/>
                <w:spacing w:val="-6"/>
                <w:lang w:val="sk-SK"/>
              </w:rPr>
              <w:t>verejnom priestore</w:t>
            </w:r>
            <w:r w:rsidR="00AB26B3" w:rsidRPr="00AB26B3">
              <w:rPr>
                <w:noProof/>
                <w:spacing w:val="-6"/>
                <w:lang w:val="sk-SK"/>
              </w:rPr>
              <w:t xml:space="preserve"> v </w:t>
            </w:r>
            <w:r w:rsidRPr="00AB26B3">
              <w:rPr>
                <w:noProof/>
                <w:spacing w:val="-6"/>
                <w:lang w:val="sk-SK"/>
              </w:rPr>
              <w:t>21 mestských</w:t>
            </w:r>
            <w:r w:rsidR="00AB26B3" w:rsidRPr="00AB26B3">
              <w:rPr>
                <w:noProof/>
                <w:spacing w:val="-6"/>
                <w:lang w:val="sk-SK"/>
              </w:rPr>
              <w:t xml:space="preserve"> a </w:t>
            </w:r>
            <w:r w:rsidRPr="00AB26B3">
              <w:rPr>
                <w:noProof/>
                <w:spacing w:val="-6"/>
                <w:lang w:val="sk-SK"/>
              </w:rPr>
              <w:t>pobrežných oblastiach</w:t>
            </w:r>
            <w:r w:rsidR="00AB26B3" w:rsidRPr="00AB26B3">
              <w:rPr>
                <w:noProof/>
                <w:spacing w:val="-6"/>
                <w:lang w:val="sk-SK"/>
              </w:rPr>
              <w:t>;</w:t>
            </w:r>
          </w:p>
          <w:p w14:paraId="65B3EDD7" w14:textId="00A9E9EC" w:rsidR="00AB26B3" w:rsidRPr="00AB26B3" w:rsidRDefault="00D64F26">
            <w:pPr>
              <w:pStyle w:val="P68B1DB1-Normal12"/>
              <w:spacing w:after="0" w:line="240" w:lineRule="auto"/>
              <w:rPr>
                <w:noProof/>
                <w:spacing w:val="-6"/>
                <w:lang w:val="sk-SK"/>
              </w:rPr>
            </w:pPr>
            <w:r w:rsidRPr="00AB26B3">
              <w:rPr>
                <w:noProof/>
                <w:spacing w:val="-6"/>
                <w:lang w:val="sk-SK"/>
              </w:rPr>
              <w:t>II) Obnova miest</w:t>
            </w:r>
            <w:r w:rsidR="00AB26B3" w:rsidRPr="00AB26B3">
              <w:rPr>
                <w:noProof/>
                <w:spacing w:val="-6"/>
                <w:lang w:val="sk-SK"/>
              </w:rPr>
              <w:t xml:space="preserve"> v </w:t>
            </w:r>
            <w:r w:rsidRPr="00AB26B3">
              <w:rPr>
                <w:noProof/>
                <w:spacing w:val="-6"/>
                <w:lang w:val="sk-SK"/>
              </w:rPr>
              <w:t>bývalej priemyselnej oblasti Votanikos/Elaionas</w:t>
            </w:r>
            <w:r w:rsidR="00AB26B3" w:rsidRPr="00AB26B3">
              <w:rPr>
                <w:noProof/>
                <w:spacing w:val="-6"/>
                <w:lang w:val="sk-SK"/>
              </w:rPr>
              <w:t>;</w:t>
            </w:r>
          </w:p>
          <w:p w14:paraId="49C8C862" w14:textId="40A06E4A" w:rsidR="00302FC1" w:rsidRPr="00AB26B3" w:rsidRDefault="00D64F26">
            <w:pPr>
              <w:pStyle w:val="P68B1DB1-Normal12"/>
              <w:spacing w:after="0" w:line="240" w:lineRule="auto"/>
              <w:jc w:val="both"/>
              <w:rPr>
                <w:rFonts w:eastAsia="Times New Roman"/>
                <w:noProof/>
                <w:spacing w:val="-6"/>
                <w:lang w:val="sk-SK"/>
              </w:rPr>
            </w:pPr>
            <w:r w:rsidRPr="00AB26B3">
              <w:rPr>
                <w:noProof/>
                <w:spacing w:val="-6"/>
                <w:lang w:val="sk-SK"/>
              </w:rPr>
              <w:t>III) Atény Riviera (z Glyfada do Vari – Voula – Vouliagmeni): cyklistická infraštruktúra; podielu a</w:t>
            </w:r>
          </w:p>
          <w:p w14:paraId="36BC327E" w14:textId="77777777" w:rsidR="00302FC1" w:rsidRPr="00AB26B3" w:rsidRDefault="00D64F26">
            <w:pPr>
              <w:pStyle w:val="P68B1DB1-Normal12"/>
              <w:spacing w:after="0" w:line="240" w:lineRule="auto"/>
              <w:jc w:val="both"/>
              <w:rPr>
                <w:rFonts w:eastAsia="Times New Roman"/>
                <w:noProof/>
                <w:spacing w:val="-6"/>
                <w:lang w:val="sk-SK"/>
              </w:rPr>
            </w:pPr>
            <w:r w:rsidRPr="00AB26B3">
              <w:rPr>
                <w:noProof/>
                <w:spacing w:val="-6"/>
                <w:lang w:val="sk-SK"/>
              </w:rPr>
              <w:t>IV) Iné strategické intervencie.</w:t>
            </w:r>
          </w:p>
        </w:tc>
      </w:tr>
      <w:tr w:rsidR="00302FC1" w:rsidRPr="00AB26B3" w14:paraId="1C6867F7" w14:textId="77777777">
        <w:trPr>
          <w:trHeight w:val="313"/>
          <w:jc w:val="center"/>
        </w:trPr>
        <w:tc>
          <w:tcPr>
            <w:tcW w:w="761" w:type="dxa"/>
            <w:shd w:val="clear" w:color="auto" w:fill="C6EFCE"/>
            <w:noWrap/>
          </w:tcPr>
          <w:p w14:paraId="6040961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41</w:t>
            </w:r>
          </w:p>
        </w:tc>
        <w:tc>
          <w:tcPr>
            <w:tcW w:w="1691" w:type="dxa"/>
            <w:shd w:val="clear" w:color="auto" w:fill="C6EFCE"/>
            <w:noWrap/>
          </w:tcPr>
          <w:p w14:paraId="28C9DDB9" w14:textId="31A007B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16875_ Rozvoj infraštruktúry</w:t>
            </w:r>
            <w:r w:rsidR="00AB26B3" w:rsidRPr="00AB26B3">
              <w:rPr>
                <w:noProof/>
                <w:spacing w:val="-6"/>
                <w:lang w:val="sk-SK"/>
              </w:rPr>
              <w:t xml:space="preserve"> a </w:t>
            </w:r>
            <w:r w:rsidRPr="00AB26B3">
              <w:rPr>
                <w:noProof/>
                <w:spacing w:val="-6"/>
                <w:lang w:val="sk-SK"/>
              </w:rPr>
              <w:t>obnova budov</w:t>
            </w:r>
            <w:r w:rsidR="00AB26B3" w:rsidRPr="00AB26B3">
              <w:rPr>
                <w:noProof/>
                <w:spacing w:val="-6"/>
                <w:lang w:val="sk-SK"/>
              </w:rPr>
              <w:t xml:space="preserve"> v </w:t>
            </w:r>
            <w:r w:rsidRPr="00AB26B3">
              <w:rPr>
                <w:noProof/>
                <w:spacing w:val="-6"/>
                <w:lang w:val="sk-SK"/>
              </w:rPr>
              <w:t>bývalých kráľovských pozemkoch</w:t>
            </w:r>
            <w:r w:rsidR="00AB26B3" w:rsidRPr="00AB26B3">
              <w:rPr>
                <w:noProof/>
                <w:spacing w:val="-6"/>
                <w:lang w:val="sk-SK"/>
              </w:rPr>
              <w:t xml:space="preserve"> v </w:t>
            </w:r>
            <w:r w:rsidRPr="00AB26B3">
              <w:rPr>
                <w:noProof/>
                <w:spacing w:val="-6"/>
                <w:lang w:val="sk-SK"/>
              </w:rPr>
              <w:t>Tatoi</w:t>
            </w:r>
          </w:p>
        </w:tc>
        <w:tc>
          <w:tcPr>
            <w:tcW w:w="1080" w:type="dxa"/>
            <w:shd w:val="clear" w:color="auto" w:fill="C6EFCE"/>
            <w:noWrap/>
          </w:tcPr>
          <w:p w14:paraId="634BC9F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6" w:type="dxa"/>
            <w:shd w:val="clear" w:color="auto" w:fill="C6EFCE"/>
            <w:noWrap/>
          </w:tcPr>
          <w:p w14:paraId="6D90C9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Tatoi – obnovený</w:t>
            </w:r>
          </w:p>
        </w:tc>
        <w:tc>
          <w:tcPr>
            <w:tcW w:w="1276" w:type="dxa"/>
            <w:shd w:val="clear" w:color="auto" w:fill="C6EFCE"/>
            <w:noWrap/>
          </w:tcPr>
          <w:p w14:paraId="66837EA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Obnova Tatoi </w:t>
            </w:r>
          </w:p>
        </w:tc>
        <w:tc>
          <w:tcPr>
            <w:tcW w:w="1134" w:type="dxa"/>
            <w:shd w:val="clear" w:color="auto" w:fill="C6EFCE"/>
            <w:noWrap/>
          </w:tcPr>
          <w:p w14:paraId="5D9E66F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20E1089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74127FA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04B860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304F23E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592" w:type="dxa"/>
            <w:shd w:val="clear" w:color="auto" w:fill="C6EFCE"/>
            <w:noWrap/>
          </w:tcPr>
          <w:p w14:paraId="6721F2B1" w14:textId="7035D89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prác</w:t>
            </w:r>
            <w:r w:rsidR="00AB26B3" w:rsidRPr="00AB26B3">
              <w:rPr>
                <w:noProof/>
                <w:spacing w:val="-6"/>
                <w:lang w:val="sk-SK"/>
              </w:rPr>
              <w:t xml:space="preserve"> v </w:t>
            </w:r>
            <w:r w:rsidRPr="00AB26B3">
              <w:rPr>
                <w:noProof/>
                <w:spacing w:val="-6"/>
                <w:lang w:val="sk-SK"/>
              </w:rPr>
              <w:t>rámci programu „Rozvoj infraštruktúry</w:t>
            </w:r>
            <w:r w:rsidR="00AB26B3" w:rsidRPr="00AB26B3">
              <w:rPr>
                <w:noProof/>
                <w:spacing w:val="-6"/>
                <w:lang w:val="sk-SK"/>
              </w:rPr>
              <w:t xml:space="preserve"> a </w:t>
            </w:r>
            <w:r w:rsidRPr="00AB26B3">
              <w:rPr>
                <w:noProof/>
                <w:spacing w:val="-6"/>
                <w:lang w:val="sk-SK"/>
              </w:rPr>
              <w:t>obnova budov“</w:t>
            </w:r>
            <w:r w:rsidR="00AB26B3" w:rsidRPr="00AB26B3">
              <w:rPr>
                <w:noProof/>
                <w:spacing w:val="-6"/>
                <w:lang w:val="sk-SK"/>
              </w:rPr>
              <w:t xml:space="preserve"> v </w:t>
            </w:r>
            <w:r w:rsidRPr="00AB26B3">
              <w:rPr>
                <w:noProof/>
                <w:spacing w:val="-6"/>
                <w:lang w:val="sk-SK"/>
              </w:rPr>
              <w:t>bývalých kráľovských nehnuteľnostiach</w:t>
            </w:r>
            <w:r w:rsidR="00AB26B3" w:rsidRPr="00AB26B3">
              <w:rPr>
                <w:noProof/>
                <w:spacing w:val="-6"/>
                <w:lang w:val="sk-SK"/>
              </w:rPr>
              <w:t xml:space="preserve"> v </w:t>
            </w:r>
            <w:r w:rsidRPr="00AB26B3">
              <w:rPr>
                <w:noProof/>
                <w:spacing w:val="-6"/>
                <w:lang w:val="sk-SK"/>
              </w:rPr>
              <w:t>Tatoi.</w:t>
            </w:r>
          </w:p>
        </w:tc>
      </w:tr>
    </w:tbl>
    <w:p w14:paraId="6C692547" w14:textId="77777777" w:rsidR="00302FC1" w:rsidRPr="00AB26B3" w:rsidRDefault="00302FC1">
      <w:pPr>
        <w:framePr w:w="15464" w:wrap="auto" w:hAnchor="text"/>
        <w:spacing w:before="120" w:after="120" w:line="240" w:lineRule="auto"/>
        <w:rPr>
          <w:rFonts w:ascii="Times New Roman" w:hAnsi="Times New Roman" w:cs="Times New Roman"/>
          <w:noProof/>
          <w:spacing w:val="-6"/>
          <w:sz w:val="24"/>
          <w:lang w:val="sk-SK"/>
        </w:rPr>
        <w:sectPr w:rsidR="00302FC1" w:rsidRPr="00AB26B3" w:rsidSect="00315FC0">
          <w:headerReference w:type="default" r:id="rId56"/>
          <w:footerReference w:type="default" r:id="rId57"/>
          <w:pgSz w:w="16839" w:h="11907" w:orient="landscape"/>
          <w:pgMar w:top="720" w:right="720" w:bottom="851" w:left="720" w:header="709" w:footer="709" w:gutter="0"/>
          <w:cols w:space="720"/>
          <w:docGrid w:linePitch="360"/>
        </w:sectPr>
      </w:pPr>
    </w:p>
    <w:p w14:paraId="4CEB9B37" w14:textId="77777777" w:rsidR="00AB26B3" w:rsidRPr="00AB26B3" w:rsidRDefault="00D64F26">
      <w:pPr>
        <w:pStyle w:val="P68B1DB1-Normal20"/>
        <w:spacing w:before="120" w:after="120" w:line="240" w:lineRule="auto"/>
        <w:jc w:val="both"/>
        <w:rPr>
          <w:noProof/>
          <w:spacing w:val="-6"/>
          <w:lang w:val="sk-SK"/>
        </w:rPr>
      </w:pPr>
      <w:r w:rsidRPr="00AB26B3">
        <w:rPr>
          <w:noProof/>
          <w:spacing w:val="-6"/>
          <w:lang w:val="sk-SK"/>
        </w:rPr>
        <w:t>B.3.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úverového financovania</w:t>
      </w:r>
    </w:p>
    <w:p w14:paraId="4A737F14" w14:textId="02E95842"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Program energetickej modernizácie „Môj domov“ (opatrenie ID 16401)</w:t>
      </w:r>
    </w:p>
    <w:p w14:paraId="4BDF06D2" w14:textId="399C26E2" w:rsidR="00302FC1" w:rsidRPr="00AB26B3" w:rsidRDefault="00D64F26">
      <w:pPr>
        <w:pStyle w:val="NormalWeb"/>
        <w:spacing w:line="240" w:lineRule="auto"/>
        <w:jc w:val="both"/>
        <w:rPr>
          <w:noProof/>
          <w:spacing w:val="-6"/>
          <w:lang w:val="sk-SK"/>
        </w:rPr>
      </w:pPr>
      <w:r w:rsidRPr="00AB26B3">
        <w:rPr>
          <w:noProof/>
          <w:spacing w:val="-6"/>
          <w:lang w:val="sk-SK"/>
        </w:rPr>
        <w:t>Toto opatrenie pozostáva</w:t>
      </w:r>
      <w:r w:rsidR="00AB26B3" w:rsidRPr="00AB26B3">
        <w:rPr>
          <w:noProof/>
          <w:spacing w:val="-6"/>
          <w:lang w:val="sk-SK"/>
        </w:rPr>
        <w:t xml:space="preserve"> z </w:t>
      </w:r>
      <w:r w:rsidRPr="00AB26B3">
        <w:rPr>
          <w:noProof/>
          <w:spacing w:val="-6"/>
          <w:lang w:val="sk-SK"/>
        </w:rPr>
        <w:t>verejných investícií do nástroja „Môj domov“</w:t>
      </w:r>
      <w:r w:rsidR="00AB26B3" w:rsidRPr="00AB26B3">
        <w:rPr>
          <w:noProof/>
          <w:spacing w:val="-6"/>
          <w:lang w:val="sk-SK"/>
        </w:rPr>
        <w:t xml:space="preserve"> s </w:t>
      </w:r>
      <w:r w:rsidRPr="00AB26B3">
        <w:rPr>
          <w:noProof/>
          <w:spacing w:val="-6"/>
          <w:lang w:val="sk-SK"/>
        </w:rPr>
        <w:t>cieľom stimulovať súkromné investície</w:t>
      </w:r>
      <w:r w:rsidR="00AB26B3" w:rsidRPr="00AB26B3">
        <w:rPr>
          <w:noProof/>
          <w:spacing w:val="-6"/>
          <w:lang w:val="sk-SK"/>
        </w:rPr>
        <w:t xml:space="preserve"> a </w:t>
      </w:r>
      <w:r w:rsidRPr="00AB26B3">
        <w:rPr>
          <w:noProof/>
          <w:spacing w:val="-6"/>
          <w:lang w:val="sk-SK"/>
        </w:rPr>
        <w:t>zlepšiť prístup</w:t>
      </w:r>
      <w:r w:rsidR="00AB26B3" w:rsidRPr="00AB26B3">
        <w:rPr>
          <w:noProof/>
          <w:spacing w:val="-6"/>
          <w:lang w:val="sk-SK"/>
        </w:rPr>
        <w:t xml:space="preserve"> k </w:t>
      </w:r>
      <w:r w:rsidRPr="00AB26B3">
        <w:rPr>
          <w:noProof/>
          <w:spacing w:val="-6"/>
          <w:lang w:val="sk-SK"/>
        </w:rPr>
        <w:t>financovaniu</w:t>
      </w:r>
      <w:r w:rsidR="00AB26B3" w:rsidRPr="00AB26B3">
        <w:rPr>
          <w:noProof/>
          <w:spacing w:val="-6"/>
          <w:lang w:val="sk-SK"/>
        </w:rPr>
        <w:t xml:space="preserve"> v </w:t>
      </w:r>
      <w:r w:rsidRPr="00AB26B3">
        <w:rPr>
          <w:noProof/>
          <w:spacing w:val="-6"/>
          <w:lang w:val="sk-SK"/>
        </w:rPr>
        <w:t>gréckom sektore bývania. Nástroj funguje tak, že poskytuje úvery priamo súkromnému sektoru. Na základe investícií</w:t>
      </w:r>
      <w:r w:rsidR="00AB26B3" w:rsidRPr="00AB26B3">
        <w:rPr>
          <w:noProof/>
          <w:spacing w:val="-6"/>
          <w:lang w:val="sk-SK"/>
        </w:rPr>
        <w:t xml:space="preserve"> z </w:t>
      </w:r>
      <w:r w:rsidRPr="00AB26B3">
        <w:rPr>
          <w:noProof/>
          <w:spacing w:val="-6"/>
          <w:lang w:val="sk-SK"/>
        </w:rPr>
        <w:t>Mechanizmu na podporu obnovy</w:t>
      </w:r>
      <w:r w:rsidR="00AB26B3" w:rsidRPr="00AB26B3">
        <w:rPr>
          <w:noProof/>
          <w:spacing w:val="-6"/>
          <w:lang w:val="sk-SK"/>
        </w:rPr>
        <w:t xml:space="preserve"> a </w:t>
      </w:r>
      <w:r w:rsidRPr="00AB26B3">
        <w:rPr>
          <w:noProof/>
          <w:spacing w:val="-6"/>
          <w:lang w:val="sk-SK"/>
        </w:rPr>
        <w:t>odolnosti je cieľom mechanizmu „Aktualizácia môjho domova“ spočiatku poskytnúť financovanie vo výške najmenej 60 miliónov EUR.</w:t>
      </w:r>
    </w:p>
    <w:p w14:paraId="1AB3FE99" w14:textId="77777777" w:rsidR="00AB26B3" w:rsidRPr="00AB26B3" w:rsidRDefault="00D64F26">
      <w:pPr>
        <w:pStyle w:val="NormalWeb"/>
        <w:spacing w:line="240" w:lineRule="auto"/>
        <w:jc w:val="both"/>
        <w:rPr>
          <w:noProof/>
          <w:spacing w:val="-6"/>
          <w:lang w:val="sk-SK"/>
        </w:rPr>
      </w:pPr>
      <w:r w:rsidRPr="00AB26B3">
        <w:rPr>
          <w:noProof/>
          <w:spacing w:val="-6"/>
          <w:lang w:val="sk-SK"/>
        </w:rPr>
        <w:t>Nástroj „Môj domov“ spravuje Helénska rozvojová banka ako implementujúci partner. Nástroj zahŕňa tento produktový rad</w:t>
      </w:r>
      <w:r w:rsidR="00AB26B3" w:rsidRPr="00AB26B3">
        <w:rPr>
          <w:noProof/>
          <w:spacing w:val="-6"/>
          <w:lang w:val="sk-SK"/>
        </w:rPr>
        <w:t>:</w:t>
      </w:r>
    </w:p>
    <w:p w14:paraId="40829370" w14:textId="21CE9C62" w:rsidR="00302FC1" w:rsidRPr="00AB26B3" w:rsidRDefault="00D64F26">
      <w:pPr>
        <w:pStyle w:val="P68B1DB1-LegalNumPar221"/>
        <w:numPr>
          <w:ilvl w:val="1"/>
          <w:numId w:val="5"/>
        </w:numPr>
        <w:jc w:val="both"/>
        <w:rPr>
          <w:noProof/>
          <w:spacing w:val="-6"/>
          <w:lang w:val="sk-SK"/>
        </w:rPr>
      </w:pPr>
      <w:r w:rsidRPr="00AB26B3">
        <w:rPr>
          <w:noProof/>
          <w:spacing w:val="-6"/>
          <w:lang w:val="sk-SK"/>
        </w:rPr>
        <w:t>Helénska rozvojová banka vyberie komerčné banky ako finančných sprostredkovateľov, ktorí sa zúčastnia na nástroji otvoreným, transparentným</w:t>
      </w:r>
      <w:r w:rsidR="00AB26B3" w:rsidRPr="00AB26B3">
        <w:rPr>
          <w:noProof/>
          <w:spacing w:val="-6"/>
          <w:lang w:val="sk-SK"/>
        </w:rPr>
        <w:t xml:space="preserve"> a </w:t>
      </w:r>
      <w:r w:rsidRPr="00AB26B3">
        <w:rPr>
          <w:noProof/>
          <w:spacing w:val="-6"/>
          <w:lang w:val="sk-SK"/>
        </w:rPr>
        <w:t>nediskriminačným spôsobom prostredníctvom otvorenej výzvy. Komerčné banky spolufinancujú úvery na obnovu zameranú na energetickú efektívnosť poskytnuté</w:t>
      </w:r>
      <w:r w:rsidR="00AB26B3" w:rsidRPr="00AB26B3">
        <w:rPr>
          <w:noProof/>
          <w:spacing w:val="-6"/>
          <w:lang w:val="sk-SK"/>
        </w:rPr>
        <w:t xml:space="preserve"> v </w:t>
      </w:r>
      <w:r w:rsidRPr="00AB26B3">
        <w:rPr>
          <w:noProof/>
          <w:spacing w:val="-6"/>
          <w:lang w:val="sk-SK"/>
        </w:rPr>
        <w:t>rámci nástroja. Tieto úvery sa poskytnú jednotlivcom na energetickú modernizáciu</w:t>
      </w:r>
      <w:r w:rsidR="00AB26B3" w:rsidRPr="00AB26B3">
        <w:rPr>
          <w:noProof/>
          <w:spacing w:val="-6"/>
          <w:lang w:val="sk-SK"/>
        </w:rPr>
        <w:t xml:space="preserve"> v </w:t>
      </w:r>
      <w:r w:rsidRPr="00AB26B3">
        <w:rPr>
          <w:noProof/>
          <w:spacing w:val="-6"/>
          <w:lang w:val="sk-SK"/>
        </w:rPr>
        <w:t>ich primárnom alebo neprenajatom sekundárnom obydlí. Úverová štruktúra poskytuje 75</w:t>
      </w:r>
      <w:r w:rsidR="00AB26B3" w:rsidRPr="00AB26B3">
        <w:rPr>
          <w:noProof/>
          <w:spacing w:val="-6"/>
          <w:lang w:val="sk-SK"/>
        </w:rPr>
        <w:t> %</w:t>
      </w:r>
      <w:r w:rsidRPr="00AB26B3">
        <w:rPr>
          <w:noProof/>
          <w:spacing w:val="-6"/>
          <w:lang w:val="sk-SK"/>
        </w:rPr>
        <w:t xml:space="preserve"> bezúročné financovanie</w:t>
      </w:r>
      <w:r w:rsidR="00AB26B3" w:rsidRPr="00AB26B3">
        <w:rPr>
          <w:noProof/>
          <w:spacing w:val="-6"/>
          <w:lang w:val="sk-SK"/>
        </w:rPr>
        <w:t xml:space="preserve"> z </w:t>
      </w:r>
      <w:r w:rsidRPr="00AB26B3">
        <w:rPr>
          <w:noProof/>
          <w:spacing w:val="-6"/>
          <w:lang w:val="sk-SK"/>
        </w:rPr>
        <w:t>nástroja „Zlepšiť môj domov“</w:t>
      </w:r>
      <w:r w:rsidR="00AB26B3" w:rsidRPr="00AB26B3">
        <w:rPr>
          <w:noProof/>
          <w:spacing w:val="-6"/>
          <w:lang w:val="sk-SK"/>
        </w:rPr>
        <w:t xml:space="preserve"> a </w:t>
      </w:r>
      <w:r w:rsidRPr="00AB26B3">
        <w:rPr>
          <w:noProof/>
          <w:spacing w:val="-6"/>
          <w:lang w:val="sk-SK"/>
        </w:rPr>
        <w:t>25</w:t>
      </w:r>
      <w:r w:rsidR="00AB26B3" w:rsidRPr="00AB26B3">
        <w:rPr>
          <w:noProof/>
          <w:spacing w:val="-6"/>
          <w:lang w:val="sk-SK"/>
        </w:rPr>
        <w:t> %</w:t>
      </w:r>
      <w:r w:rsidRPr="00AB26B3">
        <w:rPr>
          <w:noProof/>
          <w:spacing w:val="-6"/>
          <w:lang w:val="sk-SK"/>
        </w:rPr>
        <w:t xml:space="preserve"> financovanie od zúčastnených bánk za trhové sadzby. Oprávnené výdavky budú zahŕňať napríklad tieto intervencie:</w:t>
      </w:r>
    </w:p>
    <w:p w14:paraId="6C5F0D1F" w14:textId="77777777" w:rsidR="00302FC1" w:rsidRPr="00AB26B3" w:rsidRDefault="00D64F26">
      <w:pPr>
        <w:pStyle w:val="P68B1DB1-LegalNumPar221"/>
        <w:jc w:val="both"/>
        <w:rPr>
          <w:noProof/>
          <w:spacing w:val="-6"/>
          <w:lang w:val="sk-SK"/>
        </w:rPr>
      </w:pPr>
      <w:r w:rsidRPr="00AB26B3">
        <w:rPr>
          <w:noProof/>
          <w:spacing w:val="-6"/>
          <w:lang w:val="sk-SK"/>
        </w:rPr>
        <w:t>Tepelná izolácia (vnútorná/vonkajšia).</w:t>
      </w:r>
    </w:p>
    <w:p w14:paraId="15874B83" w14:textId="77777777" w:rsidR="00302FC1" w:rsidRPr="00AB26B3" w:rsidRDefault="00D64F26">
      <w:pPr>
        <w:pStyle w:val="P68B1DB1-LegalNumPar221"/>
        <w:jc w:val="both"/>
        <w:rPr>
          <w:noProof/>
          <w:spacing w:val="-6"/>
          <w:lang w:val="sk-SK"/>
        </w:rPr>
      </w:pPr>
      <w:r w:rsidRPr="00AB26B3">
        <w:rPr>
          <w:noProof/>
          <w:spacing w:val="-6"/>
          <w:lang w:val="sk-SK"/>
        </w:rPr>
        <w:t>Inštalácia zelenej strechy.</w:t>
      </w:r>
    </w:p>
    <w:p w14:paraId="02688DC7" w14:textId="7D0482A1" w:rsidR="00302FC1" w:rsidRPr="00AB26B3" w:rsidRDefault="00D64F26">
      <w:pPr>
        <w:pStyle w:val="P68B1DB1-LegalNumPar221"/>
        <w:jc w:val="both"/>
        <w:rPr>
          <w:noProof/>
          <w:spacing w:val="-6"/>
          <w:lang w:val="sk-SK"/>
        </w:rPr>
      </w:pPr>
      <w:r w:rsidRPr="00AB26B3">
        <w:rPr>
          <w:noProof/>
          <w:spacing w:val="-6"/>
          <w:lang w:val="sk-SK"/>
        </w:rPr>
        <w:t>Výmena energeticky účinných okenných rámov</w:t>
      </w:r>
      <w:r w:rsidR="00AB26B3" w:rsidRPr="00AB26B3">
        <w:rPr>
          <w:noProof/>
          <w:spacing w:val="-6"/>
          <w:lang w:val="sk-SK"/>
        </w:rPr>
        <w:t xml:space="preserve"> a </w:t>
      </w:r>
      <w:r w:rsidRPr="00AB26B3">
        <w:rPr>
          <w:noProof/>
          <w:spacing w:val="-6"/>
          <w:lang w:val="sk-SK"/>
        </w:rPr>
        <w:t>sklených tabúľ.</w:t>
      </w:r>
    </w:p>
    <w:p w14:paraId="0013ACB7" w14:textId="77777777" w:rsidR="00302FC1" w:rsidRPr="00AB26B3" w:rsidRDefault="00D64F26">
      <w:pPr>
        <w:pStyle w:val="P68B1DB1-LegalNumPar221"/>
        <w:jc w:val="both"/>
        <w:rPr>
          <w:noProof/>
          <w:spacing w:val="-6"/>
          <w:lang w:val="sk-SK"/>
        </w:rPr>
      </w:pPr>
      <w:r w:rsidRPr="00AB26B3">
        <w:rPr>
          <w:noProof/>
          <w:spacing w:val="-6"/>
          <w:lang w:val="sk-SK"/>
        </w:rPr>
        <w:t>Výmena/inštalácia solárneho ohrievača vody.</w:t>
      </w:r>
    </w:p>
    <w:p w14:paraId="0DD59C69" w14:textId="77777777" w:rsidR="00302FC1" w:rsidRPr="00AB26B3" w:rsidRDefault="00D64F26">
      <w:pPr>
        <w:pStyle w:val="P68B1DB1-LegalNumPar221"/>
        <w:jc w:val="both"/>
        <w:rPr>
          <w:noProof/>
          <w:spacing w:val="-6"/>
          <w:lang w:val="sk-SK"/>
        </w:rPr>
      </w:pPr>
      <w:r w:rsidRPr="00AB26B3">
        <w:rPr>
          <w:noProof/>
          <w:spacing w:val="-6"/>
          <w:lang w:val="sk-SK"/>
        </w:rPr>
        <w:t>Inštalácia trvalých vonkajších tieniacich systémov.</w:t>
      </w:r>
    </w:p>
    <w:p w14:paraId="56DE2DE5" w14:textId="72F1009A" w:rsidR="00302FC1" w:rsidRPr="00AB26B3" w:rsidRDefault="00D64F26">
      <w:pPr>
        <w:pStyle w:val="P68B1DB1-LegalNumPar221"/>
        <w:jc w:val="both"/>
        <w:rPr>
          <w:noProof/>
          <w:spacing w:val="-6"/>
          <w:lang w:val="sk-SK"/>
        </w:rPr>
      </w:pPr>
      <w:r w:rsidRPr="00AB26B3">
        <w:rPr>
          <w:noProof/>
          <w:spacing w:val="-6"/>
          <w:lang w:val="sk-SK"/>
        </w:rPr>
        <w:t>Výmena/inštalácia vykurovacích chladiacich systémov (vyrobené fosílne palivo nie je oprávnené) využívajúcich obnoviteľné zdroje energie alebo vysokoúčinné systémy kombinovanej výroby tepla</w:t>
      </w:r>
      <w:r w:rsidR="00AB26B3" w:rsidRPr="00AB26B3">
        <w:rPr>
          <w:noProof/>
          <w:spacing w:val="-6"/>
          <w:lang w:val="sk-SK"/>
        </w:rPr>
        <w:t xml:space="preserve"> a </w:t>
      </w:r>
      <w:r w:rsidRPr="00AB26B3">
        <w:rPr>
          <w:noProof/>
          <w:spacing w:val="-6"/>
          <w:lang w:val="sk-SK"/>
        </w:rPr>
        <w:t>elektriny (napr. elektrické tepelné čerpadlá, invertorové klimatizačné jednotky energetickej triedy A+ alebo vyššej).</w:t>
      </w:r>
    </w:p>
    <w:p w14:paraId="24939D8C" w14:textId="77777777" w:rsidR="00302FC1" w:rsidRPr="00AB26B3" w:rsidRDefault="00D64F26">
      <w:pPr>
        <w:pStyle w:val="P68B1DB1-LegalNumPar221"/>
        <w:jc w:val="both"/>
        <w:rPr>
          <w:noProof/>
          <w:spacing w:val="-6"/>
          <w:lang w:val="sk-SK"/>
        </w:rPr>
      </w:pPr>
      <w:r w:rsidRPr="00AB26B3">
        <w:rPr>
          <w:noProof/>
          <w:spacing w:val="-6"/>
          <w:lang w:val="sk-SK"/>
        </w:rPr>
        <w:t>Inštalácia termostatických regulačných systémov.</w:t>
      </w:r>
    </w:p>
    <w:p w14:paraId="4E0FBC81" w14:textId="3FFCF703" w:rsidR="00302FC1" w:rsidRPr="00AB26B3" w:rsidRDefault="00D64F26">
      <w:pPr>
        <w:pStyle w:val="P68B1DB1-LegalNumPar221"/>
        <w:jc w:val="both"/>
        <w:rPr>
          <w:noProof/>
          <w:spacing w:val="-6"/>
          <w:lang w:val="sk-SK"/>
        </w:rPr>
      </w:pPr>
      <w:r w:rsidRPr="00AB26B3">
        <w:rPr>
          <w:noProof/>
          <w:spacing w:val="-6"/>
          <w:lang w:val="sk-SK"/>
        </w:rPr>
        <w:t>Inštalácia systémov uskladňovania energie (batérií)</w:t>
      </w:r>
      <w:r w:rsidR="00AB26B3" w:rsidRPr="00AB26B3">
        <w:rPr>
          <w:noProof/>
          <w:spacing w:val="-6"/>
          <w:lang w:val="sk-SK"/>
        </w:rPr>
        <w:t xml:space="preserve"> z </w:t>
      </w:r>
      <w:r w:rsidRPr="00AB26B3">
        <w:rPr>
          <w:noProof/>
          <w:spacing w:val="-6"/>
          <w:lang w:val="sk-SK"/>
        </w:rPr>
        <w:t>obnoviteľných zdrojov energie.</w:t>
      </w:r>
    </w:p>
    <w:p w14:paraId="4CBF86FD" w14:textId="7D2575B8" w:rsidR="00302FC1" w:rsidRPr="00AB26B3" w:rsidRDefault="00D64F26">
      <w:pPr>
        <w:pStyle w:val="P68B1DB1-LegalNumPar221"/>
        <w:jc w:val="both"/>
        <w:rPr>
          <w:noProof/>
          <w:spacing w:val="-6"/>
          <w:lang w:val="sk-SK"/>
        </w:rPr>
      </w:pPr>
      <w:r w:rsidRPr="00AB26B3">
        <w:rPr>
          <w:noProof/>
          <w:spacing w:val="-6"/>
          <w:lang w:val="sk-SK"/>
        </w:rPr>
        <w:t>Inštalácia fotovoltických staníc, malých veterných turbín</w:t>
      </w:r>
      <w:r w:rsidR="00AB26B3" w:rsidRPr="00AB26B3">
        <w:rPr>
          <w:noProof/>
          <w:spacing w:val="-6"/>
          <w:lang w:val="sk-SK"/>
        </w:rPr>
        <w:t xml:space="preserve"> a </w:t>
      </w:r>
      <w:r w:rsidRPr="00AB26B3">
        <w:rPr>
          <w:noProof/>
          <w:spacing w:val="-6"/>
          <w:lang w:val="sk-SK"/>
        </w:rPr>
        <w:t>iných obnoviteľných zdrojov energie.</w:t>
      </w:r>
    </w:p>
    <w:p w14:paraId="6AAA87DA" w14:textId="77777777" w:rsidR="00302FC1" w:rsidRPr="00AB26B3" w:rsidRDefault="00D64F26">
      <w:pPr>
        <w:pStyle w:val="P68B1DB1-LegalNumPar221"/>
        <w:jc w:val="both"/>
        <w:rPr>
          <w:noProof/>
          <w:spacing w:val="-6"/>
          <w:lang w:val="sk-SK"/>
        </w:rPr>
      </w:pPr>
      <w:r w:rsidRPr="00AB26B3">
        <w:rPr>
          <w:noProof/>
          <w:spacing w:val="-6"/>
          <w:lang w:val="sk-SK"/>
        </w:rPr>
        <w:t>Inštalačné práce/služby technických poradcov alebo inžinierov.</w:t>
      </w:r>
    </w:p>
    <w:p w14:paraId="2B2A9E46" w14:textId="33C0FE2C" w:rsidR="00302FC1" w:rsidRPr="00AB26B3" w:rsidRDefault="00D64F26">
      <w:pPr>
        <w:pStyle w:val="NormalWeb"/>
        <w:spacing w:line="240" w:lineRule="auto"/>
        <w:jc w:val="both"/>
        <w:rPr>
          <w:noProof/>
          <w:spacing w:val="-6"/>
          <w:lang w:val="sk-SK"/>
        </w:rPr>
      </w:pPr>
      <w:r w:rsidRPr="00AB26B3">
        <w:rPr>
          <w:noProof/>
          <w:spacing w:val="-6"/>
          <w:lang w:val="sk-SK"/>
        </w:rPr>
        <w:t>S cieľom realizovať investíciu do nástroja „My Home Modernize“ Grécko</w:t>
      </w:r>
      <w:r w:rsidR="00AB26B3" w:rsidRPr="00AB26B3">
        <w:rPr>
          <w:noProof/>
          <w:spacing w:val="-6"/>
          <w:lang w:val="sk-SK"/>
        </w:rPr>
        <w:t xml:space="preserve"> a </w:t>
      </w:r>
      <w:r w:rsidRPr="00AB26B3">
        <w:rPr>
          <w:noProof/>
          <w:spacing w:val="-6"/>
          <w:lang w:val="sk-SK"/>
        </w:rPr>
        <w:t>Helénska rozvojová banka podpíšu vykonávaciu dohodu. Vykonávacia dohoda obsahuje tento obsah:</w:t>
      </w:r>
    </w:p>
    <w:p w14:paraId="1D06A25F" w14:textId="742F89E6" w:rsidR="00302FC1" w:rsidRPr="00AB26B3" w:rsidRDefault="00D64F26">
      <w:pPr>
        <w:pStyle w:val="P68B1DB1-LegalNumPar22"/>
        <w:numPr>
          <w:ilvl w:val="0"/>
          <w:numId w:val="4"/>
        </w:numPr>
        <w:jc w:val="both"/>
        <w:rPr>
          <w:rFonts w:eastAsia="Times New Roman"/>
          <w:noProof/>
          <w:spacing w:val="-6"/>
          <w:lang w:val="sk-SK"/>
        </w:rPr>
      </w:pPr>
      <w:r w:rsidRPr="00AB26B3">
        <w:rPr>
          <w:noProof/>
          <w:spacing w:val="-6"/>
          <w:lang w:val="sk-SK"/>
        </w:rPr>
        <w:t>Opis rozhodovacieho procesu nástroja „Aktualizácia môjho domova“. Konečné investičné rozhodnutie nástroja prijíma investičný výbor alebo iný rovnocenný riadiaci orgán</w:t>
      </w:r>
      <w:r w:rsidR="00AB26B3" w:rsidRPr="00AB26B3">
        <w:rPr>
          <w:noProof/>
          <w:spacing w:val="-6"/>
          <w:lang w:val="sk-SK"/>
        </w:rPr>
        <w:t xml:space="preserve"> a </w:t>
      </w:r>
      <w:r w:rsidRPr="00AB26B3">
        <w:rPr>
          <w:noProof/>
          <w:spacing w:val="-6"/>
          <w:lang w:val="sk-SK"/>
        </w:rPr>
        <w:t>schvaľuje ho väčšinou hlasov členov, ktorí sú nezávislí od vlády.</w:t>
      </w:r>
    </w:p>
    <w:p w14:paraId="228FE02B" w14:textId="77777777" w:rsidR="00302FC1" w:rsidRPr="00AB26B3" w:rsidRDefault="00D64F26">
      <w:pPr>
        <w:pStyle w:val="P68B1DB1-LegalNumPar22"/>
        <w:jc w:val="both"/>
        <w:rPr>
          <w:noProof/>
          <w:spacing w:val="-6"/>
          <w:lang w:val="sk-SK"/>
        </w:rPr>
      </w:pPr>
      <w:r w:rsidRPr="00AB26B3">
        <w:rPr>
          <w:noProof/>
          <w:spacing w:val="-6"/>
          <w:lang w:val="sk-SK"/>
        </w:rPr>
        <w:t>Kľúčové požiadavky na finančné produkty,</w:t>
      </w:r>
      <w:r w:rsidRPr="00AB26B3">
        <w:rPr>
          <w:b/>
          <w:noProof/>
          <w:spacing w:val="-6"/>
          <w:lang w:val="sk-SK"/>
        </w:rPr>
        <w:t xml:space="preserve"> </w:t>
      </w:r>
      <w:r w:rsidRPr="00AB26B3">
        <w:rPr>
          <w:noProof/>
          <w:spacing w:val="-6"/>
          <w:lang w:val="sk-SK"/>
        </w:rPr>
        <w:t>ktoré zahŕňajú:</w:t>
      </w:r>
    </w:p>
    <w:p w14:paraId="04979A4E" w14:textId="0E6D1CF4" w:rsidR="00302FC1" w:rsidRPr="00AB26B3" w:rsidRDefault="00D64F26">
      <w:pPr>
        <w:pStyle w:val="P68B1DB1-LegalNumPar221"/>
        <w:jc w:val="both"/>
        <w:rPr>
          <w:noProof/>
          <w:spacing w:val="-6"/>
          <w:lang w:val="sk-SK"/>
        </w:rPr>
      </w:pPr>
      <w:r w:rsidRPr="00AB26B3">
        <w:rPr>
          <w:noProof/>
          <w:spacing w:val="-6"/>
          <w:lang w:val="sk-SK"/>
        </w:rPr>
        <w:t>Opis finančných produktov</w:t>
      </w:r>
      <w:r w:rsidR="00AB26B3" w:rsidRPr="00AB26B3">
        <w:rPr>
          <w:noProof/>
          <w:spacing w:val="-6"/>
          <w:lang w:val="sk-SK"/>
        </w:rPr>
        <w:t xml:space="preserve"> a </w:t>
      </w:r>
      <w:r w:rsidRPr="00AB26B3">
        <w:rPr>
          <w:noProof/>
          <w:spacing w:val="-6"/>
          <w:lang w:val="sk-SK"/>
        </w:rPr>
        <w:t>oprávnených konečných príjemcov.</w:t>
      </w:r>
    </w:p>
    <w:p w14:paraId="47075D28" w14:textId="77777777" w:rsidR="00302FC1" w:rsidRPr="00AB26B3" w:rsidRDefault="00D64F26">
      <w:pPr>
        <w:pStyle w:val="P68B1DB1-LegalNumPar221"/>
        <w:jc w:val="both"/>
        <w:rPr>
          <w:noProof/>
          <w:spacing w:val="-6"/>
          <w:lang w:val="sk-SK"/>
        </w:rPr>
      </w:pPr>
      <w:r w:rsidRPr="00AB26B3">
        <w:rPr>
          <w:noProof/>
          <w:spacing w:val="-6"/>
          <w:lang w:val="sk-SK"/>
        </w:rPr>
        <w:t>Požiadavka, aby všetky podporované investície boli ekonomicky životaschopné</w:t>
      </w:r>
      <w:r w:rsidRPr="00AB26B3">
        <w:rPr>
          <w:b/>
          <w:noProof/>
          <w:spacing w:val="-6"/>
          <w:lang w:val="sk-SK"/>
        </w:rPr>
        <w:t>.</w:t>
      </w:r>
    </w:p>
    <w:p w14:paraId="008D9191" w14:textId="2E7D2735" w:rsidR="00302FC1" w:rsidRPr="00AB26B3" w:rsidRDefault="00D64F26">
      <w:pPr>
        <w:pStyle w:val="P68B1DB1-LegalNumPar221"/>
        <w:jc w:val="both"/>
        <w:rPr>
          <w:noProof/>
          <w:spacing w:val="-6"/>
          <w:lang w:val="sk-SK"/>
        </w:rPr>
      </w:pPr>
      <w:r w:rsidRPr="00AB26B3">
        <w:rPr>
          <w:noProof/>
          <w:spacing w:val="-6"/>
          <w:lang w:val="sk-SK"/>
        </w:rPr>
        <w:t>Požiadavka, aby koneční prijímatelia nástroja nedostávali podporu</w:t>
      </w:r>
      <w:r w:rsidR="00AB26B3" w:rsidRPr="00AB26B3">
        <w:rPr>
          <w:noProof/>
          <w:spacing w:val="-6"/>
          <w:lang w:val="sk-SK"/>
        </w:rPr>
        <w:t xml:space="preserve"> z </w:t>
      </w:r>
      <w:r w:rsidRPr="00AB26B3">
        <w:rPr>
          <w:noProof/>
          <w:spacing w:val="-6"/>
          <w:lang w:val="sk-SK"/>
        </w:rPr>
        <w:t>iných nástrojov Únie na pokrytie rovnakých nákladov.</w:t>
      </w:r>
    </w:p>
    <w:p w14:paraId="52160678" w14:textId="753A07CD" w:rsidR="00302FC1" w:rsidRPr="00AB26B3" w:rsidRDefault="00D64F26">
      <w:pPr>
        <w:pStyle w:val="P68B1DB1-LegalNumPar23"/>
        <w:jc w:val="both"/>
        <w:rPr>
          <w:rFonts w:ascii="Times New Roman" w:hAnsi="Times New Roman" w:cs="Times New Roman"/>
          <w:noProof/>
          <w:spacing w:val="-6"/>
          <w:lang w:val="sk-SK"/>
        </w:rPr>
      </w:pPr>
      <w:r w:rsidRPr="00AB26B3">
        <w:rPr>
          <w:rFonts w:ascii="Times New Roman" w:hAnsi="Times New Roman" w:cs="Times New Roman"/>
          <w:noProof/>
          <w:spacing w:val="-6"/>
          <w:lang w:val="sk-SK"/>
        </w:rPr>
        <w:t>Suma, na ktorú sa vzťahuje vykonávacia dohoda, štruktúra poplatkov pre implementujúceho partnera</w:t>
      </w:r>
      <w:r w:rsidR="00AB26B3" w:rsidRPr="00AB26B3">
        <w:rPr>
          <w:rFonts w:ascii="Times New Roman" w:hAnsi="Times New Roman" w:cs="Times New Roman"/>
          <w:noProof/>
          <w:spacing w:val="-6"/>
          <w:lang w:val="sk-SK"/>
        </w:rPr>
        <w:t xml:space="preserve"> a </w:t>
      </w:r>
      <w:r w:rsidRPr="00AB26B3">
        <w:rPr>
          <w:rFonts w:ascii="Times New Roman" w:hAnsi="Times New Roman" w:cs="Times New Roman"/>
          <w:noProof/>
          <w:spacing w:val="-6"/>
          <w:lang w:val="sk-SK"/>
        </w:rPr>
        <w:t>finančných sprostredkovateľov</w:t>
      </w:r>
      <w:r w:rsidR="00AB26B3" w:rsidRPr="00AB26B3">
        <w:rPr>
          <w:rFonts w:ascii="Times New Roman" w:hAnsi="Times New Roman" w:cs="Times New Roman"/>
          <w:noProof/>
          <w:spacing w:val="-6"/>
          <w:lang w:val="sk-SK"/>
        </w:rPr>
        <w:t xml:space="preserve"> a </w:t>
      </w:r>
      <w:r w:rsidRPr="00AB26B3">
        <w:rPr>
          <w:rFonts w:ascii="Times New Roman" w:eastAsia="Times New Roman" w:hAnsi="Times New Roman" w:cs="Times New Roman"/>
          <w:noProof/>
          <w:color w:val="000000" w:themeColor="text1"/>
          <w:spacing w:val="-6"/>
          <w:lang w:val="sk-SK"/>
        </w:rPr>
        <w:t>požiadavka na opätovné investovanie akýchkoľvek spätných tokov</w:t>
      </w:r>
      <w:r w:rsidR="00AB26B3" w:rsidRPr="00AB26B3">
        <w:rPr>
          <w:rFonts w:ascii="Times New Roman" w:eastAsia="Times New Roman" w:hAnsi="Times New Roman" w:cs="Times New Roman"/>
          <w:noProof/>
          <w:color w:val="000000" w:themeColor="text1"/>
          <w:spacing w:val="-6"/>
          <w:lang w:val="sk-SK"/>
        </w:rPr>
        <w:t xml:space="preserve"> v </w:t>
      </w:r>
      <w:r w:rsidRPr="00AB26B3">
        <w:rPr>
          <w:rFonts w:ascii="Times New Roman" w:eastAsia="Times New Roman" w:hAnsi="Times New Roman" w:cs="Times New Roman"/>
          <w:noProof/>
          <w:color w:val="000000" w:themeColor="text1"/>
          <w:spacing w:val="-6"/>
          <w:lang w:val="sk-SK"/>
        </w:rPr>
        <w:t>súlade</w:t>
      </w:r>
      <w:r w:rsidR="00AB26B3" w:rsidRPr="00AB26B3">
        <w:rPr>
          <w:rFonts w:ascii="Times New Roman" w:eastAsia="Times New Roman" w:hAnsi="Times New Roman" w:cs="Times New Roman"/>
          <w:noProof/>
          <w:color w:val="000000" w:themeColor="text1"/>
          <w:spacing w:val="-6"/>
          <w:lang w:val="sk-SK"/>
        </w:rPr>
        <w:t xml:space="preserve"> s </w:t>
      </w:r>
      <w:r w:rsidRPr="00AB26B3">
        <w:rPr>
          <w:rFonts w:ascii="Times New Roman" w:eastAsia="Times New Roman" w:hAnsi="Times New Roman" w:cs="Times New Roman"/>
          <w:noProof/>
          <w:color w:val="000000" w:themeColor="text1"/>
          <w:spacing w:val="-6"/>
          <w:lang w:val="sk-SK"/>
        </w:rPr>
        <w:t>investičnou politikou mechanizmu, pokiaľ sa nepoužívajú na správu splátok úverov Mechanizmu na podporu obnovy</w:t>
      </w:r>
      <w:r w:rsidR="00AB26B3" w:rsidRPr="00AB26B3">
        <w:rPr>
          <w:rFonts w:ascii="Times New Roman" w:eastAsia="Times New Roman" w:hAnsi="Times New Roman" w:cs="Times New Roman"/>
          <w:noProof/>
          <w:color w:val="000000" w:themeColor="text1"/>
          <w:spacing w:val="-6"/>
          <w:lang w:val="sk-SK"/>
        </w:rPr>
        <w:t xml:space="preserve"> a </w:t>
      </w:r>
      <w:r w:rsidRPr="00AB26B3">
        <w:rPr>
          <w:rFonts w:ascii="Times New Roman" w:eastAsia="Times New Roman" w:hAnsi="Times New Roman" w:cs="Times New Roman"/>
          <w:noProof/>
          <w:color w:val="000000" w:themeColor="text1"/>
          <w:spacing w:val="-6"/>
          <w:lang w:val="sk-SK"/>
        </w:rPr>
        <w:t>odolnosti.</w:t>
      </w:r>
    </w:p>
    <w:p w14:paraId="32031C89" w14:textId="7DEBFA2F" w:rsidR="00302FC1" w:rsidRPr="00AB26B3" w:rsidRDefault="00D64F26">
      <w:pPr>
        <w:pStyle w:val="P68B1DB1-LegalNumPar22"/>
        <w:jc w:val="both"/>
        <w:rPr>
          <w:noProof/>
          <w:spacing w:val="-6"/>
          <w:lang w:val="sk-SK"/>
        </w:rPr>
      </w:pPr>
      <w:r w:rsidRPr="00AB26B3">
        <w:rPr>
          <w:noProof/>
          <w:spacing w:val="-6"/>
          <w:lang w:val="sk-SK"/>
        </w:rPr>
        <w:t>Požiadavky na monitorovanie, audit</w:t>
      </w:r>
      <w:r w:rsidR="00AB26B3" w:rsidRPr="00AB26B3">
        <w:rPr>
          <w:noProof/>
          <w:spacing w:val="-6"/>
          <w:lang w:val="sk-SK"/>
        </w:rPr>
        <w:t xml:space="preserve"> a </w:t>
      </w:r>
      <w:r w:rsidRPr="00AB26B3">
        <w:rPr>
          <w:noProof/>
          <w:spacing w:val="-6"/>
          <w:lang w:val="sk-SK"/>
        </w:rPr>
        <w:t>kontrolu vrátane opisu postupov implementujúceho partnera, ktorými sa zabezpečí predchádzanie podvodom, korupcii</w:t>
      </w:r>
      <w:r w:rsidR="00AB26B3" w:rsidRPr="00AB26B3">
        <w:rPr>
          <w:noProof/>
          <w:spacing w:val="-6"/>
          <w:lang w:val="sk-SK"/>
        </w:rPr>
        <w:t xml:space="preserve"> a </w:t>
      </w:r>
      <w:r w:rsidRPr="00AB26B3">
        <w:rPr>
          <w:noProof/>
          <w:spacing w:val="-6"/>
          <w:lang w:val="sk-SK"/>
        </w:rPr>
        <w:t>konfliktom záujmov, ich odhaľovanie</w:t>
      </w:r>
      <w:r w:rsidR="00AB26B3" w:rsidRPr="00AB26B3">
        <w:rPr>
          <w:noProof/>
          <w:spacing w:val="-6"/>
          <w:lang w:val="sk-SK"/>
        </w:rPr>
        <w:t xml:space="preserve"> a </w:t>
      </w:r>
      <w:r w:rsidRPr="00AB26B3">
        <w:rPr>
          <w:noProof/>
          <w:spacing w:val="-6"/>
          <w:lang w:val="sk-SK"/>
        </w:rPr>
        <w:t>náprava.</w:t>
      </w:r>
    </w:p>
    <w:p w14:paraId="1F03A200" w14:textId="0EBCBA53" w:rsidR="00AB26B3" w:rsidRPr="00AB26B3" w:rsidRDefault="00D64F26">
      <w:pPr>
        <w:pStyle w:val="P68B1DB1-LegalNumPar22"/>
        <w:jc w:val="both"/>
        <w:rPr>
          <w:noProof/>
          <w:spacing w:val="-6"/>
          <w:lang w:val="sk-SK"/>
        </w:rPr>
      </w:pPr>
      <w:r w:rsidRPr="00AB26B3">
        <w:rPr>
          <w:noProof/>
          <w:spacing w:val="-6"/>
          <w:lang w:val="sk-SK"/>
        </w:rPr>
        <w:t>Helénska rozvojová banka podpíše dohody</w:t>
      </w:r>
      <w:r w:rsidR="00AB26B3" w:rsidRPr="00AB26B3">
        <w:rPr>
          <w:noProof/>
          <w:spacing w:val="-6"/>
          <w:lang w:val="sk-SK"/>
        </w:rPr>
        <w:t xml:space="preserve"> o </w:t>
      </w:r>
      <w:r w:rsidRPr="00AB26B3">
        <w:rPr>
          <w:noProof/>
          <w:spacing w:val="-6"/>
          <w:lang w:val="sk-SK"/>
        </w:rPr>
        <w:t>financovaní</w:t>
      </w:r>
      <w:r w:rsidR="00AB26B3" w:rsidRPr="00AB26B3">
        <w:rPr>
          <w:noProof/>
          <w:spacing w:val="-6"/>
          <w:lang w:val="sk-SK"/>
        </w:rPr>
        <w:t xml:space="preserve"> s </w:t>
      </w:r>
      <w:r w:rsidRPr="00AB26B3">
        <w:rPr>
          <w:noProof/>
          <w:spacing w:val="-6"/>
          <w:lang w:val="sk-SK"/>
        </w:rPr>
        <w:t>finančnými sprostredkovateľmi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kľúčovými požiadavkami, ktoré sa poskytnú ako príloha</w:t>
      </w:r>
      <w:r w:rsidR="00AB26B3" w:rsidRPr="00AB26B3">
        <w:rPr>
          <w:noProof/>
          <w:spacing w:val="-6"/>
          <w:lang w:val="sk-SK"/>
        </w:rPr>
        <w:t xml:space="preserve"> k </w:t>
      </w:r>
      <w:r w:rsidRPr="00AB26B3">
        <w:rPr>
          <w:noProof/>
          <w:spacing w:val="-6"/>
          <w:lang w:val="sk-SK"/>
        </w:rPr>
        <w:t>vykonávacej dohode. Kľúčové požiadavky dohôd</w:t>
      </w:r>
      <w:r w:rsidR="00AB26B3" w:rsidRPr="00AB26B3">
        <w:rPr>
          <w:noProof/>
          <w:spacing w:val="-6"/>
          <w:lang w:val="sk-SK"/>
        </w:rPr>
        <w:t xml:space="preserve"> o </w:t>
      </w:r>
      <w:r w:rsidRPr="00AB26B3">
        <w:rPr>
          <w:noProof/>
          <w:spacing w:val="-6"/>
          <w:lang w:val="sk-SK"/>
        </w:rPr>
        <w:t>financovaní zahŕňajú všetky požiadavky, na základe ktorých nástroj funguje, vrátane</w:t>
      </w:r>
      <w:r w:rsidR="00AB26B3" w:rsidRPr="00AB26B3">
        <w:rPr>
          <w:noProof/>
          <w:spacing w:val="-6"/>
          <w:lang w:val="sk-SK"/>
        </w:rPr>
        <w:t>:</w:t>
      </w:r>
    </w:p>
    <w:p w14:paraId="5E688F9C" w14:textId="0698A171" w:rsidR="00302FC1" w:rsidRPr="00AB26B3" w:rsidRDefault="00D64F26">
      <w:pPr>
        <w:pStyle w:val="P68B1DB1-LegalNumPar221"/>
        <w:numPr>
          <w:ilvl w:val="1"/>
          <w:numId w:val="5"/>
        </w:numPr>
        <w:jc w:val="both"/>
        <w:rPr>
          <w:noProof/>
          <w:spacing w:val="-6"/>
          <w:lang w:val="sk-SK"/>
        </w:rPr>
      </w:pPr>
      <w:r w:rsidRPr="00AB26B3">
        <w:rPr>
          <w:noProof/>
          <w:spacing w:val="-6"/>
          <w:lang w:val="sk-SK"/>
        </w:rPr>
        <w:t>Konečné rozhodnutie</w:t>
      </w:r>
      <w:r w:rsidR="00AB26B3" w:rsidRPr="00AB26B3">
        <w:rPr>
          <w:noProof/>
          <w:spacing w:val="-6"/>
          <w:lang w:val="sk-SK"/>
        </w:rPr>
        <w:t xml:space="preserve"> o </w:t>
      </w:r>
      <w:r w:rsidRPr="00AB26B3">
        <w:rPr>
          <w:noProof/>
          <w:spacing w:val="-6"/>
          <w:lang w:val="sk-SK"/>
        </w:rPr>
        <w:t>emisii úverov prijímajú finanční sprostredkovatelia</w:t>
      </w:r>
      <w:r w:rsidR="00AB26B3" w:rsidRPr="00AB26B3">
        <w:rPr>
          <w:noProof/>
          <w:spacing w:val="-6"/>
          <w:lang w:val="sk-SK"/>
        </w:rPr>
        <w:t xml:space="preserve"> v </w:t>
      </w:r>
      <w:r w:rsidRPr="00AB26B3">
        <w:rPr>
          <w:noProof/>
          <w:spacing w:val="-6"/>
          <w:lang w:val="sk-SK"/>
        </w:rPr>
        <w:t>súlade so svojimi politikami</w:t>
      </w:r>
      <w:r w:rsidR="00AB26B3" w:rsidRPr="00AB26B3">
        <w:rPr>
          <w:noProof/>
          <w:spacing w:val="-6"/>
          <w:lang w:val="sk-SK"/>
        </w:rPr>
        <w:t xml:space="preserve"> a </w:t>
      </w:r>
      <w:r w:rsidRPr="00AB26B3">
        <w:rPr>
          <w:noProof/>
          <w:spacing w:val="-6"/>
          <w:lang w:val="sk-SK"/>
        </w:rPr>
        <w:t>postupmi nezávisle od vlády.</w:t>
      </w:r>
    </w:p>
    <w:p w14:paraId="61348ED8" w14:textId="68CEAC5A" w:rsidR="00AB26B3" w:rsidRPr="00AB26B3" w:rsidRDefault="00D64F26">
      <w:pPr>
        <w:pStyle w:val="P68B1DB1-LegalNumPar221"/>
        <w:numPr>
          <w:ilvl w:val="1"/>
          <w:numId w:val="5"/>
        </w:numPr>
        <w:jc w:val="both"/>
        <w:rPr>
          <w:noProof/>
          <w:spacing w:val="-6"/>
          <w:lang w:val="sk-SK"/>
        </w:rPr>
      </w:pPr>
      <w:r w:rsidRPr="00AB26B3">
        <w:rPr>
          <w:noProof/>
          <w:spacing w:val="-6"/>
          <w:lang w:val="sk-SK"/>
        </w:rPr>
        <w:t xml:space="preserve">Povinnosť finančných sprostredkovateľov prijímať rozhodnutia </w:t>
      </w:r>
      <w:r w:rsidRPr="00AB26B3">
        <w:rPr>
          <w:i/>
          <w:noProof/>
          <w:spacing w:val="-6"/>
          <w:lang w:val="sk-SK"/>
        </w:rPr>
        <w:t>mutatis mutandis</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požiadavkami investičnej politiky uvedenými vyššie</w:t>
      </w:r>
      <w:r w:rsidR="00AB26B3" w:rsidRPr="00AB26B3">
        <w:rPr>
          <w:noProof/>
          <w:spacing w:val="-6"/>
          <w:lang w:val="sk-SK"/>
        </w:rPr>
        <w:t>.</w:t>
      </w:r>
    </w:p>
    <w:p w14:paraId="5DA188F4" w14:textId="5947D152" w:rsidR="00302FC1" w:rsidRPr="00AB26B3" w:rsidRDefault="00D64F26">
      <w:pPr>
        <w:pStyle w:val="P68B1DB1-LegalNumPar221"/>
        <w:numPr>
          <w:ilvl w:val="1"/>
          <w:numId w:val="5"/>
        </w:numPr>
        <w:jc w:val="both"/>
        <w:rPr>
          <w:noProof/>
          <w:spacing w:val="-6"/>
          <w:lang w:val="sk-SK"/>
        </w:rPr>
      </w:pPr>
      <w:r w:rsidRPr="00AB26B3">
        <w:rPr>
          <w:noProof/>
          <w:spacing w:val="-6"/>
          <w:lang w:val="sk-SK"/>
        </w:rPr>
        <w:t>Požiadavky na monitorovanie, audit</w:t>
      </w:r>
      <w:r w:rsidR="00AB26B3" w:rsidRPr="00AB26B3">
        <w:rPr>
          <w:noProof/>
          <w:spacing w:val="-6"/>
          <w:lang w:val="sk-SK"/>
        </w:rPr>
        <w:t xml:space="preserve"> a </w:t>
      </w:r>
      <w:r w:rsidRPr="00AB26B3">
        <w:rPr>
          <w:noProof/>
          <w:spacing w:val="-6"/>
          <w:lang w:val="sk-SK"/>
        </w:rPr>
        <w:t>kontrolu finančných sprostredkovateľov vrátane:</w:t>
      </w:r>
    </w:p>
    <w:p w14:paraId="190FEBF5" w14:textId="2007863B" w:rsidR="00302FC1" w:rsidRPr="00AB26B3" w:rsidRDefault="00D64F26">
      <w:pPr>
        <w:pStyle w:val="P68B1DB1-LegalNumPar221"/>
        <w:numPr>
          <w:ilvl w:val="2"/>
          <w:numId w:val="6"/>
        </w:numPr>
        <w:jc w:val="both"/>
        <w:rPr>
          <w:noProof/>
          <w:spacing w:val="-6"/>
          <w:lang w:val="sk-SK"/>
        </w:rPr>
      </w:pPr>
      <w:r w:rsidRPr="00AB26B3">
        <w:rPr>
          <w:noProof/>
          <w:spacing w:val="-6"/>
          <w:lang w:val="sk-SK"/>
        </w:rPr>
        <w:t>Opis systému monitorovania finančných sprostredkovateľov na podávanie správ</w:t>
      </w:r>
      <w:r w:rsidR="00AB26B3" w:rsidRPr="00AB26B3">
        <w:rPr>
          <w:noProof/>
          <w:spacing w:val="-6"/>
          <w:lang w:val="sk-SK"/>
        </w:rPr>
        <w:t xml:space="preserve"> o </w:t>
      </w:r>
      <w:r w:rsidRPr="00AB26B3">
        <w:rPr>
          <w:noProof/>
          <w:spacing w:val="-6"/>
          <w:lang w:val="sk-SK"/>
        </w:rPr>
        <w:t>mobilizovaných investíciách.</w:t>
      </w:r>
    </w:p>
    <w:p w14:paraId="45DAB13C" w14:textId="3C7FB400" w:rsidR="00AB26B3" w:rsidRPr="00AB26B3" w:rsidRDefault="00D64F26">
      <w:pPr>
        <w:pStyle w:val="P68B1DB1-LegalNumPar221"/>
        <w:numPr>
          <w:ilvl w:val="2"/>
          <w:numId w:val="6"/>
        </w:numPr>
        <w:jc w:val="both"/>
        <w:rPr>
          <w:noProof/>
          <w:spacing w:val="-6"/>
          <w:lang w:val="sk-SK"/>
        </w:rPr>
      </w:pPr>
      <w:r w:rsidRPr="00AB26B3">
        <w:rPr>
          <w:noProof/>
          <w:spacing w:val="-6"/>
          <w:lang w:val="sk-SK"/>
        </w:rPr>
        <w:t>Opis postupov finančných sprostredkovateľov, ktorými sa zabezpečí predchádzanie podvodom, korupcii</w:t>
      </w:r>
      <w:r w:rsidR="00AB26B3" w:rsidRPr="00AB26B3">
        <w:rPr>
          <w:noProof/>
          <w:spacing w:val="-6"/>
          <w:lang w:val="sk-SK"/>
        </w:rPr>
        <w:t xml:space="preserve"> a </w:t>
      </w:r>
      <w:r w:rsidRPr="00AB26B3">
        <w:rPr>
          <w:noProof/>
          <w:spacing w:val="-6"/>
          <w:lang w:val="sk-SK"/>
        </w:rPr>
        <w:t>konfliktom záujmov, ich odhaľovanie</w:t>
      </w:r>
      <w:r w:rsidR="00AB26B3" w:rsidRPr="00AB26B3">
        <w:rPr>
          <w:noProof/>
          <w:spacing w:val="-6"/>
          <w:lang w:val="sk-SK"/>
        </w:rPr>
        <w:t xml:space="preserve"> a </w:t>
      </w:r>
      <w:r w:rsidRPr="00AB26B3">
        <w:rPr>
          <w:noProof/>
          <w:spacing w:val="-6"/>
          <w:lang w:val="sk-SK"/>
        </w:rPr>
        <w:t>náprava</w:t>
      </w:r>
      <w:r w:rsidR="00AB26B3" w:rsidRPr="00AB26B3">
        <w:rPr>
          <w:noProof/>
          <w:spacing w:val="-6"/>
          <w:lang w:val="sk-SK"/>
        </w:rPr>
        <w:t>.</w:t>
      </w:r>
    </w:p>
    <w:p w14:paraId="17EF4147" w14:textId="1121EA27" w:rsidR="00302FC1" w:rsidRPr="00AB26B3" w:rsidRDefault="00D64F26">
      <w:pPr>
        <w:pStyle w:val="P68B1DB1-LegalNumPar221"/>
        <w:numPr>
          <w:ilvl w:val="2"/>
          <w:numId w:val="6"/>
        </w:numPr>
        <w:jc w:val="both"/>
        <w:rPr>
          <w:noProof/>
          <w:spacing w:val="-6"/>
          <w:lang w:val="sk-SK"/>
        </w:rPr>
      </w:pPr>
      <w:r w:rsidRPr="00AB26B3">
        <w:rPr>
          <w:noProof/>
          <w:spacing w:val="-6"/>
          <w:lang w:val="sk-SK"/>
        </w:rPr>
        <w:t>Povinnosť overiť oprávnenosť každej operácie</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požiadavkami stanovenými vo vykonávacej dohode pred tým, ako sa zaviaže financovať operáciu.</w:t>
      </w:r>
    </w:p>
    <w:p w14:paraId="0F3D51E9" w14:textId="302E5C6C" w:rsidR="00AB26B3" w:rsidRPr="00AB26B3" w:rsidRDefault="00D64F26">
      <w:pPr>
        <w:pStyle w:val="P68B1DB1-LegalNumPar221"/>
        <w:numPr>
          <w:ilvl w:val="2"/>
          <w:numId w:val="6"/>
        </w:numPr>
        <w:jc w:val="both"/>
        <w:rPr>
          <w:noProof/>
          <w:spacing w:val="-6"/>
          <w:lang w:val="sk-SK"/>
        </w:rPr>
      </w:pPr>
      <w:r w:rsidRPr="00AB26B3">
        <w:rPr>
          <w:noProof/>
          <w:spacing w:val="-6"/>
          <w:lang w:val="sk-SK"/>
        </w:rPr>
        <w:t>Povinnosť vykonávať ex post audity založené na riziku</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plánom auditov finančných sprostredkovateľov. Týmito auditmi sa overuje: I) či sú systémy kontroly účinné vrátane odhaľovania podvodov, korupcie</w:t>
      </w:r>
      <w:r w:rsidR="00AB26B3" w:rsidRPr="00AB26B3">
        <w:rPr>
          <w:noProof/>
          <w:spacing w:val="-6"/>
          <w:lang w:val="sk-SK"/>
        </w:rPr>
        <w:t xml:space="preserve"> a </w:t>
      </w:r>
      <w:r w:rsidRPr="00AB26B3">
        <w:rPr>
          <w:noProof/>
          <w:spacing w:val="-6"/>
          <w:lang w:val="sk-SK"/>
        </w:rPr>
        <w:t>konfliktu záujmov; II) súlad</w:t>
      </w:r>
      <w:r w:rsidR="00AB26B3" w:rsidRPr="00AB26B3">
        <w:rPr>
          <w:noProof/>
          <w:spacing w:val="-6"/>
          <w:lang w:val="sk-SK"/>
        </w:rPr>
        <w:t xml:space="preserve"> s </w:t>
      </w:r>
      <w:r w:rsidRPr="00AB26B3">
        <w:rPr>
          <w:noProof/>
          <w:spacing w:val="-6"/>
          <w:lang w:val="sk-SK"/>
        </w:rPr>
        <w:t>požiadavkami týkajúcimi sa cieľov</w:t>
      </w:r>
      <w:r w:rsidR="00AB26B3" w:rsidRPr="00AB26B3">
        <w:rPr>
          <w:noProof/>
          <w:spacing w:val="-6"/>
          <w:lang w:val="sk-SK"/>
        </w:rPr>
        <w:t xml:space="preserve"> v </w:t>
      </w:r>
      <w:r w:rsidRPr="00AB26B3">
        <w:rPr>
          <w:noProof/>
          <w:spacing w:val="-6"/>
          <w:lang w:val="sk-SK"/>
        </w:rPr>
        <w:t>oblasti klímy;</w:t>
      </w:r>
      <w:r w:rsidR="00AB26B3" w:rsidRPr="00AB26B3">
        <w:rPr>
          <w:noProof/>
          <w:spacing w:val="-6"/>
          <w:lang w:val="sk-SK"/>
        </w:rPr>
        <w:t xml:space="preserve"> a </w:t>
      </w:r>
      <w:r w:rsidRPr="00AB26B3">
        <w:rPr>
          <w:noProof/>
          <w:spacing w:val="-6"/>
          <w:lang w:val="sk-SK"/>
        </w:rPr>
        <w:t>iii) aby sa dodržala požiadavka, aby koneční príjemcovia nástroja nedostali podporu</w:t>
      </w:r>
      <w:r w:rsidR="00AB26B3" w:rsidRPr="00AB26B3">
        <w:rPr>
          <w:noProof/>
          <w:spacing w:val="-6"/>
          <w:lang w:val="sk-SK"/>
        </w:rPr>
        <w:t xml:space="preserve"> z </w:t>
      </w:r>
      <w:r w:rsidRPr="00AB26B3">
        <w:rPr>
          <w:noProof/>
          <w:spacing w:val="-6"/>
          <w:lang w:val="sk-SK"/>
        </w:rPr>
        <w:t>iných nástrojov Únie na pokrytie rovnakých nákladov. Auditmi sa takisto overuje zákonnosť transakcií</w:t>
      </w:r>
      <w:r w:rsidR="00AB26B3" w:rsidRPr="00AB26B3">
        <w:rPr>
          <w:noProof/>
          <w:spacing w:val="-6"/>
          <w:lang w:val="sk-SK"/>
        </w:rPr>
        <w:t xml:space="preserve"> a </w:t>
      </w:r>
      <w:r w:rsidRPr="00AB26B3">
        <w:rPr>
          <w:noProof/>
          <w:spacing w:val="-6"/>
          <w:lang w:val="sk-SK"/>
        </w:rPr>
        <w:t>dodržiavanie podmienok platných dohôd</w:t>
      </w:r>
      <w:r w:rsidR="00AB26B3" w:rsidRPr="00AB26B3">
        <w:rPr>
          <w:noProof/>
          <w:spacing w:val="-6"/>
          <w:lang w:val="sk-SK"/>
        </w:rPr>
        <w:t>.</w:t>
      </w:r>
    </w:p>
    <w:p w14:paraId="4ED8BAC6" w14:textId="06384769" w:rsidR="00302FC1" w:rsidRPr="00AB26B3" w:rsidRDefault="00D64F26">
      <w:pPr>
        <w:pStyle w:val="LegalNumPar"/>
        <w:jc w:val="both"/>
        <w:rPr>
          <w:rFonts w:ascii="Times New Roman" w:hAnsi="Times New Roman" w:cs="Times New Roman"/>
          <w:noProof/>
          <w:spacing w:val="-6"/>
          <w:sz w:val="24"/>
          <w:szCs w:val="24"/>
          <w:lang w:val="sk-SK"/>
        </w:rPr>
      </w:pPr>
      <w:r w:rsidRPr="00AB26B3">
        <w:rPr>
          <w:rStyle w:val="normaltextrun"/>
          <w:rFonts w:ascii="Times New Roman" w:hAnsi="Times New Roman" w:cs="Times New Roman"/>
          <w:noProof/>
          <w:spacing w:val="-6"/>
          <w:sz w:val="24"/>
          <w:szCs w:val="24"/>
          <w:lang w:val="sk-SK"/>
        </w:rPr>
        <w:t>Požiadavky na investície</w:t>
      </w:r>
      <w:r w:rsidR="00AB26B3" w:rsidRPr="00AB26B3">
        <w:rPr>
          <w:rStyle w:val="normaltextrun"/>
          <w:rFonts w:ascii="Times New Roman" w:hAnsi="Times New Roman" w:cs="Times New Roman"/>
          <w:noProof/>
          <w:spacing w:val="-6"/>
          <w:sz w:val="24"/>
          <w:szCs w:val="24"/>
          <w:lang w:val="sk-SK"/>
        </w:rPr>
        <w:t xml:space="preserve"> v </w:t>
      </w:r>
      <w:r w:rsidRPr="00AB26B3">
        <w:rPr>
          <w:rStyle w:val="normaltextrun"/>
          <w:rFonts w:ascii="Times New Roman" w:hAnsi="Times New Roman" w:cs="Times New Roman"/>
          <w:noProof/>
          <w:spacing w:val="-6"/>
          <w:sz w:val="24"/>
          <w:szCs w:val="24"/>
          <w:lang w:val="sk-SK"/>
        </w:rPr>
        <w:t>oblasti klímy vykonávané implementujúcim partnerom: najmenej 24 miliónov EUR</w:t>
      </w:r>
      <w:r w:rsidR="00AB26B3" w:rsidRPr="00AB26B3">
        <w:rPr>
          <w:rStyle w:val="normaltextrun"/>
          <w:rFonts w:ascii="Times New Roman" w:hAnsi="Times New Roman" w:cs="Times New Roman"/>
          <w:noProof/>
          <w:spacing w:val="-6"/>
          <w:sz w:val="24"/>
          <w:szCs w:val="24"/>
          <w:lang w:val="sk-SK"/>
        </w:rPr>
        <w:t xml:space="preserve"> z </w:t>
      </w:r>
      <w:r w:rsidRPr="00AB26B3">
        <w:rPr>
          <w:rStyle w:val="normaltextrun"/>
          <w:rFonts w:ascii="Times New Roman" w:hAnsi="Times New Roman" w:cs="Times New Roman"/>
          <w:noProof/>
          <w:spacing w:val="-6"/>
          <w:sz w:val="24"/>
          <w:szCs w:val="24"/>
          <w:lang w:val="sk-SK"/>
        </w:rPr>
        <w:t>investícií Mechanizmu na podporu obnovy</w:t>
      </w:r>
      <w:r w:rsidR="00AB26B3" w:rsidRPr="00AB26B3">
        <w:rPr>
          <w:rStyle w:val="normaltextrun"/>
          <w:rFonts w:ascii="Times New Roman" w:hAnsi="Times New Roman" w:cs="Times New Roman"/>
          <w:noProof/>
          <w:spacing w:val="-6"/>
          <w:sz w:val="24"/>
          <w:szCs w:val="24"/>
          <w:lang w:val="sk-SK"/>
        </w:rPr>
        <w:t xml:space="preserve"> a </w:t>
      </w:r>
      <w:r w:rsidRPr="00AB26B3">
        <w:rPr>
          <w:rStyle w:val="normaltextrun"/>
          <w:rFonts w:ascii="Times New Roman" w:hAnsi="Times New Roman" w:cs="Times New Roman"/>
          <w:noProof/>
          <w:spacing w:val="-6"/>
          <w:sz w:val="24"/>
          <w:szCs w:val="24"/>
          <w:lang w:val="sk-SK"/>
        </w:rPr>
        <w:t>odolnosti do nástroja „My Home“ prispeje</w:t>
      </w:r>
      <w:r w:rsidR="00AB26B3" w:rsidRPr="00AB26B3">
        <w:rPr>
          <w:rStyle w:val="normaltextrun"/>
          <w:rFonts w:ascii="Times New Roman" w:hAnsi="Times New Roman" w:cs="Times New Roman"/>
          <w:noProof/>
          <w:spacing w:val="-6"/>
          <w:sz w:val="24"/>
          <w:szCs w:val="24"/>
          <w:lang w:val="sk-SK"/>
        </w:rPr>
        <w:t xml:space="preserve"> k </w:t>
      </w:r>
      <w:r w:rsidRPr="00AB26B3">
        <w:rPr>
          <w:rStyle w:val="normaltextrun"/>
          <w:rFonts w:ascii="Times New Roman" w:hAnsi="Times New Roman" w:cs="Times New Roman"/>
          <w:noProof/>
          <w:spacing w:val="-6"/>
          <w:sz w:val="24"/>
          <w:szCs w:val="24"/>
          <w:lang w:val="sk-SK"/>
        </w:rPr>
        <w:t>cieľom</w:t>
      </w:r>
      <w:r w:rsidR="00AB26B3" w:rsidRPr="00AB26B3">
        <w:rPr>
          <w:rStyle w:val="normaltextrun"/>
          <w:rFonts w:ascii="Times New Roman" w:hAnsi="Times New Roman" w:cs="Times New Roman"/>
          <w:noProof/>
          <w:spacing w:val="-6"/>
          <w:sz w:val="24"/>
          <w:szCs w:val="24"/>
          <w:lang w:val="sk-SK"/>
        </w:rPr>
        <w:t xml:space="preserve"> v </w:t>
      </w:r>
      <w:r w:rsidRPr="00AB26B3">
        <w:rPr>
          <w:rStyle w:val="normaltextrun"/>
          <w:rFonts w:ascii="Times New Roman" w:hAnsi="Times New Roman" w:cs="Times New Roman"/>
          <w:noProof/>
          <w:spacing w:val="-6"/>
          <w:sz w:val="24"/>
          <w:szCs w:val="24"/>
          <w:lang w:val="sk-SK"/>
        </w:rPr>
        <w:t>oblasti zmeny klímy</w:t>
      </w:r>
      <w:r w:rsidR="00AB26B3" w:rsidRPr="00AB26B3">
        <w:rPr>
          <w:rStyle w:val="normaltextrun"/>
          <w:rFonts w:ascii="Times New Roman" w:hAnsi="Times New Roman" w:cs="Times New Roman"/>
          <w:noProof/>
          <w:spacing w:val="-6"/>
          <w:sz w:val="24"/>
          <w:szCs w:val="24"/>
          <w:lang w:val="sk-SK"/>
        </w:rPr>
        <w:t xml:space="preserve"> v </w:t>
      </w:r>
      <w:r w:rsidRPr="00AB26B3">
        <w:rPr>
          <w:rStyle w:val="normaltextrun"/>
          <w:rFonts w:ascii="Times New Roman" w:hAnsi="Times New Roman" w:cs="Times New Roman"/>
          <w:noProof/>
          <w:spacing w:val="-6"/>
          <w:sz w:val="24"/>
          <w:szCs w:val="24"/>
          <w:lang w:val="sk-SK"/>
        </w:rPr>
        <w:t>súlade</w:t>
      </w:r>
      <w:r w:rsidR="00AB26B3" w:rsidRPr="00AB26B3">
        <w:rPr>
          <w:rStyle w:val="normaltextrun"/>
          <w:rFonts w:ascii="Times New Roman" w:hAnsi="Times New Roman" w:cs="Times New Roman"/>
          <w:noProof/>
          <w:spacing w:val="-6"/>
          <w:sz w:val="24"/>
          <w:szCs w:val="24"/>
          <w:lang w:val="sk-SK"/>
        </w:rPr>
        <w:t xml:space="preserve"> s </w:t>
      </w:r>
      <w:r w:rsidRPr="00AB26B3">
        <w:rPr>
          <w:rStyle w:val="normaltextrun"/>
          <w:rFonts w:ascii="Times New Roman" w:hAnsi="Times New Roman" w:cs="Times New Roman"/>
          <w:noProof/>
          <w:spacing w:val="-6"/>
          <w:sz w:val="24"/>
          <w:szCs w:val="24"/>
          <w:lang w:val="sk-SK"/>
        </w:rPr>
        <w:t>prílohou VI</w:t>
      </w:r>
      <w:r w:rsidR="00AB26B3" w:rsidRPr="00AB26B3">
        <w:rPr>
          <w:rStyle w:val="normaltextrun"/>
          <w:rFonts w:ascii="Times New Roman" w:hAnsi="Times New Roman" w:cs="Times New Roman"/>
          <w:noProof/>
          <w:spacing w:val="-6"/>
          <w:sz w:val="24"/>
          <w:szCs w:val="24"/>
          <w:lang w:val="sk-SK"/>
        </w:rPr>
        <w:t xml:space="preserve"> k </w:t>
      </w:r>
      <w:r w:rsidRPr="00AB26B3">
        <w:rPr>
          <w:rStyle w:val="normaltextrun"/>
          <w:rFonts w:ascii="Times New Roman" w:hAnsi="Times New Roman" w:cs="Times New Roman"/>
          <w:noProof/>
          <w:spacing w:val="-6"/>
          <w:sz w:val="24"/>
          <w:szCs w:val="24"/>
          <w:lang w:val="sk-SK"/>
        </w:rPr>
        <w:t>nariadeniu</w:t>
      </w:r>
      <w:r w:rsidR="00AB26B3" w:rsidRPr="00AB26B3">
        <w:rPr>
          <w:rStyle w:val="normaltextrun"/>
          <w:rFonts w:ascii="Times New Roman" w:hAnsi="Times New Roman" w:cs="Times New Roman"/>
          <w:noProof/>
          <w:spacing w:val="-6"/>
          <w:sz w:val="24"/>
          <w:szCs w:val="24"/>
          <w:lang w:val="sk-SK"/>
        </w:rPr>
        <w:t xml:space="preserve"> o </w:t>
      </w:r>
      <w:r w:rsidRPr="00AB26B3">
        <w:rPr>
          <w:rStyle w:val="normaltextrun"/>
          <w:rFonts w:ascii="Times New Roman" w:hAnsi="Times New Roman" w:cs="Times New Roman"/>
          <w:noProof/>
          <w:spacing w:val="-6"/>
          <w:sz w:val="24"/>
          <w:szCs w:val="24"/>
          <w:lang w:val="sk-SK"/>
        </w:rPr>
        <w:t>Mechanizme na podporu obnovy</w:t>
      </w:r>
      <w:r w:rsidR="00AB26B3" w:rsidRPr="00AB26B3">
        <w:rPr>
          <w:rStyle w:val="normaltextrun"/>
          <w:rFonts w:ascii="Times New Roman" w:hAnsi="Times New Roman" w:cs="Times New Roman"/>
          <w:noProof/>
          <w:spacing w:val="-6"/>
          <w:sz w:val="24"/>
          <w:szCs w:val="24"/>
          <w:lang w:val="sk-SK"/>
        </w:rPr>
        <w:t xml:space="preserve"> a </w:t>
      </w:r>
      <w:r w:rsidRPr="00AB26B3">
        <w:rPr>
          <w:rStyle w:val="normaltextrun"/>
          <w:rFonts w:ascii="Times New Roman" w:hAnsi="Times New Roman" w:cs="Times New Roman"/>
          <w:noProof/>
          <w:spacing w:val="-6"/>
          <w:sz w:val="24"/>
          <w:szCs w:val="24"/>
          <w:lang w:val="sk-SK"/>
        </w:rPr>
        <w:t>odolnosti</w:t>
      </w:r>
      <w:r w:rsidRPr="00AB26B3">
        <w:rPr>
          <w:rStyle w:val="FootnoteReference"/>
          <w:rFonts w:ascii="Times New Roman" w:hAnsi="Times New Roman" w:cs="Times New Roman"/>
          <w:noProof/>
          <w:spacing w:val="-6"/>
          <w:szCs w:val="24"/>
          <w:lang w:val="sk-SK"/>
        </w:rPr>
        <w:footnoteReference w:id="2"/>
      </w:r>
      <w:r w:rsidRPr="00AB26B3">
        <w:rPr>
          <w:rFonts w:ascii="Times New Roman" w:hAnsi="Times New Roman" w:cs="Times New Roman"/>
          <w:noProof/>
          <w:spacing w:val="-6"/>
          <w:sz w:val="24"/>
          <w:szCs w:val="24"/>
          <w:lang w:val="sk-SK"/>
        </w:rPr>
        <w:t>.</w:t>
      </w:r>
    </w:p>
    <w:p w14:paraId="6B821059" w14:textId="77777777" w:rsidR="00302FC1" w:rsidRPr="00AB26B3" w:rsidRDefault="00302FC1">
      <w:pPr>
        <w:spacing w:after="160" w:line="259" w:lineRule="auto"/>
        <w:ind w:left="709"/>
        <w:contextualSpacing/>
        <w:jc w:val="both"/>
        <w:rPr>
          <w:rFonts w:ascii="Times New Roman" w:hAnsi="Times New Roman"/>
          <w:noProof/>
          <w:spacing w:val="-6"/>
          <w:lang w:val="sk-SK"/>
        </w:rPr>
      </w:pPr>
    </w:p>
    <w:p w14:paraId="77BA1F0A" w14:textId="77777777" w:rsidR="00302FC1" w:rsidRPr="00AB26B3" w:rsidRDefault="00302FC1">
      <w:pPr>
        <w:spacing w:after="160" w:line="259" w:lineRule="auto"/>
        <w:ind w:left="709"/>
        <w:contextualSpacing/>
        <w:jc w:val="both"/>
        <w:rPr>
          <w:rFonts w:ascii="Times New Roman" w:hAnsi="Times New Roman"/>
          <w:noProof/>
          <w:spacing w:val="-6"/>
          <w:lang w:val="sk-SK"/>
        </w:rPr>
        <w:sectPr w:rsidR="00302FC1" w:rsidRPr="00AB26B3" w:rsidSect="00315FC0">
          <w:headerReference w:type="even" r:id="rId58"/>
          <w:headerReference w:type="default" r:id="rId59"/>
          <w:footerReference w:type="even" r:id="rId60"/>
          <w:footerReference w:type="default" r:id="rId61"/>
          <w:headerReference w:type="first" r:id="rId62"/>
          <w:footerReference w:type="first" r:id="rId63"/>
          <w:pgSz w:w="11907" w:h="16839"/>
          <w:pgMar w:top="1134" w:right="1417" w:bottom="1134" w:left="1417" w:header="709" w:footer="326" w:gutter="0"/>
          <w:cols w:space="720"/>
          <w:docGrid w:linePitch="360"/>
        </w:sectPr>
      </w:pPr>
    </w:p>
    <w:p w14:paraId="0AF129C5" w14:textId="77777777" w:rsidR="00AB26B3" w:rsidRPr="00AB26B3" w:rsidRDefault="00D64F26">
      <w:pPr>
        <w:pStyle w:val="P68B1DB1-Normal6"/>
        <w:spacing w:before="120" w:after="120" w:line="240" w:lineRule="auto"/>
        <w:jc w:val="both"/>
        <w:rPr>
          <w:noProof/>
          <w:spacing w:val="-6"/>
          <w:lang w:val="sk-SK"/>
        </w:rPr>
      </w:pPr>
      <w:r w:rsidRPr="00AB26B3">
        <w:rPr>
          <w:noProof/>
          <w:spacing w:val="-6"/>
          <w:lang w:val="sk-SK"/>
        </w:rPr>
        <w:t>B.4.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w:t>
      </w:r>
      <w:r w:rsidR="00AB26B3" w:rsidRPr="00AB26B3">
        <w:rPr>
          <w:noProof/>
          <w:spacing w:val="-6"/>
          <w:lang w:val="sk-SK"/>
        </w:rPr>
        <w:t xml:space="preserve"> v </w:t>
      </w:r>
      <w:r w:rsidRPr="00AB26B3">
        <w:rPr>
          <w:noProof/>
          <w:spacing w:val="-6"/>
          <w:lang w:val="sk-SK"/>
        </w:rPr>
        <w:t>súvislosti</w:t>
      </w:r>
      <w:r w:rsidR="00AB26B3" w:rsidRPr="00AB26B3">
        <w:rPr>
          <w:noProof/>
          <w:spacing w:val="-6"/>
          <w:lang w:val="sk-SK"/>
        </w:rPr>
        <w:t xml:space="preserve"> s </w:t>
      </w:r>
      <w:r w:rsidRPr="00AB26B3">
        <w:rPr>
          <w:noProof/>
          <w:spacing w:val="-6"/>
          <w:lang w:val="sk-SK"/>
        </w:rPr>
        <w:t>úverom</w:t>
      </w:r>
    </w:p>
    <w:p w14:paraId="1F287652" w14:textId="14B55100" w:rsidR="00302FC1" w:rsidRPr="00AB26B3" w:rsidRDefault="00D64F26">
      <w:pPr>
        <w:pStyle w:val="P68B1DB1-Normal9"/>
        <w:keepNext/>
        <w:keepLines/>
        <w:spacing w:before="40" w:after="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Program energetickej modernizácie „Môj domov“ (16401)</w:t>
      </w:r>
    </w:p>
    <w:tbl>
      <w:tblPr>
        <w:tblW w:w="1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945"/>
        <w:gridCol w:w="1134"/>
        <w:gridCol w:w="1276"/>
        <w:gridCol w:w="1278"/>
        <w:gridCol w:w="1200"/>
        <w:gridCol w:w="1080"/>
        <w:gridCol w:w="720"/>
        <w:gridCol w:w="960"/>
        <w:gridCol w:w="840"/>
        <w:gridCol w:w="4848"/>
      </w:tblGrid>
      <w:tr w:rsidR="00302FC1" w:rsidRPr="00AB26B3" w14:paraId="5CAF220F" w14:textId="77777777">
        <w:trPr>
          <w:trHeight w:val="810"/>
          <w:tblHeader/>
          <w:jc w:val="center"/>
        </w:trPr>
        <w:tc>
          <w:tcPr>
            <w:tcW w:w="602" w:type="dxa"/>
            <w:vMerge w:val="restart"/>
            <w:shd w:val="clear" w:color="auto" w:fill="BDD7EE"/>
            <w:vAlign w:val="center"/>
            <w:hideMark/>
          </w:tcPr>
          <w:p w14:paraId="6E4FF9C2" w14:textId="68E923A0" w:rsidR="00302FC1" w:rsidRPr="00AB26B3" w:rsidRDefault="00D64F26">
            <w:pPr>
              <w:pStyle w:val="P68B1DB1-Normal18"/>
              <w:spacing w:after="0" w:line="240" w:lineRule="auto"/>
              <w:jc w:val="center"/>
              <w:rPr>
                <w:rFonts w:ascii="Times New Roman" w:eastAsia="Times New Roman" w:hAnsi="Times New Roman" w:cs="Times New Roman"/>
                <w:noProof/>
                <w:spacing w:val="-6"/>
                <w:szCs w:val="18"/>
                <w:lang w:val="sk-SK"/>
              </w:rPr>
            </w:pPr>
            <w:r w:rsidRPr="00AB26B3">
              <w:rPr>
                <w:rFonts w:ascii="Times New Roman" w:hAnsi="Times New Roman"/>
                <w:noProof/>
                <w:spacing w:val="-6"/>
                <w:lang w:val="sk-SK"/>
              </w:rPr>
              <w:t>A nasl.</w:t>
            </w:r>
            <w:r w:rsidRPr="00AB26B3">
              <w:rPr>
                <w:rFonts w:ascii="Times New Roman" w:hAnsi="Times New Roman"/>
                <w:noProof/>
                <w:spacing w:val="-6"/>
                <w:lang w:val="sk-SK"/>
              </w:rPr>
              <w:br/>
              <w:t>Nie</w:t>
            </w:r>
            <w:r w:rsidRPr="00AB26B3">
              <w:rPr>
                <w:rFonts w:ascii="Times New Roman" w:hAnsi="Times New Roman" w:cs="Times New Roman"/>
                <w:noProof/>
                <w:spacing w:val="-6"/>
                <w:szCs w:val="18"/>
                <w:lang w:val="sk-SK"/>
              </w:rPr>
              <w:t>.</w:t>
            </w:r>
          </w:p>
        </w:tc>
        <w:tc>
          <w:tcPr>
            <w:tcW w:w="1945" w:type="dxa"/>
            <w:vMerge w:val="restart"/>
            <w:shd w:val="clear" w:color="auto" w:fill="BDD7EE"/>
            <w:vAlign w:val="center"/>
            <w:hideMark/>
          </w:tcPr>
          <w:p w14:paraId="0D2D7CBE"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Súvisiace opatrenie (reforma alebo investícia)</w:t>
            </w:r>
          </w:p>
        </w:tc>
        <w:tc>
          <w:tcPr>
            <w:tcW w:w="1134" w:type="dxa"/>
            <w:vMerge w:val="restart"/>
            <w:shd w:val="clear" w:color="auto" w:fill="BDD7EE"/>
            <w:vAlign w:val="center"/>
            <w:hideMark/>
          </w:tcPr>
          <w:p w14:paraId="251742D7"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Míľnik/cieľ</w:t>
            </w:r>
          </w:p>
        </w:tc>
        <w:tc>
          <w:tcPr>
            <w:tcW w:w="1276" w:type="dxa"/>
            <w:vMerge w:val="restart"/>
            <w:shd w:val="clear" w:color="auto" w:fill="BDD7EE"/>
            <w:vAlign w:val="center"/>
            <w:hideMark/>
          </w:tcPr>
          <w:p w14:paraId="086C0654"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Názov</w:t>
            </w:r>
          </w:p>
        </w:tc>
        <w:tc>
          <w:tcPr>
            <w:tcW w:w="1278" w:type="dxa"/>
            <w:vMerge w:val="restart"/>
            <w:shd w:val="clear" w:color="auto" w:fill="BDD7EE"/>
            <w:vAlign w:val="center"/>
            <w:hideMark/>
          </w:tcPr>
          <w:p w14:paraId="333B7E49" w14:textId="4BCA4D52"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Kvalitatívne ukazovatele (pre míľniky)</w:t>
            </w:r>
          </w:p>
        </w:tc>
        <w:tc>
          <w:tcPr>
            <w:tcW w:w="3000" w:type="dxa"/>
            <w:gridSpan w:val="3"/>
            <w:shd w:val="clear" w:color="auto" w:fill="BDD7EE"/>
            <w:vAlign w:val="center"/>
            <w:hideMark/>
          </w:tcPr>
          <w:p w14:paraId="0C689216" w14:textId="2B05314F"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Kvantitatívne ukazovatele (pre ciele)</w:t>
            </w:r>
          </w:p>
        </w:tc>
        <w:tc>
          <w:tcPr>
            <w:tcW w:w="1800" w:type="dxa"/>
            <w:gridSpan w:val="2"/>
            <w:shd w:val="clear" w:color="auto" w:fill="BDD7EE"/>
            <w:vAlign w:val="center"/>
            <w:hideMark/>
          </w:tcPr>
          <w:p w14:paraId="22B9081F"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Orientačný harmonogram dokončenia</w:t>
            </w:r>
          </w:p>
        </w:tc>
        <w:tc>
          <w:tcPr>
            <w:tcW w:w="4848" w:type="dxa"/>
            <w:vMerge w:val="restart"/>
            <w:shd w:val="clear" w:color="auto" w:fill="BDD7EE"/>
            <w:vAlign w:val="center"/>
            <w:hideMark/>
          </w:tcPr>
          <w:p w14:paraId="2F795498" w14:textId="60D75399"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D233979" w14:textId="77777777">
        <w:trPr>
          <w:trHeight w:val="581"/>
          <w:tblHeader/>
          <w:jc w:val="center"/>
        </w:trPr>
        <w:tc>
          <w:tcPr>
            <w:tcW w:w="602" w:type="dxa"/>
            <w:vMerge/>
            <w:vAlign w:val="center"/>
            <w:hideMark/>
          </w:tcPr>
          <w:p w14:paraId="45BA874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45" w:type="dxa"/>
            <w:vMerge/>
            <w:vAlign w:val="center"/>
            <w:hideMark/>
          </w:tcPr>
          <w:p w14:paraId="1FE52D0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4" w:type="dxa"/>
            <w:vMerge/>
            <w:vAlign w:val="center"/>
            <w:hideMark/>
          </w:tcPr>
          <w:p w14:paraId="35FD24C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76" w:type="dxa"/>
            <w:vMerge/>
            <w:vAlign w:val="center"/>
            <w:hideMark/>
          </w:tcPr>
          <w:p w14:paraId="4B78F22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78" w:type="dxa"/>
            <w:vMerge/>
            <w:vAlign w:val="center"/>
            <w:hideMark/>
          </w:tcPr>
          <w:p w14:paraId="79EFD3A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0" w:type="dxa"/>
            <w:shd w:val="clear" w:color="auto" w:fill="BDD7EE"/>
            <w:vAlign w:val="center"/>
            <w:hideMark/>
          </w:tcPr>
          <w:p w14:paraId="0096D089"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1080" w:type="dxa"/>
            <w:shd w:val="clear" w:color="auto" w:fill="BDD7EE"/>
            <w:vAlign w:val="center"/>
            <w:hideMark/>
          </w:tcPr>
          <w:p w14:paraId="34CAD3C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Základná</w:t>
            </w:r>
          </w:p>
        </w:tc>
        <w:tc>
          <w:tcPr>
            <w:tcW w:w="720" w:type="dxa"/>
            <w:shd w:val="clear" w:color="auto" w:fill="BDD7EE"/>
            <w:vAlign w:val="center"/>
            <w:hideMark/>
          </w:tcPr>
          <w:p w14:paraId="642BB2D1"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Cieľ</w:t>
            </w:r>
          </w:p>
        </w:tc>
        <w:tc>
          <w:tcPr>
            <w:tcW w:w="960" w:type="dxa"/>
            <w:shd w:val="clear" w:color="auto" w:fill="BDD7EE"/>
            <w:vAlign w:val="center"/>
            <w:hideMark/>
          </w:tcPr>
          <w:p w14:paraId="7B77D75F"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840" w:type="dxa"/>
            <w:shd w:val="clear" w:color="auto" w:fill="BDD7EE"/>
            <w:vAlign w:val="center"/>
            <w:hideMark/>
          </w:tcPr>
          <w:p w14:paraId="3F8E5F22"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4848" w:type="dxa"/>
            <w:vMerge/>
            <w:vAlign w:val="center"/>
            <w:hideMark/>
          </w:tcPr>
          <w:p w14:paraId="53E46C7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52A2ACD0" w14:textId="77777777">
        <w:trPr>
          <w:trHeight w:val="314"/>
          <w:jc w:val="center"/>
        </w:trPr>
        <w:tc>
          <w:tcPr>
            <w:tcW w:w="602" w:type="dxa"/>
            <w:shd w:val="clear" w:color="auto" w:fill="C6EFCE"/>
            <w:noWrap/>
          </w:tcPr>
          <w:p w14:paraId="4B60C2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374</w:t>
            </w:r>
          </w:p>
        </w:tc>
        <w:tc>
          <w:tcPr>
            <w:tcW w:w="1945" w:type="dxa"/>
            <w:shd w:val="clear" w:color="auto" w:fill="C6EFCE"/>
            <w:noWrap/>
          </w:tcPr>
          <w:p w14:paraId="5A00761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 1.2. Renovujme – 16401_ Program modernizácie energetiky „Môj domov“</w:t>
            </w:r>
          </w:p>
        </w:tc>
        <w:tc>
          <w:tcPr>
            <w:tcW w:w="1134" w:type="dxa"/>
            <w:shd w:val="clear" w:color="auto" w:fill="C6EFCE"/>
            <w:noWrap/>
          </w:tcPr>
          <w:p w14:paraId="5EBFFBC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76" w:type="dxa"/>
            <w:shd w:val="clear" w:color="auto" w:fill="C6EFCE"/>
            <w:noWrap/>
          </w:tcPr>
          <w:p w14:paraId="062A881E" w14:textId="362E293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môjho domova – vykonávacia dohoda medzi Helénskou rozvojovou bankou</w:t>
            </w:r>
            <w:r w:rsidR="00AB26B3" w:rsidRPr="00AB26B3">
              <w:rPr>
                <w:noProof/>
                <w:spacing w:val="-6"/>
                <w:lang w:val="sk-SK"/>
              </w:rPr>
              <w:t xml:space="preserve"> a </w:t>
            </w:r>
            <w:r w:rsidRPr="00AB26B3">
              <w:rPr>
                <w:noProof/>
                <w:spacing w:val="-6"/>
                <w:lang w:val="sk-SK"/>
              </w:rPr>
              <w:t>ministerstvom financií</w:t>
            </w:r>
          </w:p>
        </w:tc>
        <w:tc>
          <w:tcPr>
            <w:tcW w:w="1278" w:type="dxa"/>
            <w:shd w:val="clear" w:color="auto" w:fill="C6EFCE"/>
            <w:noWrap/>
          </w:tcPr>
          <w:p w14:paraId="28B48851" w14:textId="77777777" w:rsidR="00302FC1" w:rsidRPr="00AB26B3" w:rsidRDefault="00D64F26">
            <w:pPr>
              <w:pStyle w:val="P68B1DB1-Normal12"/>
              <w:spacing w:after="0" w:line="240" w:lineRule="auto"/>
              <w:rPr>
                <w:noProof/>
                <w:spacing w:val="-6"/>
                <w:lang w:val="sk-SK"/>
              </w:rPr>
            </w:pPr>
            <w:r w:rsidRPr="00AB26B3">
              <w:rPr>
                <w:noProof/>
                <w:spacing w:val="-6"/>
                <w:lang w:val="sk-SK"/>
              </w:rPr>
              <w:t>Nadobudnutie platnosti vykonávacej dohody</w:t>
            </w:r>
          </w:p>
        </w:tc>
        <w:tc>
          <w:tcPr>
            <w:tcW w:w="1200" w:type="dxa"/>
            <w:shd w:val="clear" w:color="auto" w:fill="C6EFCE"/>
            <w:noWrap/>
          </w:tcPr>
          <w:p w14:paraId="30DE65B7"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080" w:type="dxa"/>
            <w:shd w:val="clear" w:color="auto" w:fill="C6EFCE"/>
            <w:noWrap/>
          </w:tcPr>
          <w:p w14:paraId="5EF0F299"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720" w:type="dxa"/>
            <w:shd w:val="clear" w:color="auto" w:fill="C6EFCE"/>
            <w:noWrap/>
          </w:tcPr>
          <w:p w14:paraId="5C97BE9B"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60" w:type="dxa"/>
            <w:shd w:val="clear" w:color="auto" w:fill="C6EFCE"/>
            <w:noWrap/>
          </w:tcPr>
          <w:p w14:paraId="44783725"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840" w:type="dxa"/>
            <w:shd w:val="clear" w:color="auto" w:fill="C6EFCE"/>
            <w:noWrap/>
          </w:tcPr>
          <w:p w14:paraId="52E8636D" w14:textId="77777777" w:rsidR="00302FC1" w:rsidRPr="00AB26B3" w:rsidRDefault="00D64F26">
            <w:pPr>
              <w:pStyle w:val="P68B1DB1-Normal12"/>
              <w:spacing w:after="0" w:line="240" w:lineRule="auto"/>
              <w:rPr>
                <w:noProof/>
                <w:spacing w:val="-6"/>
                <w:lang w:val="sk-SK"/>
              </w:rPr>
            </w:pPr>
            <w:r w:rsidRPr="00AB26B3">
              <w:rPr>
                <w:noProof/>
                <w:spacing w:val="-6"/>
                <w:lang w:val="sk-SK"/>
              </w:rPr>
              <w:t>2024</w:t>
            </w:r>
          </w:p>
        </w:tc>
        <w:tc>
          <w:tcPr>
            <w:tcW w:w="4848" w:type="dxa"/>
            <w:shd w:val="clear" w:color="auto" w:fill="C6EFCE"/>
            <w:noWrap/>
          </w:tcPr>
          <w:p w14:paraId="383B3666" w14:textId="77777777" w:rsidR="00302FC1" w:rsidRPr="00AB26B3" w:rsidRDefault="00D64F26">
            <w:pPr>
              <w:pStyle w:val="P68B1DB1-Normal12"/>
              <w:spacing w:after="0" w:line="240" w:lineRule="auto"/>
              <w:rPr>
                <w:noProof/>
                <w:spacing w:val="-6"/>
                <w:lang w:val="sk-SK"/>
              </w:rPr>
            </w:pPr>
            <w:r w:rsidRPr="00AB26B3">
              <w:rPr>
                <w:noProof/>
                <w:spacing w:val="-6"/>
                <w:lang w:val="sk-SK"/>
              </w:rPr>
              <w:t>Nadobudnutie platnosti vykonávacej dohody.</w:t>
            </w:r>
          </w:p>
        </w:tc>
      </w:tr>
      <w:tr w:rsidR="00302FC1" w:rsidRPr="00AB26B3" w14:paraId="6DBCB6C8" w14:textId="77777777">
        <w:trPr>
          <w:trHeight w:val="314"/>
          <w:jc w:val="center"/>
        </w:trPr>
        <w:tc>
          <w:tcPr>
            <w:tcW w:w="602" w:type="dxa"/>
            <w:shd w:val="clear" w:color="auto" w:fill="C6EFCE"/>
            <w:noWrap/>
          </w:tcPr>
          <w:p w14:paraId="45CC8586" w14:textId="77777777" w:rsidR="00302FC1" w:rsidRPr="00AB26B3" w:rsidRDefault="00D64F26">
            <w:pPr>
              <w:pStyle w:val="P68B1DB1-Normal12"/>
              <w:spacing w:after="0" w:line="240" w:lineRule="auto"/>
              <w:rPr>
                <w:noProof/>
                <w:spacing w:val="-6"/>
                <w:lang w:val="sk-SK"/>
              </w:rPr>
            </w:pPr>
            <w:r w:rsidRPr="00AB26B3">
              <w:rPr>
                <w:noProof/>
                <w:spacing w:val="-6"/>
                <w:lang w:val="sk-SK"/>
              </w:rPr>
              <w:t>376</w:t>
            </w:r>
          </w:p>
        </w:tc>
        <w:tc>
          <w:tcPr>
            <w:tcW w:w="1945" w:type="dxa"/>
            <w:shd w:val="clear" w:color="auto" w:fill="C6EFCE"/>
            <w:noWrap/>
          </w:tcPr>
          <w:p w14:paraId="522B36FA" w14:textId="77777777" w:rsidR="00302FC1" w:rsidRPr="00AB26B3" w:rsidRDefault="00D64F26">
            <w:pPr>
              <w:pStyle w:val="P68B1DB1-Normal12"/>
              <w:spacing w:after="0" w:line="240" w:lineRule="auto"/>
              <w:rPr>
                <w:noProof/>
                <w:spacing w:val="-6"/>
                <w:lang w:val="sk-SK"/>
              </w:rPr>
            </w:pPr>
            <w:r w:rsidRPr="00AB26B3">
              <w:rPr>
                <w:noProof/>
                <w:spacing w:val="-6"/>
                <w:lang w:val="sk-SK"/>
              </w:rPr>
              <w:t>2 – 1.2. Renovujme – 16401_ Program modernizácie energetiky „Môj domov“</w:t>
            </w:r>
          </w:p>
        </w:tc>
        <w:tc>
          <w:tcPr>
            <w:tcW w:w="1134" w:type="dxa"/>
            <w:shd w:val="clear" w:color="auto" w:fill="C6EFCE"/>
            <w:noWrap/>
          </w:tcPr>
          <w:p w14:paraId="5EE8F1BB" w14:textId="77777777" w:rsidR="00302FC1" w:rsidRPr="00AB26B3" w:rsidRDefault="00D64F26">
            <w:pPr>
              <w:pStyle w:val="P68B1DB1-Normal24"/>
              <w:spacing w:after="0" w:line="240" w:lineRule="auto"/>
              <w:rPr>
                <w:noProof/>
                <w:spacing w:val="-6"/>
                <w:lang w:val="sk-SK"/>
              </w:rPr>
            </w:pPr>
            <w:r w:rsidRPr="00AB26B3">
              <w:rPr>
                <w:noProof/>
                <w:spacing w:val="-6"/>
                <w:lang w:val="sk-SK"/>
              </w:rPr>
              <w:t>Cieľ</w:t>
            </w:r>
          </w:p>
        </w:tc>
        <w:tc>
          <w:tcPr>
            <w:tcW w:w="1276" w:type="dxa"/>
            <w:shd w:val="clear" w:color="auto" w:fill="C6EFCE"/>
            <w:noWrap/>
          </w:tcPr>
          <w:p w14:paraId="298E75C4" w14:textId="28C927D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môjho domova – právne dohody podpísané</w:t>
            </w:r>
            <w:r w:rsidR="00AB26B3" w:rsidRPr="00AB26B3">
              <w:rPr>
                <w:noProof/>
                <w:spacing w:val="-6"/>
                <w:lang w:val="sk-SK"/>
              </w:rPr>
              <w:t xml:space="preserve"> s </w:t>
            </w:r>
            <w:r w:rsidRPr="00AB26B3">
              <w:rPr>
                <w:noProof/>
                <w:spacing w:val="-6"/>
                <w:lang w:val="sk-SK"/>
              </w:rPr>
              <w:t>konečnými príjemcami – 100</w:t>
            </w:r>
            <w:r w:rsidR="00AB26B3" w:rsidRPr="00AB26B3">
              <w:rPr>
                <w:noProof/>
                <w:spacing w:val="-6"/>
                <w:lang w:val="sk-SK"/>
              </w:rPr>
              <w:t> %</w:t>
            </w:r>
          </w:p>
        </w:tc>
        <w:tc>
          <w:tcPr>
            <w:tcW w:w="1278" w:type="dxa"/>
            <w:shd w:val="clear" w:color="auto" w:fill="C6EFCE"/>
            <w:noWrap/>
          </w:tcPr>
          <w:p w14:paraId="5948AA1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00" w:type="dxa"/>
            <w:shd w:val="clear" w:color="auto" w:fill="C6EFCE"/>
            <w:noWrap/>
          </w:tcPr>
          <w:p w14:paraId="53B1C5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Percentuálny podiel (%)</w:t>
            </w:r>
          </w:p>
        </w:tc>
        <w:tc>
          <w:tcPr>
            <w:tcW w:w="1080" w:type="dxa"/>
            <w:shd w:val="clear" w:color="auto" w:fill="C6EFCE"/>
            <w:noWrap/>
          </w:tcPr>
          <w:p w14:paraId="65E7A3CC" w14:textId="2F264BC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r w:rsidR="00AB26B3" w:rsidRPr="00AB26B3">
              <w:rPr>
                <w:noProof/>
                <w:spacing w:val="-6"/>
                <w:lang w:val="sk-SK"/>
              </w:rPr>
              <w:t> %</w:t>
            </w:r>
          </w:p>
        </w:tc>
        <w:tc>
          <w:tcPr>
            <w:tcW w:w="720" w:type="dxa"/>
            <w:shd w:val="clear" w:color="auto" w:fill="C6EFCE"/>
            <w:noWrap/>
          </w:tcPr>
          <w:p w14:paraId="0283BAA1" w14:textId="6D67A6A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100</w:t>
            </w:r>
            <w:r w:rsidR="00AB26B3" w:rsidRPr="00AB26B3">
              <w:rPr>
                <w:noProof/>
                <w:spacing w:val="-6"/>
                <w:lang w:val="sk-SK"/>
              </w:rPr>
              <w:t> %</w:t>
            </w:r>
          </w:p>
        </w:tc>
        <w:tc>
          <w:tcPr>
            <w:tcW w:w="960" w:type="dxa"/>
            <w:shd w:val="clear" w:color="auto" w:fill="C6EFCE"/>
            <w:noWrap/>
          </w:tcPr>
          <w:p w14:paraId="129B6D1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40" w:type="dxa"/>
            <w:shd w:val="clear" w:color="auto" w:fill="C6EFCE"/>
            <w:noWrap/>
          </w:tcPr>
          <w:p w14:paraId="6FB49A1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2026</w:t>
            </w:r>
          </w:p>
        </w:tc>
        <w:tc>
          <w:tcPr>
            <w:tcW w:w="4848" w:type="dxa"/>
            <w:shd w:val="clear" w:color="auto" w:fill="C6EFCE"/>
            <w:noWrap/>
          </w:tcPr>
          <w:p w14:paraId="070E8942" w14:textId="6E45BCD8" w:rsidR="00AB26B3" w:rsidRPr="00AB26B3" w:rsidRDefault="00D64F26">
            <w:pPr>
              <w:pStyle w:val="P68B1DB1-Normal12"/>
              <w:spacing w:line="240" w:lineRule="auto"/>
              <w:jc w:val="both"/>
              <w:rPr>
                <w:noProof/>
                <w:spacing w:val="-6"/>
                <w:lang w:val="sk-SK"/>
              </w:rPr>
            </w:pPr>
            <w:r w:rsidRPr="00AB26B3">
              <w:rPr>
                <w:noProof/>
                <w:spacing w:val="-6"/>
                <w:lang w:val="sk-SK"/>
              </w:rPr>
              <w:t>Finanční sprostredkovatelia uzatvoria právne dohody</w:t>
            </w:r>
            <w:r w:rsidR="00AB26B3" w:rsidRPr="00AB26B3">
              <w:rPr>
                <w:noProof/>
                <w:spacing w:val="-6"/>
                <w:lang w:val="sk-SK"/>
              </w:rPr>
              <w:t xml:space="preserve"> o </w:t>
            </w:r>
            <w:r w:rsidRPr="00AB26B3">
              <w:rPr>
                <w:noProof/>
                <w:spacing w:val="-6"/>
                <w:lang w:val="sk-SK"/>
              </w:rPr>
              <w:t>financovaní</w:t>
            </w:r>
            <w:r w:rsidR="00AB26B3" w:rsidRPr="00AB26B3">
              <w:rPr>
                <w:noProof/>
                <w:spacing w:val="-6"/>
                <w:lang w:val="sk-SK"/>
              </w:rPr>
              <w:t xml:space="preserve"> s </w:t>
            </w:r>
            <w:r w:rsidRPr="00AB26B3">
              <w:rPr>
                <w:noProof/>
                <w:spacing w:val="-6"/>
                <w:lang w:val="sk-SK"/>
              </w:rPr>
              <w:t>konečnými príjemcami vo výške potrebnej na použitie 100</w:t>
            </w:r>
            <w:r w:rsidR="00AB26B3" w:rsidRPr="00AB26B3">
              <w:rPr>
                <w:noProof/>
                <w:spacing w:val="-6"/>
                <w:lang w:val="sk-SK"/>
              </w:rPr>
              <w:t> %</w:t>
            </w:r>
            <w:r w:rsidRPr="00AB26B3">
              <w:rPr>
                <w:noProof/>
                <w:spacing w:val="-6"/>
                <w:lang w:val="sk-SK"/>
              </w:rPr>
              <w:t xml:space="preserve"> investícií</w:t>
            </w:r>
            <w:r w:rsidR="00AB26B3" w:rsidRPr="00AB26B3">
              <w:rPr>
                <w:noProof/>
                <w:spacing w:val="-6"/>
                <w:lang w:val="sk-SK"/>
              </w:rPr>
              <w:t xml:space="preserve"> z </w:t>
            </w:r>
            <w:r w:rsidRPr="00AB26B3">
              <w:rPr>
                <w:noProof/>
                <w:spacing w:val="-6"/>
                <w:lang w:val="sk-SK"/>
              </w:rPr>
              <w:t>Mechanizmu na podporu obnovy</w:t>
            </w:r>
            <w:r w:rsidR="00AB26B3" w:rsidRPr="00AB26B3">
              <w:rPr>
                <w:noProof/>
                <w:spacing w:val="-6"/>
                <w:lang w:val="sk-SK"/>
              </w:rPr>
              <w:t xml:space="preserve"> a </w:t>
            </w:r>
            <w:r w:rsidRPr="00AB26B3">
              <w:rPr>
                <w:noProof/>
                <w:spacing w:val="-6"/>
                <w:lang w:val="sk-SK"/>
              </w:rPr>
              <w:t>odolnosti do mechanizmu (s prihliadnutím na poplatky za správu)</w:t>
            </w:r>
            <w:r w:rsidR="00AB26B3" w:rsidRPr="00AB26B3">
              <w:rPr>
                <w:noProof/>
                <w:spacing w:val="-6"/>
                <w:lang w:val="sk-SK"/>
              </w:rPr>
              <w:t>.</w:t>
            </w:r>
          </w:p>
          <w:p w14:paraId="76386D0E" w14:textId="08D514D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Najmenej 40</w:t>
            </w:r>
            <w:r w:rsidR="00AB26B3" w:rsidRPr="00AB26B3">
              <w:rPr>
                <w:noProof/>
                <w:spacing w:val="-6"/>
                <w:lang w:val="sk-SK"/>
              </w:rPr>
              <w:t> %</w:t>
            </w:r>
            <w:r w:rsidRPr="00AB26B3">
              <w:rPr>
                <w:noProof/>
                <w:spacing w:val="-6"/>
                <w:lang w:val="sk-SK"/>
              </w:rPr>
              <w:t xml:space="preserve"> tohto financovania prispeje</w:t>
            </w:r>
            <w:r w:rsidR="00AB26B3" w:rsidRPr="00AB26B3">
              <w:rPr>
                <w:noProof/>
                <w:spacing w:val="-6"/>
                <w:lang w:val="sk-SK"/>
              </w:rPr>
              <w:t xml:space="preserve"> k </w:t>
            </w:r>
            <w:r w:rsidRPr="00AB26B3">
              <w:rPr>
                <w:noProof/>
                <w:spacing w:val="-6"/>
                <w:lang w:val="sk-SK"/>
              </w:rPr>
              <w:t>cieľom</w:t>
            </w:r>
            <w:r w:rsidR="00AB26B3" w:rsidRPr="00AB26B3">
              <w:rPr>
                <w:noProof/>
                <w:spacing w:val="-6"/>
                <w:lang w:val="sk-SK"/>
              </w:rPr>
              <w:t xml:space="preserve"> v </w:t>
            </w:r>
            <w:r w:rsidRPr="00AB26B3">
              <w:rPr>
                <w:noProof/>
                <w:spacing w:val="-6"/>
                <w:lang w:val="sk-SK"/>
              </w:rPr>
              <w:t>oblasti klímy pomocou metodiky uvedenej</w:t>
            </w:r>
            <w:r w:rsidR="00AB26B3" w:rsidRPr="00AB26B3">
              <w:rPr>
                <w:noProof/>
                <w:spacing w:val="-6"/>
                <w:lang w:val="sk-SK"/>
              </w:rPr>
              <w:t xml:space="preserve"> v </w:t>
            </w:r>
            <w:r w:rsidRPr="00AB26B3">
              <w:rPr>
                <w:noProof/>
                <w:spacing w:val="-6"/>
                <w:lang w:val="sk-SK"/>
              </w:rPr>
              <w:t>prílohe VI</w:t>
            </w:r>
            <w:r w:rsidR="00AB26B3" w:rsidRPr="00AB26B3">
              <w:rPr>
                <w:noProof/>
                <w:spacing w:val="-6"/>
                <w:lang w:val="sk-SK"/>
              </w:rPr>
              <w:t xml:space="preserve"> k </w:t>
            </w:r>
            <w:r w:rsidRPr="00AB26B3">
              <w:rPr>
                <w:noProof/>
                <w:spacing w:val="-6"/>
                <w:lang w:val="sk-SK"/>
              </w:rPr>
              <w:t>nariadeniu</w:t>
            </w:r>
            <w:r w:rsidR="00AB26B3" w:rsidRPr="00AB26B3">
              <w:rPr>
                <w:noProof/>
                <w:spacing w:val="-6"/>
                <w:lang w:val="sk-SK"/>
              </w:rPr>
              <w:t xml:space="preserve"> o </w:t>
            </w:r>
            <w:r w:rsidRPr="00AB26B3">
              <w:rPr>
                <w:noProof/>
                <w:spacing w:val="-6"/>
                <w:lang w:val="sk-SK"/>
              </w:rPr>
              <w:t>Mechanizme na podporu obnovy</w:t>
            </w:r>
            <w:r w:rsidR="00AB26B3" w:rsidRPr="00AB26B3">
              <w:rPr>
                <w:noProof/>
                <w:spacing w:val="-6"/>
                <w:lang w:val="sk-SK"/>
              </w:rPr>
              <w:t xml:space="preserve"> a </w:t>
            </w:r>
            <w:r w:rsidRPr="00AB26B3">
              <w:rPr>
                <w:noProof/>
                <w:spacing w:val="-6"/>
                <w:lang w:val="sk-SK"/>
              </w:rPr>
              <w:t>odolnosti.</w:t>
            </w:r>
          </w:p>
        </w:tc>
      </w:tr>
      <w:tr w:rsidR="00302FC1" w:rsidRPr="00AB26B3" w14:paraId="7E116F07" w14:textId="77777777">
        <w:trPr>
          <w:trHeight w:val="314"/>
          <w:jc w:val="center"/>
        </w:trPr>
        <w:tc>
          <w:tcPr>
            <w:tcW w:w="602" w:type="dxa"/>
            <w:shd w:val="clear" w:color="auto" w:fill="C6EFCE"/>
            <w:noWrap/>
          </w:tcPr>
          <w:p w14:paraId="7BBD0AD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377</w:t>
            </w:r>
          </w:p>
        </w:tc>
        <w:tc>
          <w:tcPr>
            <w:tcW w:w="1945" w:type="dxa"/>
            <w:shd w:val="clear" w:color="auto" w:fill="C6EFCE"/>
            <w:noWrap/>
          </w:tcPr>
          <w:p w14:paraId="1E56DC5D" w14:textId="77777777" w:rsidR="00302FC1" w:rsidRPr="00AB26B3" w:rsidRDefault="00D64F26">
            <w:pPr>
              <w:pStyle w:val="P68B1DB1-Normal12"/>
              <w:spacing w:after="0" w:line="240" w:lineRule="auto"/>
              <w:rPr>
                <w:noProof/>
                <w:spacing w:val="-6"/>
                <w:lang w:val="sk-SK"/>
              </w:rPr>
            </w:pPr>
            <w:r w:rsidRPr="00AB26B3">
              <w:rPr>
                <w:noProof/>
                <w:spacing w:val="-6"/>
                <w:lang w:val="sk-SK"/>
              </w:rPr>
              <w:t>2 – 1.2. Renovujme – 16401_ Program modernizácie energetiky „Môj domov“</w:t>
            </w:r>
          </w:p>
        </w:tc>
        <w:tc>
          <w:tcPr>
            <w:tcW w:w="1134" w:type="dxa"/>
            <w:shd w:val="clear" w:color="auto" w:fill="C6EFCE"/>
            <w:noWrap/>
          </w:tcPr>
          <w:p w14:paraId="05509D0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76" w:type="dxa"/>
            <w:shd w:val="clear" w:color="auto" w:fill="C6EFCE"/>
            <w:noWrap/>
          </w:tcPr>
          <w:p w14:paraId="00A5B73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môjho domova – ministerstvo financií dokončilo investíciu</w:t>
            </w:r>
          </w:p>
        </w:tc>
        <w:tc>
          <w:tcPr>
            <w:tcW w:w="1278" w:type="dxa"/>
            <w:shd w:val="clear" w:color="auto" w:fill="C6EFCE"/>
            <w:noWrap/>
          </w:tcPr>
          <w:p w14:paraId="70729B5C" w14:textId="786DA5E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Osvedčenie</w:t>
            </w:r>
            <w:r w:rsidR="00AB26B3" w:rsidRPr="00AB26B3">
              <w:rPr>
                <w:noProof/>
                <w:spacing w:val="-6"/>
                <w:lang w:val="sk-SK"/>
              </w:rPr>
              <w:t xml:space="preserve"> o </w:t>
            </w:r>
            <w:r w:rsidRPr="00AB26B3">
              <w:rPr>
                <w:noProof/>
                <w:spacing w:val="-6"/>
                <w:lang w:val="sk-SK"/>
              </w:rPr>
              <w:t xml:space="preserve">premiestnení </w:t>
            </w:r>
          </w:p>
        </w:tc>
        <w:tc>
          <w:tcPr>
            <w:tcW w:w="1200" w:type="dxa"/>
            <w:shd w:val="clear" w:color="auto" w:fill="C6EFCE"/>
            <w:noWrap/>
          </w:tcPr>
          <w:p w14:paraId="77BF053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shd w:val="clear" w:color="auto" w:fill="C6EFCE"/>
            <w:noWrap/>
          </w:tcPr>
          <w:p w14:paraId="763810D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20" w:type="dxa"/>
            <w:shd w:val="clear" w:color="auto" w:fill="C6EFCE"/>
            <w:noWrap/>
          </w:tcPr>
          <w:p w14:paraId="5FEA8CF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442F255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40" w:type="dxa"/>
            <w:shd w:val="clear" w:color="auto" w:fill="C6EFCE"/>
            <w:noWrap/>
          </w:tcPr>
          <w:p w14:paraId="5FB76DB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2026</w:t>
            </w:r>
          </w:p>
        </w:tc>
        <w:tc>
          <w:tcPr>
            <w:tcW w:w="4848" w:type="dxa"/>
            <w:shd w:val="clear" w:color="auto" w:fill="C6EFCE"/>
            <w:noWrap/>
          </w:tcPr>
          <w:p w14:paraId="1AF9D94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Grécko prevedie 60 miliónov EUR na nástroj Helénskej rozvojovej banke.</w:t>
            </w:r>
          </w:p>
        </w:tc>
      </w:tr>
    </w:tbl>
    <w:p w14:paraId="7DDD5181" w14:textId="7777777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15FC0">
          <w:headerReference w:type="even" r:id="rId64"/>
          <w:headerReference w:type="default" r:id="rId65"/>
          <w:footerReference w:type="even" r:id="rId66"/>
          <w:footerReference w:type="default" r:id="rId67"/>
          <w:headerReference w:type="first" r:id="rId68"/>
          <w:footerReference w:type="first" r:id="rId69"/>
          <w:pgSz w:w="16839" w:h="11907" w:orient="landscape"/>
          <w:pgMar w:top="720" w:right="720" w:bottom="720" w:left="720" w:header="709" w:footer="75" w:gutter="0"/>
          <w:cols w:space="720"/>
          <w:docGrid w:linePitch="360"/>
        </w:sectPr>
      </w:pPr>
    </w:p>
    <w:p w14:paraId="71007310" w14:textId="77777777" w:rsidR="00302FC1" w:rsidRPr="00AB26B3" w:rsidRDefault="00D64F26">
      <w:pPr>
        <w:pStyle w:val="P68B1DB1-Normal25"/>
        <w:spacing w:before="120" w:after="120" w:line="240" w:lineRule="auto"/>
        <w:jc w:val="both"/>
        <w:outlineLvl w:val="3"/>
        <w:rPr>
          <w:noProof/>
          <w:spacing w:val="-6"/>
          <w:lang w:val="sk-SK"/>
        </w:rPr>
      </w:pPr>
      <w:r w:rsidRPr="00AB26B3">
        <w:rPr>
          <w:noProof/>
          <w:spacing w:val="-6"/>
          <w:lang w:val="sk-SK"/>
        </w:rPr>
        <w:t>C. ZLOŽKA 1.3: DOBÍJANIE A DOPĹŇANIE PALIVA</w:t>
      </w:r>
    </w:p>
    <w:p w14:paraId="00C85A6C" w14:textId="63380FDE" w:rsidR="00AB26B3" w:rsidRPr="00AB26B3" w:rsidRDefault="00D64F26">
      <w:pPr>
        <w:pStyle w:val="P68B1DB1-Normal5"/>
        <w:spacing w:before="120" w:after="120" w:line="240" w:lineRule="auto"/>
        <w:jc w:val="both"/>
        <w:rPr>
          <w:noProof/>
          <w:spacing w:val="-6"/>
          <w:lang w:val="sk-SK"/>
        </w:rPr>
      </w:pPr>
      <w:r w:rsidRPr="00AB26B3">
        <w:rPr>
          <w:noProof/>
          <w:spacing w:val="-6"/>
          <w:lang w:val="sk-SK"/>
        </w:rPr>
        <w:t>Zložka „dobíjanie</w:t>
      </w:r>
      <w:r w:rsidR="00AB26B3" w:rsidRPr="00AB26B3">
        <w:rPr>
          <w:noProof/>
          <w:spacing w:val="-6"/>
          <w:lang w:val="sk-SK"/>
        </w:rPr>
        <w:t xml:space="preserve"> a </w:t>
      </w:r>
      <w:r w:rsidRPr="00AB26B3">
        <w:rPr>
          <w:noProof/>
          <w:spacing w:val="-6"/>
          <w:lang w:val="sk-SK"/>
        </w:rPr>
        <w:t>dopĺňanie paliva“ gréckeho plánu obnovy</w:t>
      </w:r>
      <w:r w:rsidR="00AB26B3" w:rsidRPr="00AB26B3">
        <w:rPr>
          <w:noProof/>
          <w:spacing w:val="-6"/>
          <w:lang w:val="sk-SK"/>
        </w:rPr>
        <w:t xml:space="preserve"> a </w:t>
      </w:r>
      <w:r w:rsidRPr="00AB26B3">
        <w:rPr>
          <w:noProof/>
          <w:spacing w:val="-6"/>
          <w:lang w:val="sk-SK"/>
        </w:rPr>
        <w:t>odolnosti zahŕňa cielené reformy</w:t>
      </w:r>
      <w:r w:rsidR="00AB26B3" w:rsidRPr="00AB26B3">
        <w:rPr>
          <w:noProof/>
          <w:spacing w:val="-6"/>
          <w:lang w:val="sk-SK"/>
        </w:rPr>
        <w:t xml:space="preserve"> a </w:t>
      </w:r>
      <w:r w:rsidRPr="00AB26B3">
        <w:rPr>
          <w:noProof/>
          <w:spacing w:val="-6"/>
          <w:lang w:val="sk-SK"/>
        </w:rPr>
        <w:t>investície na zvýšenie udržateľnej mobility, posilnenie hospodárskeho rastu, vytváranie pracovných príležitostí</w:t>
      </w:r>
      <w:r w:rsidR="00AB26B3" w:rsidRPr="00AB26B3">
        <w:rPr>
          <w:noProof/>
          <w:spacing w:val="-6"/>
          <w:lang w:val="sk-SK"/>
        </w:rPr>
        <w:t xml:space="preserve"> a </w:t>
      </w:r>
      <w:r w:rsidRPr="00AB26B3">
        <w:rPr>
          <w:noProof/>
          <w:spacing w:val="-6"/>
          <w:lang w:val="sk-SK"/>
        </w:rPr>
        <w:t>podporu sociálnej odolnosti. Opatrenia zahrnuté</w:t>
      </w:r>
      <w:r w:rsidR="00AB26B3" w:rsidRPr="00AB26B3">
        <w:rPr>
          <w:noProof/>
          <w:spacing w:val="-6"/>
          <w:lang w:val="sk-SK"/>
        </w:rPr>
        <w:t xml:space="preserve"> v </w:t>
      </w:r>
      <w:r w:rsidRPr="00AB26B3">
        <w:rPr>
          <w:noProof/>
          <w:spacing w:val="-6"/>
          <w:lang w:val="sk-SK"/>
        </w:rPr>
        <w:t>tomto komponente sú spojené</w:t>
      </w:r>
      <w:r w:rsidR="00AB26B3" w:rsidRPr="00AB26B3">
        <w:rPr>
          <w:noProof/>
          <w:spacing w:val="-6"/>
          <w:lang w:val="sk-SK"/>
        </w:rPr>
        <w:t xml:space="preserve"> s </w:t>
      </w:r>
      <w:r w:rsidRPr="00AB26B3">
        <w:rPr>
          <w:noProof/>
          <w:spacing w:val="-6"/>
          <w:lang w:val="sk-SK"/>
        </w:rPr>
        <w:t>celoštátnou stratégiou udržateľnej mobility, čím sa podporuje vykonávanie národného energetického</w:t>
      </w:r>
      <w:r w:rsidR="00AB26B3" w:rsidRPr="00AB26B3">
        <w:rPr>
          <w:noProof/>
          <w:spacing w:val="-6"/>
          <w:lang w:val="sk-SK"/>
        </w:rPr>
        <w:t xml:space="preserve"> a </w:t>
      </w:r>
      <w:r w:rsidRPr="00AB26B3">
        <w:rPr>
          <w:noProof/>
          <w:spacing w:val="-6"/>
          <w:lang w:val="sk-SK"/>
        </w:rPr>
        <w:t>klimatického plánu (NEKP). Prispievajú aj</w:t>
      </w:r>
      <w:r w:rsidR="00AB26B3" w:rsidRPr="00AB26B3">
        <w:rPr>
          <w:noProof/>
          <w:spacing w:val="-6"/>
          <w:lang w:val="sk-SK"/>
        </w:rPr>
        <w:t xml:space="preserve"> k </w:t>
      </w:r>
      <w:r w:rsidRPr="00AB26B3">
        <w:rPr>
          <w:noProof/>
          <w:spacing w:val="-6"/>
          <w:lang w:val="sk-SK"/>
        </w:rPr>
        <w:t>zelenej transformácii tým, že poskytujú podporu podnikom, ktoré vykonávajú operácie súvisiace</w:t>
      </w:r>
      <w:r w:rsidR="00AB26B3" w:rsidRPr="00AB26B3">
        <w:rPr>
          <w:noProof/>
          <w:spacing w:val="-6"/>
          <w:lang w:val="sk-SK"/>
        </w:rPr>
        <w:t xml:space="preserve"> s </w:t>
      </w:r>
      <w:r w:rsidRPr="00AB26B3">
        <w:rPr>
          <w:noProof/>
          <w:spacing w:val="-6"/>
          <w:lang w:val="sk-SK"/>
        </w:rPr>
        <w:t>nízkouhlíkovým hospodárstvom</w:t>
      </w:r>
      <w:r w:rsidR="00AB26B3" w:rsidRPr="00AB26B3">
        <w:rPr>
          <w:noProof/>
          <w:spacing w:val="-6"/>
          <w:lang w:val="sk-SK"/>
        </w:rPr>
        <w:t xml:space="preserve"> a </w:t>
      </w:r>
      <w:r w:rsidRPr="00AB26B3">
        <w:rPr>
          <w:noProof/>
          <w:spacing w:val="-6"/>
          <w:lang w:val="sk-SK"/>
        </w:rPr>
        <w:t>odolnosťou proti zmene klímy. Komponent ďalej zahŕňa reformy na podporu inštalácie infraštruktúry elektromobility</w:t>
      </w:r>
      <w:r w:rsidR="00AB26B3" w:rsidRPr="00AB26B3">
        <w:rPr>
          <w:noProof/>
          <w:spacing w:val="-6"/>
          <w:lang w:val="sk-SK"/>
        </w:rPr>
        <w:t xml:space="preserve"> a </w:t>
      </w:r>
      <w:r w:rsidRPr="00AB26B3">
        <w:rPr>
          <w:noProof/>
          <w:spacing w:val="-6"/>
          <w:lang w:val="sk-SK"/>
        </w:rPr>
        <w:t>revíziu služieb verejnej mestskej</w:t>
      </w:r>
      <w:r w:rsidR="00AB26B3" w:rsidRPr="00AB26B3">
        <w:rPr>
          <w:noProof/>
          <w:spacing w:val="-6"/>
          <w:lang w:val="sk-SK"/>
        </w:rPr>
        <w:t xml:space="preserve"> a </w:t>
      </w:r>
      <w:r w:rsidRPr="00AB26B3">
        <w:rPr>
          <w:noProof/>
          <w:spacing w:val="-6"/>
          <w:lang w:val="sk-SK"/>
        </w:rPr>
        <w:t>regionálnej osobnej dopravy. Komponent zahŕňa aj investície na podporu rozvoja výrobnej kapacity dodávok súvisiacich</w:t>
      </w:r>
      <w:r w:rsidR="00AB26B3" w:rsidRPr="00AB26B3">
        <w:rPr>
          <w:noProof/>
          <w:spacing w:val="-6"/>
          <w:lang w:val="sk-SK"/>
        </w:rPr>
        <w:t xml:space="preserve"> s </w:t>
      </w:r>
      <w:r w:rsidRPr="00AB26B3">
        <w:rPr>
          <w:noProof/>
          <w:spacing w:val="-6"/>
          <w:lang w:val="sk-SK"/>
        </w:rPr>
        <w:t>elektromobilitou</w:t>
      </w:r>
      <w:r w:rsidR="00AB26B3" w:rsidRPr="00AB26B3">
        <w:rPr>
          <w:noProof/>
          <w:spacing w:val="-6"/>
          <w:lang w:val="sk-SK"/>
        </w:rPr>
        <w:t xml:space="preserve"> a </w:t>
      </w:r>
      <w:r w:rsidRPr="00AB26B3">
        <w:rPr>
          <w:noProof/>
          <w:spacing w:val="-6"/>
          <w:lang w:val="sk-SK"/>
        </w:rPr>
        <w:t>nahradením autobusov</w:t>
      </w:r>
      <w:r w:rsidR="00AB26B3" w:rsidRPr="00AB26B3">
        <w:rPr>
          <w:noProof/>
          <w:spacing w:val="-6"/>
          <w:lang w:val="sk-SK"/>
        </w:rPr>
        <w:t xml:space="preserve"> a </w:t>
      </w:r>
      <w:r w:rsidRPr="00AB26B3">
        <w:rPr>
          <w:noProof/>
          <w:spacing w:val="-6"/>
          <w:lang w:val="sk-SK"/>
        </w:rPr>
        <w:t>taxíkov batériovými elektrickými vozidlami</w:t>
      </w:r>
      <w:r w:rsidR="00AB26B3" w:rsidRPr="00AB26B3">
        <w:rPr>
          <w:noProof/>
          <w:spacing w:val="-6"/>
          <w:lang w:val="sk-SK"/>
        </w:rPr>
        <w:t>.</w:t>
      </w:r>
    </w:p>
    <w:p w14:paraId="13EE057F" w14:textId="28D0B211"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 xml:space="preserve">Komponent podporuje riešenie odporúčania pre danú krajinu </w:t>
      </w:r>
      <w:r w:rsidR="00AB26B3" w:rsidRPr="00AB26B3">
        <w:rPr>
          <w:noProof/>
          <w:spacing w:val="-6"/>
          <w:lang w:val="sk-SK"/>
        </w:rPr>
        <w:t>č. </w:t>
      </w:r>
      <w:r w:rsidRPr="00AB26B3">
        <w:rPr>
          <w:noProof/>
          <w:spacing w:val="-6"/>
          <w:lang w:val="sk-SK"/>
        </w:rPr>
        <w:t>3</w:t>
      </w:r>
      <w:r w:rsidR="00AB26B3" w:rsidRPr="00AB26B3">
        <w:rPr>
          <w:noProof/>
          <w:spacing w:val="-6"/>
          <w:lang w:val="sk-SK"/>
        </w:rPr>
        <w:t xml:space="preserve"> z </w:t>
      </w:r>
      <w:r w:rsidRPr="00AB26B3">
        <w:rPr>
          <w:noProof/>
          <w:spacing w:val="-6"/>
          <w:lang w:val="sk-SK"/>
        </w:rPr>
        <w:t>roku 2020</w:t>
      </w:r>
      <w:r w:rsidR="00AB26B3" w:rsidRPr="00AB26B3">
        <w:rPr>
          <w:noProof/>
          <w:spacing w:val="-6"/>
          <w:lang w:val="sk-SK"/>
        </w:rPr>
        <w:t xml:space="preserve"> a </w:t>
      </w:r>
      <w:r w:rsidRPr="00AB26B3">
        <w:rPr>
          <w:noProof/>
          <w:spacing w:val="-6"/>
          <w:lang w:val="sk-SK"/>
        </w:rPr>
        <w:t xml:space="preserve">odporúčania pre danú krajinu </w:t>
      </w:r>
      <w:r w:rsidR="00AB26B3" w:rsidRPr="00AB26B3">
        <w:rPr>
          <w:noProof/>
          <w:spacing w:val="-6"/>
          <w:lang w:val="sk-SK"/>
        </w:rPr>
        <w:t>č. </w:t>
      </w:r>
      <w:r w:rsidRPr="00AB26B3">
        <w:rPr>
          <w:noProof/>
          <w:spacing w:val="-6"/>
          <w:lang w:val="sk-SK"/>
        </w:rPr>
        <w:t>2</w:t>
      </w:r>
      <w:r w:rsidR="00AB26B3" w:rsidRPr="00AB26B3">
        <w:rPr>
          <w:noProof/>
          <w:spacing w:val="-6"/>
          <w:lang w:val="sk-SK"/>
        </w:rPr>
        <w:t xml:space="preserve"> z </w:t>
      </w:r>
      <w:r w:rsidRPr="00AB26B3">
        <w:rPr>
          <w:noProof/>
          <w:spacing w:val="-6"/>
          <w:lang w:val="sk-SK"/>
        </w:rPr>
        <w:t>roku 2019 týkajúceho sa verejných</w:t>
      </w:r>
      <w:r w:rsidR="00AB26B3" w:rsidRPr="00AB26B3">
        <w:rPr>
          <w:noProof/>
          <w:spacing w:val="-6"/>
          <w:lang w:val="sk-SK"/>
        </w:rPr>
        <w:t xml:space="preserve"> a </w:t>
      </w:r>
      <w:r w:rsidRPr="00AB26B3">
        <w:rPr>
          <w:noProof/>
          <w:spacing w:val="-6"/>
          <w:lang w:val="sk-SK"/>
        </w:rPr>
        <w:t>súkromných investícií.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2D5595FB" w14:textId="1C9C6E7A" w:rsidR="00302FC1" w:rsidRPr="00AB26B3" w:rsidRDefault="00D64F26">
      <w:pPr>
        <w:pStyle w:val="P68B1DB1-Normal26"/>
        <w:spacing w:before="120" w:after="120" w:line="240" w:lineRule="auto"/>
        <w:jc w:val="both"/>
        <w:rPr>
          <w:rFonts w:ascii="Times New Roman" w:hAnsi="Times New Roman" w:cs="Times New Roman"/>
          <w:b/>
          <w:bCs/>
          <w:i/>
          <w:iCs/>
          <w:noProof/>
          <w:color w:val="4F81BD"/>
          <w:spacing w:val="-6"/>
          <w:sz w:val="24"/>
          <w:lang w:val="sk-SK"/>
        </w:rPr>
      </w:pPr>
      <w:r w:rsidRPr="00AB26B3">
        <w:rPr>
          <w:rFonts w:ascii="Times New Roman" w:hAnsi="Times New Roman"/>
          <w:b/>
          <w:noProof/>
          <w:spacing w:val="-6"/>
          <w:sz w:val="24"/>
          <w:lang w:val="sk-SK"/>
        </w:rPr>
        <w:t xml:space="preserve">C.1. </w:t>
      </w:r>
      <w:r w:rsidRPr="00AB26B3">
        <w:rPr>
          <w:rFonts w:ascii="Times New Roman" w:hAnsi="Times New Roman"/>
          <w:noProof/>
          <w:spacing w:val="-6"/>
          <w:lang w:val="sk-SK"/>
        </w:rPr>
        <w:t xml:space="preserve"> </w:t>
      </w:r>
      <w:r w:rsidRPr="00AB26B3">
        <w:rPr>
          <w:rFonts w:ascii="Times New Roman" w:hAnsi="Times New Roman"/>
          <w:b/>
          <w:noProof/>
          <w:spacing w:val="-6"/>
          <w:sz w:val="24"/>
          <w:lang w:val="sk-SK"/>
        </w:rPr>
        <w:t>Opis reforiem</w:t>
      </w:r>
      <w:r w:rsidR="00AB26B3" w:rsidRPr="00AB26B3">
        <w:rPr>
          <w:rFonts w:ascii="Times New Roman" w:hAnsi="Times New Roman"/>
          <w:b/>
          <w:noProof/>
          <w:spacing w:val="-6"/>
          <w:sz w:val="24"/>
          <w:lang w:val="sk-SK"/>
        </w:rPr>
        <w:t xml:space="preserve"> a </w:t>
      </w:r>
      <w:r w:rsidRPr="00AB26B3">
        <w:rPr>
          <w:rFonts w:ascii="Times New Roman" w:hAnsi="Times New Roman"/>
          <w:b/>
          <w:noProof/>
          <w:spacing w:val="-6"/>
          <w:sz w:val="24"/>
          <w:lang w:val="sk-SK"/>
        </w:rPr>
        <w:t>investícií</w:t>
      </w:r>
      <w:r w:rsidR="00AB26B3" w:rsidRPr="00AB26B3">
        <w:rPr>
          <w:rFonts w:ascii="Times New Roman" w:hAnsi="Times New Roman"/>
          <w:b/>
          <w:noProof/>
          <w:spacing w:val="-6"/>
          <w:sz w:val="24"/>
          <w:lang w:val="sk-SK"/>
        </w:rPr>
        <w:t xml:space="preserve"> v </w:t>
      </w:r>
      <w:r w:rsidRPr="00AB26B3">
        <w:rPr>
          <w:rFonts w:ascii="Times New Roman" w:hAnsi="Times New Roman"/>
          <w:b/>
          <w:noProof/>
          <w:spacing w:val="-6"/>
          <w:sz w:val="24"/>
          <w:lang w:val="sk-SK"/>
        </w:rPr>
        <w:t>rámci nenávratnej finančnej podpory</w:t>
      </w:r>
    </w:p>
    <w:p w14:paraId="4767848B"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Produc-E Green (identifikačné číslo opatrenia: 16831)</w:t>
      </w:r>
    </w:p>
    <w:p w14:paraId="69549179" w14:textId="6EE13775"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tohto opatrenia je prispieť</w:t>
      </w:r>
      <w:r w:rsidR="00AB26B3" w:rsidRPr="00AB26B3">
        <w:rPr>
          <w:noProof/>
          <w:spacing w:val="-6"/>
          <w:lang w:val="sk-SK"/>
        </w:rPr>
        <w:t xml:space="preserve"> k </w:t>
      </w:r>
      <w:r w:rsidRPr="00AB26B3">
        <w:rPr>
          <w:noProof/>
          <w:spacing w:val="-6"/>
          <w:lang w:val="sk-SK"/>
        </w:rPr>
        <w:t>nízkouhlíkovému hospodárstvu</w:t>
      </w:r>
      <w:r w:rsidR="00AB26B3" w:rsidRPr="00AB26B3">
        <w:rPr>
          <w:noProof/>
          <w:spacing w:val="-6"/>
          <w:lang w:val="sk-SK"/>
        </w:rPr>
        <w:t xml:space="preserve"> a </w:t>
      </w:r>
      <w:r w:rsidRPr="00AB26B3">
        <w:rPr>
          <w:noProof/>
          <w:spacing w:val="-6"/>
          <w:lang w:val="sk-SK"/>
        </w:rPr>
        <w:t>zvýšiť odolnosť proti zmene klímy. Toto opatrenie pozostáva</w:t>
      </w:r>
      <w:r w:rsidR="00AB26B3" w:rsidRPr="00AB26B3">
        <w:rPr>
          <w:noProof/>
          <w:spacing w:val="-6"/>
          <w:lang w:val="sk-SK"/>
        </w:rPr>
        <w:t xml:space="preserve"> z </w:t>
      </w:r>
      <w:r w:rsidRPr="00AB26B3">
        <w:rPr>
          <w:noProof/>
          <w:spacing w:val="-6"/>
          <w:lang w:val="sk-SK"/>
        </w:rPr>
        <w:t>rozvoja priemyselných jednotiek pre zelenú transformáciu</w:t>
      </w:r>
      <w:r w:rsidR="00AB26B3" w:rsidRPr="00AB26B3">
        <w:rPr>
          <w:noProof/>
          <w:spacing w:val="-6"/>
          <w:lang w:val="sk-SK"/>
        </w:rPr>
        <w:t xml:space="preserve"> a </w:t>
      </w:r>
      <w:r w:rsidRPr="00AB26B3">
        <w:rPr>
          <w:noProof/>
          <w:spacing w:val="-6"/>
          <w:lang w:val="sk-SK"/>
        </w:rPr>
        <w:t>zriadenia prvého zariadenia na ukladanie CO2</w:t>
      </w:r>
      <w:r w:rsidR="00AB26B3" w:rsidRPr="00AB26B3">
        <w:rPr>
          <w:noProof/>
          <w:spacing w:val="-6"/>
          <w:lang w:val="sk-SK"/>
        </w:rPr>
        <w:t xml:space="preserve"> v </w:t>
      </w:r>
      <w:r w:rsidRPr="00AB26B3">
        <w:rPr>
          <w:noProof/>
          <w:spacing w:val="-6"/>
          <w:lang w:val="sk-SK"/>
        </w:rPr>
        <w:t>Grécku.</w:t>
      </w:r>
    </w:p>
    <w:p w14:paraId="6C5DCC03" w14:textId="59F892D8"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Rámec pre inštaláciu</w:t>
      </w:r>
      <w:r w:rsidR="00AB26B3" w:rsidRPr="00AB26B3">
        <w:rPr>
          <w:noProof/>
          <w:spacing w:val="-6"/>
          <w:lang w:val="sk-SK"/>
        </w:rPr>
        <w:t xml:space="preserve"> a </w:t>
      </w:r>
      <w:r w:rsidRPr="00AB26B3">
        <w:rPr>
          <w:noProof/>
          <w:spacing w:val="-6"/>
          <w:lang w:val="sk-SK"/>
        </w:rPr>
        <w:t>prevádzku nabíjacej infraštruktúry pre elektrické vozidlá (identifikačné číslo opatrenia: 16281)</w:t>
      </w:r>
    </w:p>
    <w:p w14:paraId="65686EFF" w14:textId="09BB4108"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Reformou sa vytvorí komplexný regulačný rámec na inštaláciu</w:t>
      </w:r>
      <w:r w:rsidR="00AB26B3" w:rsidRPr="00AB26B3">
        <w:rPr>
          <w:noProof/>
          <w:spacing w:val="-6"/>
          <w:lang w:val="sk-SK"/>
        </w:rPr>
        <w:t xml:space="preserve"> a </w:t>
      </w:r>
      <w:r w:rsidRPr="00AB26B3">
        <w:rPr>
          <w:noProof/>
          <w:spacing w:val="-6"/>
          <w:lang w:val="sk-SK"/>
        </w:rPr>
        <w:t>prevádzku nabíjacích staníc pre elektrické vozidlá. Grécko sa tak dostane na cestu</w:t>
      </w:r>
      <w:r w:rsidR="00AB26B3" w:rsidRPr="00AB26B3">
        <w:rPr>
          <w:noProof/>
          <w:spacing w:val="-6"/>
          <w:lang w:val="sk-SK"/>
        </w:rPr>
        <w:t xml:space="preserve"> k </w:t>
      </w:r>
      <w:r w:rsidRPr="00AB26B3">
        <w:rPr>
          <w:noProof/>
          <w:spacing w:val="-6"/>
          <w:lang w:val="sk-SK"/>
        </w:rPr>
        <w:t>splneniu cieľa NEKP, ktorým je 30</w:t>
      </w:r>
      <w:r w:rsidR="00AB26B3" w:rsidRPr="00AB26B3">
        <w:rPr>
          <w:noProof/>
          <w:spacing w:val="-6"/>
          <w:lang w:val="sk-SK"/>
        </w:rPr>
        <w:t> %</w:t>
      </w:r>
      <w:r w:rsidRPr="00AB26B3">
        <w:rPr>
          <w:noProof/>
          <w:spacing w:val="-6"/>
          <w:lang w:val="sk-SK"/>
        </w:rPr>
        <w:t xml:space="preserve"> podiel elektrických vozidiel na domácom trhu do roku 2030. Ministerstvo životného prostredia</w:t>
      </w:r>
      <w:r w:rsidR="00AB26B3" w:rsidRPr="00AB26B3">
        <w:rPr>
          <w:noProof/>
          <w:spacing w:val="-6"/>
          <w:lang w:val="sk-SK"/>
        </w:rPr>
        <w:t xml:space="preserve"> a </w:t>
      </w:r>
      <w:r w:rsidRPr="00AB26B3">
        <w:rPr>
          <w:noProof/>
          <w:spacing w:val="-6"/>
          <w:lang w:val="sk-SK"/>
        </w:rPr>
        <w:t>energetiky do konca roka 2022 prijme najmenej 300 plánov predložených miestnymi orgánmi na inštaláciu verejne dostupných nabíjacích staníc pre elektrické vozidlá. Implementácia tejto reformy sa dokončí do 31</w:t>
      </w:r>
      <w:r w:rsidR="00AB26B3" w:rsidRPr="00AB26B3">
        <w:rPr>
          <w:noProof/>
          <w:spacing w:val="-6"/>
          <w:lang w:val="sk-SK"/>
        </w:rPr>
        <w:t>. decembra</w:t>
      </w:r>
      <w:r w:rsidRPr="00AB26B3">
        <w:rPr>
          <w:noProof/>
          <w:spacing w:val="-6"/>
          <w:lang w:val="sk-SK"/>
        </w:rPr>
        <w:t xml:space="preserve"> 2022.</w:t>
      </w:r>
    </w:p>
    <w:p w14:paraId="727719A8"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Elektromobilita (identifikačné číslo opatrenia: 16924)</w:t>
      </w:r>
    </w:p>
    <w:p w14:paraId="5E2026E2" w14:textId="3E5B8C8F" w:rsidR="00302FC1" w:rsidRPr="00AB26B3" w:rsidRDefault="00D64F26">
      <w:pPr>
        <w:pStyle w:val="P68B1DB1-Normal5"/>
        <w:spacing w:before="120" w:after="120" w:line="240" w:lineRule="auto"/>
        <w:jc w:val="both"/>
        <w:rPr>
          <w:rFonts w:cs="Times New Roman"/>
          <w:b/>
          <w:bCs/>
          <w:noProof/>
          <w:spacing w:val="-6"/>
          <w:szCs w:val="24"/>
          <w:u w:val="single"/>
          <w:lang w:val="sk-SK"/>
        </w:rPr>
      </w:pPr>
      <w:r w:rsidRPr="00AB26B3">
        <w:rPr>
          <w:noProof/>
          <w:spacing w:val="-6"/>
          <w:lang w:val="sk-SK"/>
        </w:rPr>
        <w:t>Cieľom tohto opatrenia je podporiť elektromobilitu. Opatrenie pozostáva</w:t>
      </w:r>
      <w:r w:rsidR="00AB26B3" w:rsidRPr="00AB26B3">
        <w:rPr>
          <w:noProof/>
          <w:spacing w:val="-6"/>
          <w:lang w:val="sk-SK"/>
        </w:rPr>
        <w:t xml:space="preserve"> z </w:t>
      </w:r>
      <w:r w:rsidRPr="00AB26B3">
        <w:rPr>
          <w:noProof/>
          <w:spacing w:val="-6"/>
          <w:lang w:val="sk-SK"/>
        </w:rPr>
        <w:t>nových elektrických autobusov verejnej dopravy</w:t>
      </w:r>
      <w:r w:rsidR="00AB26B3" w:rsidRPr="00AB26B3">
        <w:rPr>
          <w:noProof/>
          <w:spacing w:val="-6"/>
          <w:lang w:val="sk-SK"/>
        </w:rPr>
        <w:t xml:space="preserve"> a </w:t>
      </w:r>
      <w:r w:rsidRPr="00AB26B3">
        <w:rPr>
          <w:noProof/>
          <w:spacing w:val="-6"/>
          <w:lang w:val="sk-SK"/>
        </w:rPr>
        <w:t>zo zmeny záväzkov vyplývajúcich zo služieb vo verejnom záujme pre autobusové spoločnosti.</w:t>
      </w:r>
    </w:p>
    <w:p w14:paraId="128098D3"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70"/>
          <w:headerReference w:type="default" r:id="rId71"/>
          <w:footerReference w:type="even" r:id="rId72"/>
          <w:footerReference w:type="default" r:id="rId73"/>
          <w:headerReference w:type="first" r:id="rId74"/>
          <w:footerReference w:type="first" r:id="rId75"/>
          <w:pgSz w:w="11906" w:h="16838"/>
          <w:pgMar w:top="1417" w:right="1417" w:bottom="1417" w:left="1417" w:header="708" w:footer="708" w:gutter="0"/>
          <w:cols w:space="708"/>
          <w:docGrid w:linePitch="360"/>
        </w:sectPr>
      </w:pPr>
    </w:p>
    <w:p w14:paraId="6A739FA1" w14:textId="532048D2" w:rsidR="00302FC1" w:rsidRPr="00AB26B3" w:rsidRDefault="00D64F26">
      <w:pPr>
        <w:pStyle w:val="P68B1DB1-Normal6"/>
        <w:keepNext/>
        <w:keepLines/>
        <w:spacing w:before="40" w:after="0" w:line="240" w:lineRule="auto"/>
        <w:jc w:val="both"/>
        <w:outlineLvl w:val="4"/>
        <w:rPr>
          <w:rFonts w:cs="Times New Roman"/>
          <w:bCs/>
          <w:noProof/>
          <w:spacing w:val="-6"/>
          <w:lang w:val="sk-SK"/>
        </w:rPr>
      </w:pPr>
      <w:r w:rsidRPr="00AB26B3">
        <w:rPr>
          <w:noProof/>
          <w:spacing w:val="-6"/>
          <w:lang w:val="sk-SK"/>
        </w:rPr>
        <w:t>C.2.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0C161468" w14:textId="603CB122" w:rsidR="00302FC1" w:rsidRPr="00AB26B3" w:rsidRDefault="00D64F26">
      <w:pPr>
        <w:pStyle w:val="P68B1DB1-Normal9"/>
        <w:keepNext/>
        <w:keepLines/>
        <w:spacing w:before="40" w:after="240" w:line="240" w:lineRule="auto"/>
        <w:jc w:val="both"/>
        <w:outlineLvl w:val="4"/>
        <w:rPr>
          <w:rFonts w:ascii="Times New Roman" w:hAnsi="Times New Roman"/>
          <w:noProof/>
          <w:spacing w:val="-6"/>
          <w:lang w:val="sk-SK"/>
        </w:rPr>
      </w:pPr>
      <w:r w:rsidRPr="00AB26B3">
        <w:rPr>
          <w:rFonts w:ascii="Times New Roman" w:hAnsi="Times New Roman"/>
          <w:noProof/>
          <w:spacing w:val="-6"/>
          <w:lang w:val="sk-SK"/>
        </w:rPr>
        <w:t>Kľúčová reforma 3: Rámec pre inštaláciu</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prevádzku nabíjacej infraštruktúry pre elektrické vozidlá</w:t>
      </w:r>
    </w:p>
    <w:tbl>
      <w:tblPr>
        <w:tblpPr w:leftFromText="180" w:rightFromText="180" w:vertAnchor="text" w:tblpXSpec="center" w:tblpY="1"/>
        <w:tblOverlap w:val="never"/>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920"/>
        <w:gridCol w:w="1081"/>
        <w:gridCol w:w="1197"/>
        <w:gridCol w:w="1717"/>
        <w:gridCol w:w="1168"/>
        <w:gridCol w:w="1090"/>
        <w:gridCol w:w="709"/>
        <w:gridCol w:w="1119"/>
        <w:gridCol w:w="851"/>
        <w:gridCol w:w="4438"/>
      </w:tblGrid>
      <w:tr w:rsidR="00302FC1" w:rsidRPr="00AB26B3" w14:paraId="0D706762" w14:textId="77777777">
        <w:trPr>
          <w:trHeight w:val="927"/>
          <w:tblHeader/>
        </w:trPr>
        <w:tc>
          <w:tcPr>
            <w:tcW w:w="588" w:type="dxa"/>
            <w:vMerge w:val="restart"/>
            <w:shd w:val="clear" w:color="auto" w:fill="BDD7EE"/>
            <w:vAlign w:val="center"/>
            <w:hideMark/>
          </w:tcPr>
          <w:p w14:paraId="4619A070" w14:textId="47CD0A2D"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w:t>
            </w:r>
            <w:r w:rsidRPr="00AB26B3">
              <w:rPr>
                <w:noProof/>
                <w:spacing w:val="-6"/>
                <w:lang w:val="sk-SK"/>
              </w:rPr>
              <w:br/>
              <w:t>Nie.</w:t>
            </w:r>
          </w:p>
        </w:tc>
        <w:tc>
          <w:tcPr>
            <w:tcW w:w="1920" w:type="dxa"/>
            <w:vMerge w:val="restart"/>
            <w:shd w:val="clear" w:color="auto" w:fill="BDD7EE"/>
            <w:vAlign w:val="center"/>
            <w:hideMark/>
          </w:tcPr>
          <w:p w14:paraId="602CCD8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81" w:type="dxa"/>
            <w:vMerge w:val="restart"/>
            <w:shd w:val="clear" w:color="auto" w:fill="BDD7EE"/>
            <w:vAlign w:val="center"/>
            <w:hideMark/>
          </w:tcPr>
          <w:p w14:paraId="31D613B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197" w:type="dxa"/>
            <w:vMerge w:val="restart"/>
            <w:shd w:val="clear" w:color="auto" w:fill="BDD7EE"/>
            <w:vAlign w:val="center"/>
            <w:hideMark/>
          </w:tcPr>
          <w:p w14:paraId="7CBEC1C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717" w:type="dxa"/>
            <w:vMerge w:val="restart"/>
            <w:shd w:val="clear" w:color="auto" w:fill="BDD7EE"/>
            <w:vAlign w:val="center"/>
            <w:hideMark/>
          </w:tcPr>
          <w:p w14:paraId="3D1D8E0B" w14:textId="779C0B25"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Kvalitatívne ukazovatele </w:t>
            </w:r>
            <w:r w:rsidRPr="00AB26B3">
              <w:rPr>
                <w:noProof/>
                <w:spacing w:val="-6"/>
                <w:lang w:val="sk-SK"/>
              </w:rPr>
              <w:br/>
              <w:t>(pre míľniky)</w:t>
            </w:r>
          </w:p>
        </w:tc>
        <w:tc>
          <w:tcPr>
            <w:tcW w:w="2961" w:type="dxa"/>
            <w:gridSpan w:val="3"/>
            <w:shd w:val="clear" w:color="auto" w:fill="BDD7EE"/>
            <w:vAlign w:val="center"/>
            <w:hideMark/>
          </w:tcPr>
          <w:p w14:paraId="31DF1B3B" w14:textId="5E9E0AB5"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843" w:type="dxa"/>
            <w:gridSpan w:val="2"/>
            <w:shd w:val="clear" w:color="auto" w:fill="BDD7EE"/>
            <w:vAlign w:val="center"/>
            <w:hideMark/>
          </w:tcPr>
          <w:p w14:paraId="57247B1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438" w:type="dxa"/>
            <w:vMerge w:val="restart"/>
            <w:shd w:val="clear" w:color="auto" w:fill="BDD7EE"/>
            <w:vAlign w:val="center"/>
            <w:hideMark/>
          </w:tcPr>
          <w:p w14:paraId="2D937807" w14:textId="09295D58"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30AFA80D" w14:textId="77777777">
        <w:trPr>
          <w:trHeight w:val="327"/>
        </w:trPr>
        <w:tc>
          <w:tcPr>
            <w:tcW w:w="588" w:type="dxa"/>
            <w:vMerge/>
            <w:vAlign w:val="center"/>
            <w:hideMark/>
          </w:tcPr>
          <w:p w14:paraId="2C3ACEF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20" w:type="dxa"/>
            <w:vMerge/>
            <w:vAlign w:val="center"/>
            <w:hideMark/>
          </w:tcPr>
          <w:p w14:paraId="6723256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81" w:type="dxa"/>
            <w:vMerge/>
            <w:vAlign w:val="center"/>
            <w:hideMark/>
          </w:tcPr>
          <w:p w14:paraId="4A5E154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97" w:type="dxa"/>
            <w:vMerge/>
            <w:vAlign w:val="center"/>
            <w:hideMark/>
          </w:tcPr>
          <w:p w14:paraId="1662A46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17" w:type="dxa"/>
            <w:vMerge/>
            <w:vAlign w:val="center"/>
            <w:hideMark/>
          </w:tcPr>
          <w:p w14:paraId="614AB17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62" w:type="dxa"/>
            <w:shd w:val="clear" w:color="auto" w:fill="BDD7EE"/>
            <w:vAlign w:val="center"/>
            <w:hideMark/>
          </w:tcPr>
          <w:p w14:paraId="0986906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090" w:type="dxa"/>
            <w:shd w:val="clear" w:color="auto" w:fill="BDD7EE"/>
            <w:vAlign w:val="center"/>
            <w:hideMark/>
          </w:tcPr>
          <w:p w14:paraId="0A5E6A0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709" w:type="dxa"/>
            <w:shd w:val="clear" w:color="auto" w:fill="BDD7EE"/>
            <w:vAlign w:val="center"/>
            <w:hideMark/>
          </w:tcPr>
          <w:p w14:paraId="63175C1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992" w:type="dxa"/>
            <w:shd w:val="clear" w:color="auto" w:fill="BDD7EE"/>
            <w:vAlign w:val="center"/>
            <w:hideMark/>
          </w:tcPr>
          <w:p w14:paraId="1236049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851" w:type="dxa"/>
            <w:shd w:val="clear" w:color="auto" w:fill="BDD7EE"/>
            <w:vAlign w:val="center"/>
            <w:hideMark/>
          </w:tcPr>
          <w:p w14:paraId="3D5A6A2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438" w:type="dxa"/>
            <w:vMerge/>
            <w:vAlign w:val="center"/>
            <w:hideMark/>
          </w:tcPr>
          <w:p w14:paraId="50A6F91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4D6E0D9F" w14:textId="77777777">
        <w:trPr>
          <w:trHeight w:val="309"/>
        </w:trPr>
        <w:tc>
          <w:tcPr>
            <w:tcW w:w="588" w:type="dxa"/>
            <w:shd w:val="clear" w:color="auto" w:fill="C6EFCE"/>
            <w:noWrap/>
          </w:tcPr>
          <w:p w14:paraId="5DCEBE62"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42</w:t>
            </w:r>
          </w:p>
        </w:tc>
        <w:tc>
          <w:tcPr>
            <w:tcW w:w="1920" w:type="dxa"/>
            <w:shd w:val="clear" w:color="auto" w:fill="C6EFCE"/>
            <w:noWrap/>
          </w:tcPr>
          <w:p w14:paraId="5F6A9043" w14:textId="6A9D056B"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3 – 1.3. Dobíjanie</w:t>
            </w:r>
            <w:r w:rsidR="00AB26B3" w:rsidRPr="00AB26B3">
              <w:rPr>
                <w:noProof/>
                <w:spacing w:val="-6"/>
                <w:lang w:val="sk-SK"/>
              </w:rPr>
              <w:t xml:space="preserve"> a </w:t>
            </w:r>
            <w:r w:rsidRPr="00AB26B3">
              <w:rPr>
                <w:noProof/>
                <w:spacing w:val="-6"/>
                <w:lang w:val="sk-SK"/>
              </w:rPr>
              <w:t>dopĺňanie paliva – 16281_Rámec pre inštaláciu</w:t>
            </w:r>
            <w:r w:rsidR="00AB26B3" w:rsidRPr="00AB26B3">
              <w:rPr>
                <w:noProof/>
                <w:spacing w:val="-6"/>
                <w:lang w:val="sk-SK"/>
              </w:rPr>
              <w:t xml:space="preserve"> a </w:t>
            </w:r>
            <w:r w:rsidRPr="00AB26B3">
              <w:rPr>
                <w:noProof/>
                <w:spacing w:val="-6"/>
                <w:lang w:val="sk-SK"/>
              </w:rPr>
              <w:t>prevádzku nabíjacej infraštruktúry pre elektrické vozidlá</w:t>
            </w:r>
          </w:p>
        </w:tc>
        <w:tc>
          <w:tcPr>
            <w:tcW w:w="1081" w:type="dxa"/>
            <w:shd w:val="clear" w:color="auto" w:fill="C6EFCE"/>
            <w:noWrap/>
          </w:tcPr>
          <w:p w14:paraId="162D524E"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Míľnik</w:t>
            </w:r>
          </w:p>
        </w:tc>
        <w:tc>
          <w:tcPr>
            <w:tcW w:w="1197" w:type="dxa"/>
            <w:shd w:val="clear" w:color="auto" w:fill="C6EFCE"/>
            <w:noWrap/>
          </w:tcPr>
          <w:p w14:paraId="63BB2664"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Nabíjacie stanice pre elektrické vozidlá – nadobudnutie účinnosti právneho rámca</w:t>
            </w:r>
          </w:p>
        </w:tc>
        <w:tc>
          <w:tcPr>
            <w:tcW w:w="1717" w:type="dxa"/>
            <w:shd w:val="clear" w:color="auto" w:fill="C6EFCE"/>
            <w:noWrap/>
          </w:tcPr>
          <w:p w14:paraId="1DBCC30A"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Nadobudnutie účinnosti prijatých ministerských rozhodnutí.</w:t>
            </w:r>
          </w:p>
        </w:tc>
        <w:tc>
          <w:tcPr>
            <w:tcW w:w="1162" w:type="dxa"/>
            <w:shd w:val="clear" w:color="auto" w:fill="C6EFCE"/>
            <w:noWrap/>
          </w:tcPr>
          <w:p w14:paraId="6D93220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90" w:type="dxa"/>
            <w:shd w:val="clear" w:color="auto" w:fill="C6EFCE"/>
            <w:noWrap/>
          </w:tcPr>
          <w:p w14:paraId="408C9C9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6D601C0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1B211EB4"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TRETÍ ŠTVRŤROK</w:t>
            </w:r>
          </w:p>
        </w:tc>
        <w:tc>
          <w:tcPr>
            <w:tcW w:w="851" w:type="dxa"/>
            <w:shd w:val="clear" w:color="auto" w:fill="C6EFCE"/>
            <w:noWrap/>
          </w:tcPr>
          <w:p w14:paraId="60A39C28"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2021</w:t>
            </w:r>
          </w:p>
        </w:tc>
        <w:tc>
          <w:tcPr>
            <w:tcW w:w="4438" w:type="dxa"/>
            <w:shd w:val="clear" w:color="auto" w:fill="C6EFCE"/>
            <w:noWrap/>
          </w:tcPr>
          <w:p w14:paraId="7FAA9048" w14:textId="08F86123"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Nadobudnutie účinnosti všetkých ministerských rozhodnutí stanovených</w:t>
            </w:r>
            <w:r w:rsidR="00AB26B3" w:rsidRPr="00AB26B3">
              <w:rPr>
                <w:noProof/>
                <w:spacing w:val="-6"/>
                <w:lang w:val="sk-SK"/>
              </w:rPr>
              <w:t xml:space="preserve"> v </w:t>
            </w:r>
            <w:r w:rsidRPr="00AB26B3">
              <w:rPr>
                <w:noProof/>
                <w:spacing w:val="-6"/>
                <w:lang w:val="sk-SK"/>
              </w:rPr>
              <w:t xml:space="preserve">zákone </w:t>
            </w:r>
            <w:r w:rsidR="00AB26B3" w:rsidRPr="00AB26B3">
              <w:rPr>
                <w:noProof/>
                <w:spacing w:val="-6"/>
                <w:lang w:val="sk-SK"/>
              </w:rPr>
              <w:t>č. </w:t>
            </w:r>
            <w:r w:rsidRPr="00AB26B3">
              <w:rPr>
                <w:noProof/>
                <w:spacing w:val="-6"/>
                <w:lang w:val="sk-SK"/>
              </w:rPr>
              <w:t>4710/2020</w:t>
            </w:r>
            <w:r w:rsidR="00AB26B3" w:rsidRPr="00AB26B3">
              <w:rPr>
                <w:noProof/>
                <w:spacing w:val="-6"/>
                <w:lang w:val="sk-SK"/>
              </w:rPr>
              <w:t xml:space="preserve"> a </w:t>
            </w:r>
            <w:r w:rsidRPr="00AB26B3">
              <w:rPr>
                <w:noProof/>
                <w:spacing w:val="-6"/>
                <w:lang w:val="sk-SK"/>
              </w:rPr>
              <w:t>podpísaných ministrom životného prostredia</w:t>
            </w:r>
            <w:r w:rsidR="00AB26B3" w:rsidRPr="00AB26B3">
              <w:rPr>
                <w:noProof/>
                <w:spacing w:val="-6"/>
                <w:lang w:val="sk-SK"/>
              </w:rPr>
              <w:t xml:space="preserve"> a </w:t>
            </w:r>
            <w:r w:rsidRPr="00AB26B3">
              <w:rPr>
                <w:noProof/>
                <w:spacing w:val="-6"/>
                <w:lang w:val="sk-SK"/>
              </w:rPr>
              <w:t>energetiky; Minister infraštruktúry</w:t>
            </w:r>
            <w:r w:rsidR="00AB26B3" w:rsidRPr="00AB26B3">
              <w:rPr>
                <w:noProof/>
                <w:spacing w:val="-6"/>
                <w:lang w:val="sk-SK"/>
              </w:rPr>
              <w:t xml:space="preserve"> a </w:t>
            </w:r>
            <w:r w:rsidRPr="00AB26B3">
              <w:rPr>
                <w:noProof/>
                <w:spacing w:val="-6"/>
                <w:lang w:val="sk-SK"/>
              </w:rPr>
              <w:t>dopravy, minister vnútra</w:t>
            </w:r>
            <w:r w:rsidR="00AB26B3" w:rsidRPr="00AB26B3">
              <w:rPr>
                <w:noProof/>
                <w:spacing w:val="-6"/>
                <w:lang w:val="sk-SK"/>
              </w:rPr>
              <w:t xml:space="preserve"> a </w:t>
            </w:r>
            <w:r w:rsidRPr="00AB26B3">
              <w:rPr>
                <w:noProof/>
                <w:spacing w:val="-6"/>
                <w:lang w:val="sk-SK"/>
              </w:rPr>
              <w:t>minister financií, organizácia trhu</w:t>
            </w:r>
            <w:r w:rsidR="00AB26B3" w:rsidRPr="00AB26B3">
              <w:rPr>
                <w:noProof/>
                <w:spacing w:val="-6"/>
                <w:lang w:val="sk-SK"/>
              </w:rPr>
              <w:t xml:space="preserve"> s </w:t>
            </w:r>
            <w:r w:rsidRPr="00AB26B3">
              <w:rPr>
                <w:noProof/>
                <w:spacing w:val="-6"/>
                <w:lang w:val="sk-SK"/>
              </w:rPr>
              <w:t>elektrickými vozidlami so zameraním na trh</w:t>
            </w:r>
            <w:r w:rsidR="00AB26B3" w:rsidRPr="00AB26B3">
              <w:rPr>
                <w:noProof/>
                <w:spacing w:val="-6"/>
                <w:lang w:val="sk-SK"/>
              </w:rPr>
              <w:t xml:space="preserve"> s </w:t>
            </w:r>
            <w:r w:rsidRPr="00AB26B3">
              <w:rPr>
                <w:noProof/>
                <w:spacing w:val="-6"/>
                <w:lang w:val="sk-SK"/>
              </w:rPr>
              <w:t>nabíjacími službami</w:t>
            </w:r>
            <w:r w:rsidR="00AB26B3" w:rsidRPr="00AB26B3">
              <w:rPr>
                <w:noProof/>
                <w:spacing w:val="-6"/>
                <w:lang w:val="sk-SK"/>
              </w:rPr>
              <w:t xml:space="preserve"> a </w:t>
            </w:r>
            <w:r w:rsidRPr="00AB26B3">
              <w:rPr>
                <w:noProof/>
                <w:spacing w:val="-6"/>
                <w:lang w:val="sk-SK"/>
              </w:rPr>
              <w:t>poskytovanie daňových stimulov na nákup elektrických vozidiel</w:t>
            </w:r>
            <w:r w:rsidR="00AB26B3" w:rsidRPr="00AB26B3">
              <w:rPr>
                <w:noProof/>
                <w:spacing w:val="-6"/>
                <w:lang w:val="sk-SK"/>
              </w:rPr>
              <w:t xml:space="preserve"> a </w:t>
            </w:r>
            <w:r w:rsidRPr="00AB26B3">
              <w:rPr>
                <w:noProof/>
                <w:spacing w:val="-6"/>
                <w:lang w:val="sk-SK"/>
              </w:rPr>
              <w:t>inštaláciu nabíjacej infraštruktúry pre elektrické vozidlá.</w:t>
            </w:r>
          </w:p>
        </w:tc>
      </w:tr>
      <w:tr w:rsidR="00302FC1" w:rsidRPr="00AB26B3" w14:paraId="3528C2E8" w14:textId="77777777">
        <w:trPr>
          <w:trHeight w:val="309"/>
        </w:trPr>
        <w:tc>
          <w:tcPr>
            <w:tcW w:w="588" w:type="dxa"/>
            <w:shd w:val="clear" w:color="auto" w:fill="C6EFCE"/>
            <w:noWrap/>
          </w:tcPr>
          <w:p w14:paraId="120D6328"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43</w:t>
            </w:r>
          </w:p>
        </w:tc>
        <w:tc>
          <w:tcPr>
            <w:tcW w:w="1920" w:type="dxa"/>
            <w:shd w:val="clear" w:color="auto" w:fill="C6EFCE"/>
            <w:noWrap/>
          </w:tcPr>
          <w:p w14:paraId="26A1B991" w14:textId="7E6516F6"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3 – 1.3. Dobíjanie</w:t>
            </w:r>
            <w:r w:rsidR="00AB26B3" w:rsidRPr="00AB26B3">
              <w:rPr>
                <w:noProof/>
                <w:spacing w:val="-6"/>
                <w:lang w:val="sk-SK"/>
              </w:rPr>
              <w:t xml:space="preserve"> a </w:t>
            </w:r>
            <w:r w:rsidRPr="00AB26B3">
              <w:rPr>
                <w:noProof/>
                <w:spacing w:val="-6"/>
                <w:lang w:val="sk-SK"/>
              </w:rPr>
              <w:t>dopĺňanie paliva – 16281_Rámec pre inštaláciu</w:t>
            </w:r>
            <w:r w:rsidR="00AB26B3" w:rsidRPr="00AB26B3">
              <w:rPr>
                <w:noProof/>
                <w:spacing w:val="-6"/>
                <w:lang w:val="sk-SK"/>
              </w:rPr>
              <w:t xml:space="preserve"> a </w:t>
            </w:r>
            <w:r w:rsidRPr="00AB26B3">
              <w:rPr>
                <w:noProof/>
                <w:spacing w:val="-6"/>
                <w:lang w:val="sk-SK"/>
              </w:rPr>
              <w:t>prevádzku nabíjacej infraštruktúry pre elektrické vozidlá</w:t>
            </w:r>
          </w:p>
        </w:tc>
        <w:tc>
          <w:tcPr>
            <w:tcW w:w="1081" w:type="dxa"/>
            <w:shd w:val="clear" w:color="auto" w:fill="C6EFCE"/>
            <w:noWrap/>
          </w:tcPr>
          <w:p w14:paraId="2558C6D2"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Cieľ</w:t>
            </w:r>
          </w:p>
        </w:tc>
        <w:tc>
          <w:tcPr>
            <w:tcW w:w="1197" w:type="dxa"/>
            <w:shd w:val="clear" w:color="auto" w:fill="C6EFCE"/>
            <w:noWrap/>
          </w:tcPr>
          <w:p w14:paraId="59D02348"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Nabíjacie stanice pre elektrické vozidlá – schválené miestne plány</w:t>
            </w:r>
          </w:p>
        </w:tc>
        <w:tc>
          <w:tcPr>
            <w:tcW w:w="1717" w:type="dxa"/>
            <w:shd w:val="clear" w:color="auto" w:fill="C6EFCE"/>
            <w:noWrap/>
          </w:tcPr>
          <w:p w14:paraId="20E6557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62" w:type="dxa"/>
            <w:shd w:val="clear" w:color="auto" w:fill="C6EFCE"/>
            <w:noWrap/>
          </w:tcPr>
          <w:p w14:paraId="3F6903E1" w14:textId="2A45D1D3"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Počet plánov prijatých ministerstvom životného prostredia</w:t>
            </w:r>
            <w:r w:rsidR="00AB26B3" w:rsidRPr="00AB26B3">
              <w:rPr>
                <w:noProof/>
                <w:spacing w:val="-6"/>
                <w:lang w:val="sk-SK"/>
              </w:rPr>
              <w:t xml:space="preserve"> a </w:t>
            </w:r>
            <w:r w:rsidRPr="00AB26B3">
              <w:rPr>
                <w:noProof/>
                <w:spacing w:val="-6"/>
                <w:lang w:val="sk-SK"/>
              </w:rPr>
              <w:t>energetiky</w:t>
            </w:r>
          </w:p>
        </w:tc>
        <w:tc>
          <w:tcPr>
            <w:tcW w:w="1090" w:type="dxa"/>
            <w:shd w:val="clear" w:color="auto" w:fill="C6EFCE"/>
            <w:noWrap/>
          </w:tcPr>
          <w:p w14:paraId="3AC6A62E"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0</w:t>
            </w:r>
          </w:p>
        </w:tc>
        <w:tc>
          <w:tcPr>
            <w:tcW w:w="709" w:type="dxa"/>
            <w:shd w:val="clear" w:color="auto" w:fill="C6EFCE"/>
            <w:noWrap/>
          </w:tcPr>
          <w:p w14:paraId="71E20B93"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300</w:t>
            </w:r>
          </w:p>
        </w:tc>
        <w:tc>
          <w:tcPr>
            <w:tcW w:w="992" w:type="dxa"/>
            <w:shd w:val="clear" w:color="auto" w:fill="C6EFCE"/>
            <w:noWrap/>
          </w:tcPr>
          <w:p w14:paraId="07E2F094"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ŠTVRTÝ ŠTVRŤROK</w:t>
            </w:r>
          </w:p>
        </w:tc>
        <w:tc>
          <w:tcPr>
            <w:tcW w:w="851" w:type="dxa"/>
            <w:shd w:val="clear" w:color="auto" w:fill="C6EFCE"/>
            <w:noWrap/>
          </w:tcPr>
          <w:p w14:paraId="28342014"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2022</w:t>
            </w:r>
          </w:p>
        </w:tc>
        <w:tc>
          <w:tcPr>
            <w:tcW w:w="4438" w:type="dxa"/>
            <w:shd w:val="clear" w:color="auto" w:fill="C6EFCE"/>
            <w:noWrap/>
          </w:tcPr>
          <w:p w14:paraId="72BF6F96" w14:textId="3C472633"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Ministerstvo životného prostredia</w:t>
            </w:r>
            <w:r w:rsidR="00AB26B3" w:rsidRPr="00AB26B3">
              <w:rPr>
                <w:noProof/>
                <w:spacing w:val="-6"/>
                <w:lang w:val="sk-SK"/>
              </w:rPr>
              <w:t xml:space="preserve"> a </w:t>
            </w:r>
            <w:r w:rsidRPr="00AB26B3">
              <w:rPr>
                <w:noProof/>
                <w:spacing w:val="-6"/>
                <w:lang w:val="sk-SK"/>
              </w:rPr>
              <w:t>energetiky prijme najmenej 300 plánov predložených miestnymi orgánmi na inštaláciu verejne dostupných nabíjacích staníc pre elektrické vozidlá.</w:t>
            </w:r>
          </w:p>
        </w:tc>
      </w:tr>
    </w:tbl>
    <w:p w14:paraId="77CA0A08"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38AFCDAD"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sectPr w:rsidR="00302FC1" w:rsidRPr="00AB26B3" w:rsidSect="00315FC0">
          <w:headerReference w:type="even" r:id="rId76"/>
          <w:headerReference w:type="default" r:id="rId77"/>
          <w:footerReference w:type="even" r:id="rId78"/>
          <w:footerReference w:type="default" r:id="rId79"/>
          <w:headerReference w:type="first" r:id="rId80"/>
          <w:footerReference w:type="first" r:id="rId81"/>
          <w:pgSz w:w="16839" w:h="11907" w:orient="landscape"/>
          <w:pgMar w:top="720" w:right="720" w:bottom="720" w:left="720" w:header="709" w:footer="359" w:gutter="0"/>
          <w:cols w:space="720"/>
          <w:docGrid w:linePitch="360"/>
        </w:sectPr>
      </w:pPr>
    </w:p>
    <w:p w14:paraId="1CEFC740" w14:textId="66A2C6DA"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4: Elektromobilita</w:t>
      </w:r>
    </w:p>
    <w:p w14:paraId="35BB9CEB" w14:textId="77777777" w:rsidR="00302FC1" w:rsidRPr="00AB26B3" w:rsidRDefault="00D64F26">
      <w:pPr>
        <w:pStyle w:val="P68B1DB1-Normal5"/>
        <w:spacing w:before="120" w:after="120" w:line="240" w:lineRule="auto"/>
        <w:ind w:left="709"/>
        <w:rPr>
          <w:rFonts w:cs="Times New Roman"/>
          <w:noProof/>
          <w:spacing w:val="-6"/>
          <w:lang w:val="sk-SK"/>
        </w:rPr>
      </w:pPr>
      <w:r w:rsidRPr="00AB26B3">
        <w:rPr>
          <w:noProof/>
          <w:spacing w:val="-6"/>
          <w:lang w:val="sk-SK"/>
        </w:rPr>
        <w:t>Do tejto skupiny patria tieto opatrenia:</w:t>
      </w:r>
    </w:p>
    <w:p w14:paraId="797FC5D3" w14:textId="77777777" w:rsidR="00302FC1" w:rsidRPr="00AB26B3" w:rsidRDefault="00D64F26">
      <w:pPr>
        <w:spacing w:before="120" w:after="120" w:line="240" w:lineRule="auto"/>
        <w:ind w:left="709"/>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Produc-E Green (ID: 16831)</w:t>
      </w:r>
    </w:p>
    <w:p w14:paraId="0D3842E7" w14:textId="4B722A55" w:rsidR="00302FC1" w:rsidRPr="00AB26B3" w:rsidRDefault="00D64F26">
      <w:pPr>
        <w:spacing w:before="120" w:after="120" w:line="240" w:lineRule="auto"/>
        <w:ind w:left="709"/>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 xml:space="preserve">Elektromobilita (ID: 16924) </w:t>
      </w:r>
    </w:p>
    <w:tbl>
      <w:tblPr>
        <w:tblpPr w:leftFromText="180" w:rightFromText="180" w:vertAnchor="text" w:tblpXSpec="right" w:tblpY="1"/>
        <w:tblOverlap w:val="never"/>
        <w:tblW w:w="15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88"/>
        <w:gridCol w:w="1049"/>
        <w:gridCol w:w="1418"/>
        <w:gridCol w:w="2377"/>
        <w:gridCol w:w="1460"/>
        <w:gridCol w:w="909"/>
        <w:gridCol w:w="936"/>
        <w:gridCol w:w="1119"/>
        <w:gridCol w:w="709"/>
        <w:gridCol w:w="3191"/>
      </w:tblGrid>
      <w:tr w:rsidR="00302FC1" w:rsidRPr="00AB26B3" w14:paraId="3E85B6CC" w14:textId="77777777">
        <w:trPr>
          <w:trHeight w:val="939"/>
          <w:tblHeader/>
        </w:trPr>
        <w:tc>
          <w:tcPr>
            <w:tcW w:w="817" w:type="dxa"/>
            <w:vMerge w:val="restart"/>
            <w:shd w:val="clear" w:color="auto" w:fill="BDD7EE"/>
            <w:vAlign w:val="center"/>
            <w:hideMark/>
          </w:tcPr>
          <w:p w14:paraId="4CBC8BC6" w14:textId="33B2F89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w:t>
            </w:r>
            <w:r w:rsidRPr="00AB26B3">
              <w:rPr>
                <w:noProof/>
                <w:spacing w:val="-6"/>
                <w:lang w:val="sk-SK"/>
              </w:rPr>
              <w:br/>
              <w:t>Nie.</w:t>
            </w:r>
          </w:p>
        </w:tc>
        <w:tc>
          <w:tcPr>
            <w:tcW w:w="1588" w:type="dxa"/>
            <w:vMerge w:val="restart"/>
            <w:shd w:val="clear" w:color="auto" w:fill="BDD7EE"/>
            <w:vAlign w:val="center"/>
            <w:hideMark/>
          </w:tcPr>
          <w:p w14:paraId="784B04D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992" w:type="dxa"/>
            <w:vMerge w:val="restart"/>
            <w:shd w:val="clear" w:color="auto" w:fill="BDD7EE"/>
            <w:vAlign w:val="center"/>
            <w:hideMark/>
          </w:tcPr>
          <w:p w14:paraId="7105AB1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418" w:type="dxa"/>
            <w:vMerge w:val="restart"/>
            <w:shd w:val="clear" w:color="auto" w:fill="BDD7EE"/>
            <w:vAlign w:val="center"/>
            <w:hideMark/>
          </w:tcPr>
          <w:p w14:paraId="0182268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2377" w:type="dxa"/>
            <w:vMerge w:val="restart"/>
            <w:shd w:val="clear" w:color="auto" w:fill="BDD7EE"/>
            <w:vAlign w:val="center"/>
            <w:hideMark/>
          </w:tcPr>
          <w:p w14:paraId="790C6B98" w14:textId="7FFAF4E9"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w:t>
            </w:r>
            <w:r w:rsidRPr="00AB26B3">
              <w:rPr>
                <w:noProof/>
                <w:spacing w:val="-6"/>
                <w:lang w:val="sk-SK"/>
              </w:rPr>
              <w:br/>
              <w:t xml:space="preserve"> (pre míľniky)</w:t>
            </w:r>
          </w:p>
        </w:tc>
        <w:tc>
          <w:tcPr>
            <w:tcW w:w="3253" w:type="dxa"/>
            <w:gridSpan w:val="3"/>
            <w:shd w:val="clear" w:color="auto" w:fill="BDD7EE"/>
            <w:vAlign w:val="center"/>
            <w:hideMark/>
          </w:tcPr>
          <w:p w14:paraId="6C8897A9" w14:textId="497DF3B3"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Kvantitatívne ukazovatele </w:t>
            </w:r>
            <w:r w:rsidRPr="00AB26B3">
              <w:rPr>
                <w:noProof/>
                <w:spacing w:val="-6"/>
                <w:lang w:val="sk-SK"/>
              </w:rPr>
              <w:br/>
              <w:t>(pre ciele)</w:t>
            </w:r>
          </w:p>
        </w:tc>
        <w:tc>
          <w:tcPr>
            <w:tcW w:w="1555" w:type="dxa"/>
            <w:gridSpan w:val="2"/>
            <w:shd w:val="clear" w:color="auto" w:fill="BDD7EE"/>
            <w:vAlign w:val="center"/>
            <w:hideMark/>
          </w:tcPr>
          <w:p w14:paraId="4F2F13E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191" w:type="dxa"/>
            <w:vMerge w:val="restart"/>
            <w:shd w:val="clear" w:color="auto" w:fill="BDD7EE"/>
            <w:vAlign w:val="center"/>
            <w:hideMark/>
          </w:tcPr>
          <w:p w14:paraId="5C1C235E" w14:textId="31073C13"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37744907" w14:textId="77777777">
        <w:trPr>
          <w:trHeight w:val="531"/>
          <w:tblHeader/>
        </w:trPr>
        <w:tc>
          <w:tcPr>
            <w:tcW w:w="817" w:type="dxa"/>
            <w:vMerge/>
            <w:vAlign w:val="center"/>
            <w:hideMark/>
          </w:tcPr>
          <w:p w14:paraId="2AC28E4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88" w:type="dxa"/>
            <w:vMerge/>
            <w:vAlign w:val="center"/>
            <w:hideMark/>
          </w:tcPr>
          <w:p w14:paraId="04D9B97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92" w:type="dxa"/>
            <w:vMerge/>
            <w:vAlign w:val="center"/>
            <w:hideMark/>
          </w:tcPr>
          <w:p w14:paraId="2FAC415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18" w:type="dxa"/>
            <w:vMerge/>
            <w:vAlign w:val="center"/>
            <w:hideMark/>
          </w:tcPr>
          <w:p w14:paraId="7E52F11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377" w:type="dxa"/>
            <w:vMerge/>
            <w:vAlign w:val="center"/>
            <w:hideMark/>
          </w:tcPr>
          <w:p w14:paraId="4EF87E7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60" w:type="dxa"/>
            <w:shd w:val="clear" w:color="auto" w:fill="BDD7EE"/>
            <w:vAlign w:val="center"/>
            <w:hideMark/>
          </w:tcPr>
          <w:p w14:paraId="2E19479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shd w:val="clear" w:color="auto" w:fill="BDD7EE"/>
            <w:vAlign w:val="center"/>
            <w:hideMark/>
          </w:tcPr>
          <w:p w14:paraId="1ADD59C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936" w:type="dxa"/>
            <w:shd w:val="clear" w:color="auto" w:fill="BDD7EE"/>
            <w:vAlign w:val="center"/>
            <w:hideMark/>
          </w:tcPr>
          <w:p w14:paraId="38CB12C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46" w:type="dxa"/>
            <w:shd w:val="clear" w:color="auto" w:fill="BDD7EE"/>
            <w:vAlign w:val="center"/>
            <w:hideMark/>
          </w:tcPr>
          <w:p w14:paraId="619BEEB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3622234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191" w:type="dxa"/>
            <w:vMerge/>
            <w:vAlign w:val="center"/>
            <w:hideMark/>
          </w:tcPr>
          <w:p w14:paraId="56AFF5C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2F52903E" w14:textId="77777777">
        <w:trPr>
          <w:trHeight w:val="313"/>
        </w:trPr>
        <w:tc>
          <w:tcPr>
            <w:tcW w:w="817" w:type="dxa"/>
            <w:shd w:val="clear" w:color="auto" w:fill="C6EFCE"/>
            <w:noWrap/>
          </w:tcPr>
          <w:p w14:paraId="03226FC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44</w:t>
            </w:r>
          </w:p>
        </w:tc>
        <w:tc>
          <w:tcPr>
            <w:tcW w:w="1588" w:type="dxa"/>
            <w:shd w:val="clear" w:color="auto" w:fill="C6EFCE"/>
            <w:noWrap/>
          </w:tcPr>
          <w:p w14:paraId="5B27F8A4" w14:textId="5B0A15C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992" w:type="dxa"/>
            <w:shd w:val="clear" w:color="auto" w:fill="C6EFCE"/>
            <w:noWrap/>
          </w:tcPr>
          <w:p w14:paraId="277A9E5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261A777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Verejná doprava – nadobudnutie účinnosti trhovej regulácie záväzkov vyplývajúcich zo služieb vo verejnom záujme (autobusy)</w:t>
            </w:r>
          </w:p>
        </w:tc>
        <w:tc>
          <w:tcPr>
            <w:tcW w:w="2377" w:type="dxa"/>
            <w:shd w:val="clear" w:color="auto" w:fill="C6EFCE"/>
            <w:noWrap/>
          </w:tcPr>
          <w:p w14:paraId="606682C6" w14:textId="77777777" w:rsidR="00302FC1" w:rsidRPr="00AB26B3" w:rsidRDefault="00D64F26">
            <w:pPr>
              <w:pStyle w:val="P68B1DB1-Normal12"/>
              <w:spacing w:after="0" w:line="240" w:lineRule="auto"/>
              <w:rPr>
                <w:rFonts w:eastAsia="Times New Roman"/>
                <w:noProof/>
                <w:spacing w:val="-6"/>
                <w:highlight w:val="yellow"/>
                <w:lang w:val="sk-SK"/>
              </w:rPr>
            </w:pPr>
            <w:r w:rsidRPr="00AB26B3">
              <w:rPr>
                <w:noProof/>
                <w:spacing w:val="-6"/>
                <w:lang w:val="sk-SK"/>
              </w:rPr>
              <w:t>Nadobudnutie účinnosti revidovaného právneho rámca.</w:t>
            </w:r>
          </w:p>
        </w:tc>
        <w:tc>
          <w:tcPr>
            <w:tcW w:w="1460" w:type="dxa"/>
            <w:shd w:val="clear" w:color="auto" w:fill="C6EFCE"/>
            <w:noWrap/>
          </w:tcPr>
          <w:p w14:paraId="57B3BEA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5A59C2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5D655B3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14682F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7BEF82F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3191" w:type="dxa"/>
            <w:shd w:val="clear" w:color="auto" w:fill="C6EFCE"/>
            <w:noWrap/>
          </w:tcPr>
          <w:p w14:paraId="2E813ECA" w14:textId="032522B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Posilniť reguláciu trhu nadobudnutím účinnosti revidovaného legislatívneho rámca pre služby verejnej mestskej</w:t>
            </w:r>
            <w:r w:rsidR="00AB26B3" w:rsidRPr="00AB26B3">
              <w:rPr>
                <w:noProof/>
                <w:spacing w:val="-6"/>
                <w:lang w:val="sk-SK"/>
              </w:rPr>
              <w:t xml:space="preserve"> a </w:t>
            </w:r>
            <w:r w:rsidRPr="00AB26B3">
              <w:rPr>
                <w:noProof/>
                <w:spacing w:val="-6"/>
                <w:lang w:val="sk-SK"/>
              </w:rPr>
              <w:t>regionálnej osobnej dopravy (v súlade</w:t>
            </w:r>
            <w:r w:rsidR="00AB26B3" w:rsidRPr="00AB26B3">
              <w:rPr>
                <w:noProof/>
                <w:spacing w:val="-6"/>
                <w:lang w:val="sk-SK"/>
              </w:rPr>
              <w:t xml:space="preserve"> s </w:t>
            </w:r>
            <w:r w:rsidRPr="00AB26B3">
              <w:rPr>
                <w:noProof/>
                <w:spacing w:val="-6"/>
                <w:lang w:val="sk-SK"/>
              </w:rPr>
              <w:t>nariadením EÚ 1370/2007). Revidovaný rámec: a) zabezpečiť nepretržité poskytovanie verejnej mestskej</w:t>
            </w:r>
            <w:r w:rsidR="00AB26B3" w:rsidRPr="00AB26B3">
              <w:rPr>
                <w:noProof/>
                <w:spacing w:val="-6"/>
                <w:lang w:val="sk-SK"/>
              </w:rPr>
              <w:t xml:space="preserve"> a </w:t>
            </w:r>
            <w:r w:rsidRPr="00AB26B3">
              <w:rPr>
                <w:noProof/>
                <w:spacing w:val="-6"/>
                <w:lang w:val="sk-SK"/>
              </w:rPr>
              <w:t>regionálnej cestnej osobnej dopravy (pravidelná</w:t>
            </w:r>
            <w:r w:rsidR="00AB26B3" w:rsidRPr="00AB26B3">
              <w:rPr>
                <w:noProof/>
                <w:spacing w:val="-6"/>
                <w:lang w:val="sk-SK"/>
              </w:rPr>
              <w:t xml:space="preserve"> a </w:t>
            </w:r>
            <w:r w:rsidRPr="00AB26B3">
              <w:rPr>
                <w:noProof/>
                <w:spacing w:val="-6"/>
                <w:lang w:val="sk-SK"/>
              </w:rPr>
              <w:t>pevná trasa); b) dohliadať na projektovanie, organizáciu</w:t>
            </w:r>
            <w:r w:rsidR="00AB26B3" w:rsidRPr="00AB26B3">
              <w:rPr>
                <w:noProof/>
                <w:spacing w:val="-6"/>
                <w:lang w:val="sk-SK"/>
              </w:rPr>
              <w:t xml:space="preserve"> a </w:t>
            </w:r>
            <w:r w:rsidRPr="00AB26B3">
              <w:rPr>
                <w:noProof/>
                <w:spacing w:val="-6"/>
                <w:lang w:val="sk-SK"/>
              </w:rPr>
              <w:t>prevádzku súvisiacich dopravných sietí; C) zabezpečiť vysokokvalitnú verejnú cestnú dopravu</w:t>
            </w:r>
            <w:r w:rsidR="00AB26B3" w:rsidRPr="00AB26B3">
              <w:rPr>
                <w:noProof/>
                <w:spacing w:val="-6"/>
                <w:lang w:val="sk-SK"/>
              </w:rPr>
              <w:t xml:space="preserve"> s </w:t>
            </w:r>
            <w:r w:rsidRPr="00AB26B3">
              <w:rPr>
                <w:noProof/>
                <w:spacing w:val="-6"/>
                <w:lang w:val="sk-SK"/>
              </w:rPr>
              <w:t>čo najnižšími nákladmi; d) regulovať proces udeľovania výhradných práv na prevádzkovanie verejných regionálnych</w:t>
            </w:r>
            <w:r w:rsidR="00AB26B3" w:rsidRPr="00AB26B3">
              <w:rPr>
                <w:noProof/>
                <w:spacing w:val="-6"/>
                <w:lang w:val="sk-SK"/>
              </w:rPr>
              <w:t xml:space="preserve"> a </w:t>
            </w:r>
            <w:r w:rsidRPr="00AB26B3">
              <w:rPr>
                <w:noProof/>
                <w:spacing w:val="-6"/>
                <w:lang w:val="sk-SK"/>
              </w:rPr>
              <w:t>mestských trás (pravidelných</w:t>
            </w:r>
            <w:r w:rsidR="00AB26B3" w:rsidRPr="00AB26B3">
              <w:rPr>
                <w:noProof/>
                <w:spacing w:val="-6"/>
                <w:lang w:val="sk-SK"/>
              </w:rPr>
              <w:t xml:space="preserve"> a </w:t>
            </w:r>
            <w:r w:rsidRPr="00AB26B3">
              <w:rPr>
                <w:noProof/>
                <w:spacing w:val="-6"/>
                <w:lang w:val="sk-SK"/>
              </w:rPr>
              <w:t>pevných trás);</w:t>
            </w:r>
            <w:r w:rsidR="00AB26B3" w:rsidRPr="00AB26B3">
              <w:rPr>
                <w:noProof/>
                <w:spacing w:val="-6"/>
                <w:lang w:val="sk-SK"/>
              </w:rPr>
              <w:t xml:space="preserve"> a </w:t>
            </w:r>
            <w:r w:rsidRPr="00AB26B3">
              <w:rPr>
                <w:noProof/>
                <w:spacing w:val="-6"/>
                <w:lang w:val="sk-SK"/>
              </w:rPr>
              <w:t>e) regulovať výšku náhrady za poskytovanie uvedených služieb. Okrem toho sa</w:t>
            </w:r>
            <w:r w:rsidR="00AB26B3" w:rsidRPr="00AB26B3">
              <w:rPr>
                <w:noProof/>
                <w:spacing w:val="-6"/>
                <w:lang w:val="sk-SK"/>
              </w:rPr>
              <w:t xml:space="preserve"> v </w:t>
            </w:r>
            <w:r w:rsidRPr="00AB26B3">
              <w:rPr>
                <w:noProof/>
                <w:spacing w:val="-6"/>
                <w:lang w:val="sk-SK"/>
              </w:rPr>
              <w:t>zákone stanovia zastrešujúce kritériá pre budúce obstarávanie služieb osobnej dopravy. Príslušné regióny</w:t>
            </w:r>
            <w:r w:rsidR="00AB26B3" w:rsidRPr="00AB26B3">
              <w:rPr>
                <w:noProof/>
                <w:spacing w:val="-6"/>
                <w:lang w:val="sk-SK"/>
              </w:rPr>
              <w:t xml:space="preserve"> a </w:t>
            </w:r>
            <w:r w:rsidRPr="00AB26B3">
              <w:rPr>
                <w:noProof/>
                <w:spacing w:val="-6"/>
                <w:lang w:val="sk-SK"/>
              </w:rPr>
              <w:t>regionálne jednotky stanovia podrobné kritériá špecifické pre daný región,</w:t>
            </w:r>
            <w:r w:rsidR="00AB26B3" w:rsidRPr="00AB26B3">
              <w:rPr>
                <w:noProof/>
                <w:spacing w:val="-6"/>
                <w:lang w:val="sk-SK"/>
              </w:rPr>
              <w:t xml:space="preserve"> v </w:t>
            </w:r>
            <w:r w:rsidRPr="00AB26B3">
              <w:rPr>
                <w:noProof/>
                <w:spacing w:val="-6"/>
                <w:lang w:val="sk-SK"/>
              </w:rPr>
              <w:t>ktorých sa náležite zohľadnia dopravné potreby špecifické pre daný región,</w:t>
            </w:r>
            <w:r w:rsidR="00AB26B3" w:rsidRPr="00AB26B3">
              <w:rPr>
                <w:noProof/>
                <w:spacing w:val="-6"/>
                <w:lang w:val="sk-SK"/>
              </w:rPr>
              <w:t xml:space="preserve"> a </w:t>
            </w:r>
            <w:r w:rsidRPr="00AB26B3">
              <w:rPr>
                <w:noProof/>
                <w:spacing w:val="-6"/>
                <w:lang w:val="sk-SK"/>
              </w:rPr>
              <w:t>zodpovedajúcim spôsobom doladia proces obstarávania.</w:t>
            </w:r>
          </w:p>
        </w:tc>
      </w:tr>
      <w:tr w:rsidR="00302FC1" w:rsidRPr="00AB26B3" w14:paraId="21B6FDF6" w14:textId="77777777">
        <w:trPr>
          <w:trHeight w:val="313"/>
        </w:trPr>
        <w:tc>
          <w:tcPr>
            <w:tcW w:w="817" w:type="dxa"/>
            <w:shd w:val="clear" w:color="auto" w:fill="C6EFCE"/>
            <w:noWrap/>
          </w:tcPr>
          <w:p w14:paraId="0D7471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45</w:t>
            </w:r>
          </w:p>
        </w:tc>
        <w:tc>
          <w:tcPr>
            <w:tcW w:w="1588" w:type="dxa"/>
            <w:shd w:val="clear" w:color="auto" w:fill="C6EFCE"/>
            <w:noWrap/>
          </w:tcPr>
          <w:p w14:paraId="47368A3E" w14:textId="408923E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992" w:type="dxa"/>
            <w:shd w:val="clear" w:color="auto" w:fill="C6EFCE"/>
            <w:noWrap/>
          </w:tcPr>
          <w:p w14:paraId="126244F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5EFB91E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Verejná doprava – vykonávanie novej trhovej regulácie záväzkov vyplývajúcich zo služieb vo verejnom záujme (autobusy)</w:t>
            </w:r>
          </w:p>
        </w:tc>
        <w:tc>
          <w:tcPr>
            <w:tcW w:w="2377" w:type="dxa"/>
            <w:shd w:val="clear" w:color="auto" w:fill="C6EFCE"/>
            <w:noWrap/>
          </w:tcPr>
          <w:p w14:paraId="741998F8" w14:textId="77777777" w:rsidR="00302FC1" w:rsidRPr="00AB26B3" w:rsidRDefault="00D64F26">
            <w:pPr>
              <w:pStyle w:val="P68B1DB1-Normal12"/>
              <w:spacing w:after="0" w:line="240" w:lineRule="auto"/>
              <w:rPr>
                <w:rFonts w:eastAsia="Times New Roman"/>
                <w:noProof/>
                <w:spacing w:val="-6"/>
                <w:highlight w:val="yellow"/>
                <w:lang w:val="sk-SK"/>
              </w:rPr>
            </w:pPr>
            <w:r w:rsidRPr="00AB26B3">
              <w:rPr>
                <w:noProof/>
                <w:spacing w:val="-6"/>
                <w:lang w:val="sk-SK"/>
              </w:rPr>
              <w:t>Nadobudnutie účinnosti sekundárnych právnych predpisov týkajúcich sa revidovaného právneho rámca.</w:t>
            </w:r>
          </w:p>
        </w:tc>
        <w:tc>
          <w:tcPr>
            <w:tcW w:w="1460" w:type="dxa"/>
            <w:shd w:val="clear" w:color="auto" w:fill="C6EFCE"/>
            <w:noWrap/>
          </w:tcPr>
          <w:p w14:paraId="150E4F9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610F2FB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1EA54DC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46A49E4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9" w:type="dxa"/>
            <w:shd w:val="clear" w:color="auto" w:fill="C6EFCE"/>
            <w:noWrap/>
          </w:tcPr>
          <w:p w14:paraId="345920B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191" w:type="dxa"/>
            <w:shd w:val="clear" w:color="auto" w:fill="C6EFCE"/>
            <w:noWrap/>
          </w:tcPr>
          <w:p w14:paraId="5A48461F" w14:textId="014D132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sekundárnych právnych predpisov uvedených</w:t>
            </w:r>
            <w:r w:rsidR="00AB26B3" w:rsidRPr="00AB26B3">
              <w:rPr>
                <w:noProof/>
                <w:spacing w:val="-6"/>
                <w:lang w:val="sk-SK"/>
              </w:rPr>
              <w:t xml:space="preserve"> v </w:t>
            </w:r>
            <w:r w:rsidRPr="00AB26B3">
              <w:rPr>
                <w:noProof/>
                <w:spacing w:val="-6"/>
                <w:lang w:val="sk-SK"/>
              </w:rPr>
              <w:t>revidovanom právnom rámci na posilnenie regulácie trhu so službami verejnej mestskej</w:t>
            </w:r>
            <w:r w:rsidR="00AB26B3" w:rsidRPr="00AB26B3">
              <w:rPr>
                <w:noProof/>
                <w:spacing w:val="-6"/>
                <w:lang w:val="sk-SK"/>
              </w:rPr>
              <w:t xml:space="preserve"> a </w:t>
            </w:r>
            <w:r w:rsidRPr="00AB26B3">
              <w:rPr>
                <w:noProof/>
                <w:spacing w:val="-6"/>
                <w:lang w:val="sk-SK"/>
              </w:rPr>
              <w:t>regionálnej osobnej dopravy.</w:t>
            </w:r>
          </w:p>
        </w:tc>
      </w:tr>
      <w:tr w:rsidR="00302FC1" w:rsidRPr="00AB26B3" w14:paraId="44BACE23" w14:textId="77777777">
        <w:trPr>
          <w:trHeight w:val="313"/>
        </w:trPr>
        <w:tc>
          <w:tcPr>
            <w:tcW w:w="817" w:type="dxa"/>
            <w:shd w:val="clear" w:color="auto" w:fill="C6EFCE"/>
            <w:noWrap/>
          </w:tcPr>
          <w:p w14:paraId="0439930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46</w:t>
            </w:r>
          </w:p>
        </w:tc>
        <w:tc>
          <w:tcPr>
            <w:tcW w:w="1588" w:type="dxa"/>
            <w:shd w:val="clear" w:color="auto" w:fill="C6EFCE"/>
            <w:noWrap/>
          </w:tcPr>
          <w:p w14:paraId="2FC9F9B0" w14:textId="3FF4158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 xml:space="preserve">dopĺňanie paliva – 16831_Produc- E Green </w:t>
            </w:r>
          </w:p>
        </w:tc>
        <w:tc>
          <w:tcPr>
            <w:tcW w:w="992" w:type="dxa"/>
            <w:shd w:val="clear" w:color="auto" w:fill="C6EFCE"/>
            <w:noWrap/>
          </w:tcPr>
          <w:p w14:paraId="727CAAB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33AEA0F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Priemyselné jednotky – spustenie programu</w:t>
            </w:r>
          </w:p>
        </w:tc>
        <w:tc>
          <w:tcPr>
            <w:tcW w:w="2377" w:type="dxa"/>
            <w:shd w:val="clear" w:color="auto" w:fill="C6EFCE"/>
            <w:noWrap/>
          </w:tcPr>
          <w:p w14:paraId="4D615C0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ministerského(-ých) rozhodnutia(-í).</w:t>
            </w:r>
          </w:p>
          <w:p w14:paraId="2B14328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highlight w:val="yellow"/>
                <w:lang w:val="sk-SK"/>
              </w:rPr>
            </w:pPr>
          </w:p>
        </w:tc>
        <w:tc>
          <w:tcPr>
            <w:tcW w:w="1460" w:type="dxa"/>
            <w:shd w:val="clear" w:color="auto" w:fill="C6EFCE"/>
            <w:noWrap/>
          </w:tcPr>
          <w:p w14:paraId="40E3A23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7D3CA4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1304415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254B72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5A85FE5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191" w:type="dxa"/>
            <w:shd w:val="clear" w:color="auto" w:fill="C6EFCE"/>
            <w:noWrap/>
          </w:tcPr>
          <w:p w14:paraId="617C1C10" w14:textId="3BA41C7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Spustenie programu výberu priemyselných jednotiek</w:t>
            </w:r>
            <w:r w:rsidR="00AB26B3" w:rsidRPr="00AB26B3">
              <w:rPr>
                <w:noProof/>
                <w:spacing w:val="-6"/>
                <w:lang w:val="sk-SK"/>
              </w:rPr>
              <w:t xml:space="preserve"> a </w:t>
            </w:r>
            <w:r w:rsidRPr="00AB26B3">
              <w:rPr>
                <w:noProof/>
                <w:spacing w:val="-6"/>
                <w:lang w:val="sk-SK"/>
              </w:rPr>
              <w:t>nadobudnutie účinnosti príslušných ministerských rozhodnutí ministerstva životného prostredia</w:t>
            </w:r>
            <w:r w:rsidR="00AB26B3" w:rsidRPr="00AB26B3">
              <w:rPr>
                <w:noProof/>
                <w:spacing w:val="-6"/>
                <w:lang w:val="sk-SK"/>
              </w:rPr>
              <w:t xml:space="preserve"> a </w:t>
            </w:r>
            <w:r w:rsidRPr="00AB26B3">
              <w:rPr>
                <w:noProof/>
                <w:spacing w:val="-6"/>
                <w:lang w:val="sk-SK"/>
              </w:rPr>
              <w:t>energetiky,</w:t>
            </w:r>
            <w:r w:rsidR="00AB26B3" w:rsidRPr="00AB26B3">
              <w:rPr>
                <w:noProof/>
                <w:spacing w:val="-6"/>
                <w:lang w:val="sk-SK"/>
              </w:rPr>
              <w:t xml:space="preserve"> v </w:t>
            </w:r>
            <w:r w:rsidRPr="00AB26B3">
              <w:rPr>
                <w:noProof/>
                <w:spacing w:val="-6"/>
                <w:lang w:val="sk-SK"/>
              </w:rPr>
              <w:t>ktorých sa stanovujú:</w:t>
            </w:r>
          </w:p>
          <w:p w14:paraId="714D6953" w14:textId="0ADC704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Výberový proces zameraný na nízkouhlíkové hospodárstvo</w:t>
            </w:r>
            <w:r w:rsidR="00AB26B3" w:rsidRPr="00AB26B3">
              <w:rPr>
                <w:noProof/>
                <w:spacing w:val="-6"/>
                <w:lang w:val="sk-SK"/>
              </w:rPr>
              <w:t xml:space="preserve"> a </w:t>
            </w:r>
            <w:r w:rsidRPr="00AB26B3">
              <w:rPr>
                <w:noProof/>
                <w:spacing w:val="-6"/>
                <w:lang w:val="sk-SK"/>
              </w:rPr>
              <w:t>odolnosť voči zmene klímy,</w:t>
            </w:r>
          </w:p>
          <w:p w14:paraId="41CE9B5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Bol vymedzený mechanizmus vykonávania,</w:t>
            </w:r>
          </w:p>
          <w:p w14:paraId="2E2A8B76" w14:textId="083910A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Certifikačný(-é) mechanizmus(-y) na potvrdenie splnenia cieľa</w:t>
            </w:r>
            <w:r w:rsidR="00AB26B3" w:rsidRPr="00AB26B3">
              <w:rPr>
                <w:noProof/>
                <w:spacing w:val="-6"/>
                <w:lang w:val="sk-SK"/>
              </w:rPr>
              <w:t xml:space="preserve"> v </w:t>
            </w:r>
            <w:r w:rsidRPr="00AB26B3">
              <w:rPr>
                <w:noProof/>
                <w:spacing w:val="-6"/>
                <w:lang w:val="sk-SK"/>
              </w:rPr>
              <w:t>oblasti zmeny klímy (v prípade potreby vrátane podrobností</w:t>
            </w:r>
            <w:r w:rsidR="00AB26B3" w:rsidRPr="00AB26B3">
              <w:rPr>
                <w:noProof/>
                <w:spacing w:val="-6"/>
                <w:lang w:val="sk-SK"/>
              </w:rPr>
              <w:t xml:space="preserve"> o </w:t>
            </w:r>
            <w:r w:rsidRPr="00AB26B3">
              <w:rPr>
                <w:noProof/>
                <w:spacing w:val="-6"/>
                <w:lang w:val="sk-SK"/>
              </w:rPr>
              <w:t>možných nápravných opatreniach; podielu a</w:t>
            </w:r>
          </w:p>
          <w:p w14:paraId="3134F7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Chronologický prehľad.</w:t>
            </w:r>
          </w:p>
          <w:p w14:paraId="5805B87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E8378B6" w14:textId="7041536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Súborom výberových kritérií/kritérií oprávnenosti sa zabezpečí, aby vybrané projekty boli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Significant Harm Technical Guidance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p>
        </w:tc>
      </w:tr>
      <w:tr w:rsidR="00302FC1" w:rsidRPr="00AB26B3" w14:paraId="7C069699" w14:textId="77777777">
        <w:trPr>
          <w:trHeight w:val="313"/>
        </w:trPr>
        <w:tc>
          <w:tcPr>
            <w:tcW w:w="817" w:type="dxa"/>
            <w:shd w:val="clear" w:color="auto" w:fill="C6EFCE"/>
            <w:noWrap/>
          </w:tcPr>
          <w:p w14:paraId="4D82DD7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w:t>
            </w:r>
          </w:p>
        </w:tc>
        <w:tc>
          <w:tcPr>
            <w:tcW w:w="1588" w:type="dxa"/>
            <w:shd w:val="clear" w:color="auto" w:fill="C6EFCE"/>
            <w:noWrap/>
          </w:tcPr>
          <w:p w14:paraId="30772CBF" w14:textId="16D51AB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992" w:type="dxa"/>
            <w:shd w:val="clear" w:color="auto" w:fill="C6EFCE"/>
            <w:noWrap/>
          </w:tcPr>
          <w:p w14:paraId="66FC614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7B2D662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Nabíjacie stanice pre elektrické vozidlá – spustenie programov</w:t>
            </w:r>
          </w:p>
        </w:tc>
        <w:tc>
          <w:tcPr>
            <w:tcW w:w="2377" w:type="dxa"/>
            <w:shd w:val="clear" w:color="auto" w:fill="C6EFCE"/>
            <w:noWrap/>
          </w:tcPr>
          <w:p w14:paraId="17B4628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ministerského(-ých) rozhodnutia(-í).</w:t>
            </w:r>
          </w:p>
          <w:p w14:paraId="7E337FD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60" w:type="dxa"/>
            <w:shd w:val="clear" w:color="auto" w:fill="C6EFCE"/>
            <w:noWrap/>
          </w:tcPr>
          <w:p w14:paraId="18BD70C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369BF8A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189E01C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00B6AEC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7B5B8AF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191" w:type="dxa"/>
            <w:shd w:val="clear" w:color="auto" w:fill="C6EFCE"/>
            <w:noWrap/>
          </w:tcPr>
          <w:p w14:paraId="01EFFA6F" w14:textId="3742BE8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Spustenie programu výberu viac ako 8000 verejne prístupných nabíjacích staníc pre elektrické vozidlá na strategických mestských</w:t>
            </w:r>
            <w:r w:rsidR="00AB26B3" w:rsidRPr="00AB26B3">
              <w:rPr>
                <w:noProof/>
                <w:spacing w:val="-6"/>
                <w:lang w:val="sk-SK"/>
              </w:rPr>
              <w:t xml:space="preserve"> a </w:t>
            </w:r>
            <w:r w:rsidRPr="00AB26B3">
              <w:rPr>
                <w:noProof/>
                <w:spacing w:val="-6"/>
                <w:lang w:val="sk-SK"/>
              </w:rPr>
              <w:t>prímestských miestach</w:t>
            </w:r>
            <w:r w:rsidR="00AB26B3" w:rsidRPr="00AB26B3">
              <w:rPr>
                <w:noProof/>
                <w:spacing w:val="-6"/>
                <w:lang w:val="sk-SK"/>
              </w:rPr>
              <w:t xml:space="preserve"> v </w:t>
            </w:r>
            <w:r w:rsidRPr="00AB26B3">
              <w:rPr>
                <w:noProof/>
                <w:spacing w:val="-6"/>
                <w:lang w:val="sk-SK"/>
              </w:rPr>
              <w:t>mestách</w:t>
            </w:r>
            <w:r w:rsidR="00AB26B3" w:rsidRPr="00AB26B3">
              <w:rPr>
                <w:noProof/>
                <w:spacing w:val="-6"/>
                <w:lang w:val="sk-SK"/>
              </w:rPr>
              <w:t xml:space="preserve"> a </w:t>
            </w:r>
            <w:r w:rsidRPr="00AB26B3">
              <w:rPr>
                <w:noProof/>
                <w:spacing w:val="-6"/>
                <w:lang w:val="sk-SK"/>
              </w:rPr>
              <w:t>na miestach záujmu („elektromobilita“)</w:t>
            </w:r>
            <w:r w:rsidR="00AB26B3" w:rsidRPr="00AB26B3">
              <w:rPr>
                <w:noProof/>
                <w:spacing w:val="-6"/>
                <w:lang w:val="sk-SK"/>
              </w:rPr>
              <w:t xml:space="preserve"> a </w:t>
            </w:r>
            <w:r w:rsidRPr="00AB26B3">
              <w:rPr>
                <w:noProof/>
                <w:spacing w:val="-6"/>
                <w:lang w:val="sk-SK"/>
              </w:rPr>
              <w:t>nadobudnutie účinnosti príslušných ministerských rozhodnutí ministerstva životného prostredia</w:t>
            </w:r>
            <w:r w:rsidR="00AB26B3" w:rsidRPr="00AB26B3">
              <w:rPr>
                <w:noProof/>
                <w:spacing w:val="-6"/>
                <w:lang w:val="sk-SK"/>
              </w:rPr>
              <w:t xml:space="preserve"> a </w:t>
            </w:r>
            <w:r w:rsidRPr="00AB26B3">
              <w:rPr>
                <w:noProof/>
                <w:spacing w:val="-6"/>
                <w:lang w:val="sk-SK"/>
              </w:rPr>
              <w:t>energetiky,</w:t>
            </w:r>
            <w:r w:rsidR="00AB26B3" w:rsidRPr="00AB26B3">
              <w:rPr>
                <w:noProof/>
                <w:spacing w:val="-6"/>
                <w:lang w:val="sk-SK"/>
              </w:rPr>
              <w:t xml:space="preserve"> v </w:t>
            </w:r>
            <w:r w:rsidRPr="00AB26B3">
              <w:rPr>
                <w:noProof/>
                <w:spacing w:val="-6"/>
                <w:lang w:val="sk-SK"/>
              </w:rPr>
              <w:t>ktorých sa stanovujú:</w:t>
            </w:r>
          </w:p>
          <w:p w14:paraId="6E6730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Výberové konanie,</w:t>
            </w:r>
          </w:p>
          <w:p w14:paraId="07B6666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Bol vymedzený mechanizmus vykonávania,</w:t>
            </w:r>
          </w:p>
          <w:p w14:paraId="7B836471" w14:textId="759649E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Certifikačný(-é) mechanizmus(-y) na potvrdenie splnenia cieľa</w:t>
            </w:r>
            <w:r w:rsidR="00AB26B3" w:rsidRPr="00AB26B3">
              <w:rPr>
                <w:noProof/>
                <w:spacing w:val="-6"/>
                <w:lang w:val="sk-SK"/>
              </w:rPr>
              <w:t xml:space="preserve"> v </w:t>
            </w:r>
            <w:r w:rsidRPr="00AB26B3">
              <w:rPr>
                <w:noProof/>
                <w:spacing w:val="-6"/>
                <w:lang w:val="sk-SK"/>
              </w:rPr>
              <w:t>oblasti zmeny klímy (v prípade potreby vrátane podrobností</w:t>
            </w:r>
            <w:r w:rsidR="00AB26B3" w:rsidRPr="00AB26B3">
              <w:rPr>
                <w:noProof/>
                <w:spacing w:val="-6"/>
                <w:lang w:val="sk-SK"/>
              </w:rPr>
              <w:t xml:space="preserve"> o </w:t>
            </w:r>
            <w:r w:rsidRPr="00AB26B3">
              <w:rPr>
                <w:noProof/>
                <w:spacing w:val="-6"/>
                <w:lang w:val="sk-SK"/>
              </w:rPr>
              <w:t>možných nápravných opatreniach; podielu a</w:t>
            </w:r>
          </w:p>
          <w:p w14:paraId="7AB139E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Chronologický prehľad</w:t>
            </w:r>
          </w:p>
        </w:tc>
      </w:tr>
      <w:tr w:rsidR="00302FC1" w:rsidRPr="00AB26B3" w14:paraId="5E940387" w14:textId="77777777">
        <w:trPr>
          <w:trHeight w:val="313"/>
        </w:trPr>
        <w:tc>
          <w:tcPr>
            <w:tcW w:w="817" w:type="dxa"/>
            <w:shd w:val="clear" w:color="auto" w:fill="C6EFCE"/>
            <w:noWrap/>
          </w:tcPr>
          <w:p w14:paraId="23CC636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48</w:t>
            </w:r>
          </w:p>
        </w:tc>
        <w:tc>
          <w:tcPr>
            <w:tcW w:w="1588" w:type="dxa"/>
            <w:shd w:val="clear" w:color="auto" w:fill="C6EFCE"/>
            <w:noWrap/>
          </w:tcPr>
          <w:p w14:paraId="730DDE3F" w14:textId="4091F81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992" w:type="dxa"/>
            <w:shd w:val="clear" w:color="auto" w:fill="C6EFCE"/>
            <w:noWrap/>
          </w:tcPr>
          <w:p w14:paraId="76141EC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7CEEB1D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Udržateľná doprava – štúdia uskutočniteľnosti</w:t>
            </w:r>
          </w:p>
        </w:tc>
        <w:tc>
          <w:tcPr>
            <w:tcW w:w="2377" w:type="dxa"/>
            <w:shd w:val="clear" w:color="auto" w:fill="C6EFCE"/>
            <w:noWrap/>
          </w:tcPr>
          <w:p w14:paraId="6C2A037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spoločného ministerského rozhodnutia, ktorým sa prijíma štúdia uskutočniteľnosti týkajúca sa agentúry pre elektronickú mobilitu.</w:t>
            </w:r>
          </w:p>
        </w:tc>
        <w:tc>
          <w:tcPr>
            <w:tcW w:w="1460" w:type="dxa"/>
            <w:shd w:val="clear" w:color="auto" w:fill="C6EFCE"/>
            <w:noWrap/>
          </w:tcPr>
          <w:p w14:paraId="22D49FA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51FDFAB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17886D5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67D860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7301A92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191" w:type="dxa"/>
            <w:shd w:val="clear" w:color="auto" w:fill="C6EFCE"/>
            <w:noWrap/>
          </w:tcPr>
          <w:p w14:paraId="21C35B58" w14:textId="48140C0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spoločného ministerského rozhodnutia, ktorým sa prijíma štúdia uskutočniteľnosti zriadenia agentúry pre elektromobilitu, ktorá zabezpečí primerané plánovanie</w:t>
            </w:r>
            <w:r w:rsidR="00AB26B3" w:rsidRPr="00AB26B3">
              <w:rPr>
                <w:noProof/>
                <w:spacing w:val="-6"/>
                <w:lang w:val="sk-SK"/>
              </w:rPr>
              <w:t xml:space="preserve"> a </w:t>
            </w:r>
            <w:r w:rsidRPr="00AB26B3">
              <w:rPr>
                <w:noProof/>
                <w:spacing w:val="-6"/>
                <w:lang w:val="sk-SK"/>
              </w:rPr>
              <w:t>koordináciu medzi dopravnou</w:t>
            </w:r>
            <w:r w:rsidR="00AB26B3" w:rsidRPr="00AB26B3">
              <w:rPr>
                <w:noProof/>
                <w:spacing w:val="-6"/>
                <w:lang w:val="sk-SK"/>
              </w:rPr>
              <w:t xml:space="preserve"> a </w:t>
            </w:r>
            <w:r w:rsidRPr="00AB26B3">
              <w:rPr>
                <w:noProof/>
                <w:spacing w:val="-6"/>
                <w:lang w:val="sk-SK"/>
              </w:rPr>
              <w:t>energetickou infraštruktúrou, regionálnymi</w:t>
            </w:r>
            <w:r w:rsidR="00AB26B3" w:rsidRPr="00AB26B3">
              <w:rPr>
                <w:noProof/>
                <w:spacing w:val="-6"/>
                <w:lang w:val="sk-SK"/>
              </w:rPr>
              <w:t xml:space="preserve"> a </w:t>
            </w:r>
            <w:r w:rsidRPr="00AB26B3">
              <w:rPr>
                <w:noProof/>
                <w:spacing w:val="-6"/>
                <w:lang w:val="sk-SK"/>
              </w:rPr>
              <w:t>miestnymi samosprávami</w:t>
            </w:r>
            <w:r w:rsidR="00AB26B3" w:rsidRPr="00AB26B3">
              <w:rPr>
                <w:noProof/>
                <w:spacing w:val="-6"/>
                <w:lang w:val="sk-SK"/>
              </w:rPr>
              <w:t xml:space="preserve"> a </w:t>
            </w:r>
            <w:r w:rsidRPr="00AB26B3">
              <w:rPr>
                <w:noProof/>
                <w:spacing w:val="-6"/>
                <w:lang w:val="sk-SK"/>
              </w:rPr>
              <w:t>podporí prepojenia medzi reťazcom elektronického zásobovania vrátane výrobcov batérií</w:t>
            </w:r>
            <w:r w:rsidR="00AB26B3" w:rsidRPr="00AB26B3">
              <w:rPr>
                <w:noProof/>
                <w:spacing w:val="-6"/>
                <w:lang w:val="sk-SK"/>
              </w:rPr>
              <w:t xml:space="preserve"> a </w:t>
            </w:r>
            <w:r w:rsidRPr="00AB26B3">
              <w:rPr>
                <w:noProof/>
                <w:spacing w:val="-6"/>
                <w:lang w:val="sk-SK"/>
              </w:rPr>
              <w:t>OZE</w:t>
            </w:r>
            <w:r w:rsidR="00AB26B3" w:rsidRPr="00AB26B3">
              <w:rPr>
                <w:noProof/>
                <w:spacing w:val="-6"/>
                <w:lang w:val="sk-SK"/>
              </w:rPr>
              <w:t xml:space="preserve"> a </w:t>
            </w:r>
            <w:r w:rsidRPr="00AB26B3">
              <w:rPr>
                <w:noProof/>
                <w:spacing w:val="-6"/>
                <w:lang w:val="sk-SK"/>
              </w:rPr>
              <w:t>výskumnou</w:t>
            </w:r>
            <w:r w:rsidR="00AB26B3" w:rsidRPr="00AB26B3">
              <w:rPr>
                <w:noProof/>
                <w:spacing w:val="-6"/>
                <w:lang w:val="sk-SK"/>
              </w:rPr>
              <w:t xml:space="preserve"> a </w:t>
            </w:r>
            <w:r w:rsidRPr="00AB26B3">
              <w:rPr>
                <w:noProof/>
                <w:spacing w:val="-6"/>
                <w:lang w:val="sk-SK"/>
              </w:rPr>
              <w:t>inovačnou základňou.</w:t>
            </w:r>
          </w:p>
        </w:tc>
      </w:tr>
      <w:tr w:rsidR="00302FC1" w:rsidRPr="00AB26B3" w14:paraId="5A62A18D" w14:textId="77777777">
        <w:trPr>
          <w:trHeight w:val="313"/>
        </w:trPr>
        <w:tc>
          <w:tcPr>
            <w:tcW w:w="817" w:type="dxa"/>
            <w:shd w:val="clear" w:color="auto" w:fill="C6EFCE"/>
            <w:noWrap/>
          </w:tcPr>
          <w:p w14:paraId="6F5833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50</w:t>
            </w:r>
          </w:p>
        </w:tc>
        <w:tc>
          <w:tcPr>
            <w:tcW w:w="1588" w:type="dxa"/>
            <w:shd w:val="clear" w:color="auto" w:fill="C6EFCE"/>
            <w:noWrap/>
          </w:tcPr>
          <w:p w14:paraId="25C06174" w14:textId="6542216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16831_Produc- E Green</w:t>
            </w:r>
          </w:p>
        </w:tc>
        <w:tc>
          <w:tcPr>
            <w:tcW w:w="992" w:type="dxa"/>
            <w:shd w:val="clear" w:color="auto" w:fill="C6EFCE"/>
            <w:noWrap/>
          </w:tcPr>
          <w:p w14:paraId="6067762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7C2BCBC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Priemyselné jednotky – vybrané spoločnosti</w:t>
            </w:r>
          </w:p>
        </w:tc>
        <w:tc>
          <w:tcPr>
            <w:tcW w:w="2377" w:type="dxa"/>
            <w:shd w:val="clear" w:color="auto" w:fill="C6EFCE"/>
            <w:noWrap/>
          </w:tcPr>
          <w:p w14:paraId="3735211B" w14:textId="7223E8C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Schválenie žiadostí ministerstvom životného prostredia</w:t>
            </w:r>
            <w:r w:rsidR="00AB26B3" w:rsidRPr="00AB26B3">
              <w:rPr>
                <w:noProof/>
                <w:spacing w:val="-6"/>
                <w:lang w:val="sk-SK"/>
              </w:rPr>
              <w:t xml:space="preserve"> a </w:t>
            </w:r>
            <w:r w:rsidRPr="00AB26B3">
              <w:rPr>
                <w:noProof/>
                <w:spacing w:val="-6"/>
                <w:lang w:val="sk-SK"/>
              </w:rPr>
              <w:t>energetiky</w:t>
            </w:r>
          </w:p>
        </w:tc>
        <w:tc>
          <w:tcPr>
            <w:tcW w:w="1460" w:type="dxa"/>
            <w:shd w:val="clear" w:color="auto" w:fill="C6EFCE"/>
            <w:noWrap/>
          </w:tcPr>
          <w:p w14:paraId="0C43C8E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1F7DF87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3EB1C4D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44D8931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438FBB4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191" w:type="dxa"/>
            <w:shd w:val="clear" w:color="auto" w:fill="C6EFCE"/>
            <w:noWrap/>
          </w:tcPr>
          <w:p w14:paraId="7C10C8DE" w14:textId="3216647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Schválenie žiadostí predložených pre viac ako 10 priemyselných jednotiek („výroba E-zelených“) ministerstvom životného prostredia</w:t>
            </w:r>
            <w:r w:rsidR="00AB26B3" w:rsidRPr="00AB26B3">
              <w:rPr>
                <w:noProof/>
                <w:spacing w:val="-6"/>
                <w:lang w:val="sk-SK"/>
              </w:rPr>
              <w:t xml:space="preserve"> a </w:t>
            </w:r>
            <w:r w:rsidRPr="00AB26B3">
              <w:rPr>
                <w:noProof/>
                <w:spacing w:val="-6"/>
                <w:lang w:val="sk-SK"/>
              </w:rPr>
              <w:t>energetiky.</w:t>
            </w:r>
          </w:p>
          <w:p w14:paraId="2AF6D553" w14:textId="133E1B8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Žiadosti sa vyberajú</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kritériami výberu/oprávnenosti</w:t>
            </w:r>
            <w:r w:rsidR="00AB26B3" w:rsidRPr="00AB26B3">
              <w:rPr>
                <w:noProof/>
                <w:spacing w:val="-6"/>
                <w:lang w:val="sk-SK"/>
              </w:rPr>
              <w:t xml:space="preserve"> a </w:t>
            </w:r>
            <w:r w:rsidRPr="00AB26B3">
              <w:rPr>
                <w:noProof/>
                <w:spacing w:val="-6"/>
                <w:lang w:val="sk-SK"/>
              </w:rPr>
              <w:t>musí sa nimi zabezpečiť, aby vybrané projekty boli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No Significant Harm Technical Guidance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p>
        </w:tc>
      </w:tr>
      <w:tr w:rsidR="00302FC1" w:rsidRPr="00AB26B3" w14:paraId="74BF490F" w14:textId="77777777">
        <w:trPr>
          <w:trHeight w:val="313"/>
        </w:trPr>
        <w:tc>
          <w:tcPr>
            <w:tcW w:w="817" w:type="dxa"/>
            <w:shd w:val="clear" w:color="auto" w:fill="C6EFCE"/>
            <w:noWrap/>
          </w:tcPr>
          <w:p w14:paraId="14DC743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51</w:t>
            </w:r>
          </w:p>
        </w:tc>
        <w:tc>
          <w:tcPr>
            <w:tcW w:w="1588" w:type="dxa"/>
            <w:shd w:val="clear" w:color="auto" w:fill="C6EFCE"/>
            <w:noWrap/>
          </w:tcPr>
          <w:p w14:paraId="68643614" w14:textId="7B4196B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16831_Produc- E Green</w:t>
            </w:r>
          </w:p>
        </w:tc>
        <w:tc>
          <w:tcPr>
            <w:tcW w:w="992" w:type="dxa"/>
            <w:shd w:val="clear" w:color="auto" w:fill="C6EFCE"/>
            <w:noWrap/>
          </w:tcPr>
          <w:p w14:paraId="677B890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09441993" w14:textId="2FF1183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Zachytávanie</w:t>
            </w:r>
            <w:r w:rsidR="00AB26B3" w:rsidRPr="00AB26B3">
              <w:rPr>
                <w:noProof/>
                <w:spacing w:val="-6"/>
                <w:lang w:val="sk-SK"/>
              </w:rPr>
              <w:t xml:space="preserve"> a </w:t>
            </w:r>
            <w:r w:rsidRPr="00AB26B3">
              <w:rPr>
                <w:noProof/>
                <w:spacing w:val="-6"/>
                <w:lang w:val="sk-SK"/>
              </w:rPr>
              <w:t>ukladanie oxidu uhličitého (CCS) – povolenie na ukladanie</w:t>
            </w:r>
          </w:p>
        </w:tc>
        <w:tc>
          <w:tcPr>
            <w:tcW w:w="2377" w:type="dxa"/>
            <w:shd w:val="clear" w:color="auto" w:fill="C6EFCE"/>
            <w:noWrap/>
          </w:tcPr>
          <w:p w14:paraId="1495DBF2" w14:textId="37BDB78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Vydanie povolenia na ukladanie</w:t>
            </w:r>
            <w:r w:rsidR="00AB26B3" w:rsidRPr="00AB26B3">
              <w:rPr>
                <w:noProof/>
                <w:spacing w:val="-6"/>
                <w:lang w:val="sk-SK"/>
              </w:rPr>
              <w:t xml:space="preserve"> a </w:t>
            </w:r>
            <w:r w:rsidRPr="00AB26B3">
              <w:rPr>
                <w:noProof/>
                <w:spacing w:val="-6"/>
                <w:lang w:val="sk-SK"/>
              </w:rPr>
              <w:t>vytvorenie systému podávania správ.</w:t>
            </w:r>
          </w:p>
        </w:tc>
        <w:tc>
          <w:tcPr>
            <w:tcW w:w="1460" w:type="dxa"/>
            <w:shd w:val="clear" w:color="auto" w:fill="C6EFCE"/>
            <w:noWrap/>
          </w:tcPr>
          <w:p w14:paraId="5423879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21579E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3CF383A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650DFE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64F7981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191" w:type="dxa"/>
            <w:shd w:val="clear" w:color="auto" w:fill="C6EFCE"/>
            <w:noWrap/>
          </w:tcPr>
          <w:p w14:paraId="60D32808" w14:textId="29E3D0EC" w:rsidR="00AB26B3" w:rsidRPr="00AB26B3" w:rsidRDefault="00D64F26">
            <w:pPr>
              <w:pStyle w:val="P68B1DB1-Normal12"/>
              <w:spacing w:after="0" w:line="240" w:lineRule="auto"/>
              <w:rPr>
                <w:noProof/>
                <w:spacing w:val="-6"/>
                <w:lang w:val="sk-SK"/>
              </w:rPr>
            </w:pPr>
            <w:r w:rsidRPr="00AB26B3">
              <w:rPr>
                <w:noProof/>
                <w:spacing w:val="-6"/>
                <w:lang w:val="sk-SK"/>
              </w:rPr>
              <w:t>Vydanie povolenia na ukladanie CO2 príslušným ministerstvom pre zachytávanie</w:t>
            </w:r>
            <w:r w:rsidR="00AB26B3" w:rsidRPr="00AB26B3">
              <w:rPr>
                <w:noProof/>
                <w:spacing w:val="-6"/>
                <w:lang w:val="sk-SK"/>
              </w:rPr>
              <w:t xml:space="preserve"> a </w:t>
            </w:r>
            <w:r w:rsidRPr="00AB26B3">
              <w:rPr>
                <w:noProof/>
                <w:spacing w:val="-6"/>
                <w:lang w:val="sk-SK"/>
              </w:rPr>
              <w:t>ukladanie oxidu uhličitého (CCS) potvrdenému prevádzkovateľovi. Kapacita zariadenia na zachytávanie</w:t>
            </w:r>
            <w:r w:rsidR="00AB26B3" w:rsidRPr="00AB26B3">
              <w:rPr>
                <w:noProof/>
                <w:spacing w:val="-6"/>
                <w:lang w:val="sk-SK"/>
              </w:rPr>
              <w:t xml:space="preserve"> a </w:t>
            </w:r>
            <w:r w:rsidRPr="00AB26B3">
              <w:rPr>
                <w:noProof/>
                <w:spacing w:val="-6"/>
                <w:lang w:val="sk-SK"/>
              </w:rPr>
              <w:t>ukladanie uhlíka musí mať spočiatku mieru vtláčania CO2 jeden milión ton/rok</w:t>
            </w:r>
            <w:r w:rsidR="00AB26B3" w:rsidRPr="00AB26B3">
              <w:rPr>
                <w:noProof/>
                <w:spacing w:val="-6"/>
                <w:lang w:val="sk-SK"/>
              </w:rPr>
              <w:t xml:space="preserve"> a </w:t>
            </w:r>
            <w:r w:rsidRPr="00AB26B3">
              <w:rPr>
                <w:noProof/>
                <w:spacing w:val="-6"/>
                <w:lang w:val="sk-SK"/>
              </w:rPr>
              <w:t>musí poskytovať kapacitu aspoň na 20 rokov. Žiadateľ predloží ministerstvu životného prostredia</w:t>
            </w:r>
            <w:r w:rsidR="00AB26B3" w:rsidRPr="00AB26B3">
              <w:rPr>
                <w:noProof/>
                <w:spacing w:val="-6"/>
                <w:lang w:val="sk-SK"/>
              </w:rPr>
              <w:t xml:space="preserve"> a </w:t>
            </w:r>
            <w:r w:rsidRPr="00AB26B3">
              <w:rPr>
                <w:noProof/>
                <w:spacing w:val="-6"/>
                <w:lang w:val="sk-SK"/>
              </w:rPr>
              <w:t>energetiky úplnú žiadosť, ktorá bude obsahovať všetky relevantné štúdie, ako aj štúdiu</w:t>
            </w:r>
            <w:r w:rsidR="00AB26B3" w:rsidRPr="00AB26B3">
              <w:rPr>
                <w:noProof/>
                <w:spacing w:val="-6"/>
                <w:lang w:val="sk-SK"/>
              </w:rPr>
              <w:t xml:space="preserve"> o </w:t>
            </w:r>
            <w:r w:rsidRPr="00AB26B3">
              <w:rPr>
                <w:noProof/>
                <w:spacing w:val="-6"/>
                <w:lang w:val="sk-SK"/>
              </w:rPr>
              <w:t>posudzovaní vplyvov na životné prostredie</w:t>
            </w:r>
            <w:r w:rsidR="00AB26B3" w:rsidRPr="00AB26B3">
              <w:rPr>
                <w:noProof/>
                <w:spacing w:val="-6"/>
                <w:lang w:val="sk-SK"/>
              </w:rPr>
              <w:t>.</w:t>
            </w:r>
          </w:p>
          <w:p w14:paraId="7708BAAF" w14:textId="4B33E21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systému nahlasovania pre ročné nahlasovanie uloženého CO</w:t>
            </w:r>
            <w:r w:rsidRPr="00AB26B3">
              <w:rPr>
                <w:noProof/>
                <w:spacing w:val="-6"/>
                <w:vertAlign w:val="subscript"/>
                <w:lang w:val="sk-SK"/>
              </w:rPr>
              <w:t>2</w:t>
            </w:r>
            <w:r w:rsidR="00AB26B3" w:rsidRPr="00AB26B3">
              <w:rPr>
                <w:noProof/>
                <w:spacing w:val="-6"/>
                <w:lang w:val="sk-SK"/>
              </w:rPr>
              <w:t xml:space="preserve"> a </w:t>
            </w:r>
            <w:r w:rsidRPr="00AB26B3">
              <w:rPr>
                <w:noProof/>
                <w:spacing w:val="-6"/>
                <w:lang w:val="sk-SK"/>
              </w:rPr>
              <w:t>potvrdenie, že sa nevyťažila žiadna ropa, okrem systému, ktorý sa obmedzuje na nevyhnutné potreby riadenia tlaku</w:t>
            </w:r>
            <w:r w:rsidR="00AB26B3" w:rsidRPr="00AB26B3">
              <w:rPr>
                <w:noProof/>
                <w:spacing w:val="-6"/>
                <w:lang w:val="sk-SK"/>
              </w:rPr>
              <w:t xml:space="preserve"> a </w:t>
            </w:r>
            <w:r w:rsidRPr="00AB26B3">
              <w:rPr>
                <w:noProof/>
                <w:spacing w:val="-6"/>
                <w:lang w:val="sk-SK"/>
              </w:rPr>
              <w:t>zaistenia bezpečnosti úložísk,</w:t>
            </w:r>
            <w:r w:rsidR="00AB26B3" w:rsidRPr="00AB26B3">
              <w:rPr>
                <w:noProof/>
                <w:spacing w:val="-6"/>
                <w:lang w:val="sk-SK"/>
              </w:rPr>
              <w:t xml:space="preserve"> a </w:t>
            </w:r>
            <w:r w:rsidRPr="00AB26B3">
              <w:rPr>
                <w:noProof/>
                <w:spacing w:val="-6"/>
                <w:lang w:val="sk-SK"/>
              </w:rPr>
              <w:t>že každý proces CO</w:t>
            </w:r>
            <w:r w:rsidRPr="00AB26B3">
              <w:rPr>
                <w:noProof/>
                <w:spacing w:val="-6"/>
                <w:vertAlign w:val="subscript"/>
                <w:lang w:val="sk-SK"/>
              </w:rPr>
              <w:t>2</w:t>
            </w:r>
            <w:r w:rsidRPr="00AB26B3">
              <w:rPr>
                <w:noProof/>
                <w:spacing w:val="-6"/>
                <w:lang w:val="sk-SK"/>
              </w:rPr>
              <w:t xml:space="preserve"> súvisiaci</w:t>
            </w:r>
            <w:r w:rsidR="00AB26B3" w:rsidRPr="00AB26B3">
              <w:rPr>
                <w:noProof/>
                <w:spacing w:val="-6"/>
                <w:lang w:val="sk-SK"/>
              </w:rPr>
              <w:t xml:space="preserve"> s </w:t>
            </w:r>
            <w:r w:rsidRPr="00AB26B3">
              <w:rPr>
                <w:noProof/>
                <w:spacing w:val="-6"/>
                <w:lang w:val="sk-SK"/>
              </w:rPr>
              <w:t>nevyhnutnou ťažbou sa oddelí</w:t>
            </w:r>
            <w:r w:rsidR="00AB26B3" w:rsidRPr="00AB26B3">
              <w:rPr>
                <w:noProof/>
                <w:spacing w:val="-6"/>
                <w:lang w:val="sk-SK"/>
              </w:rPr>
              <w:t xml:space="preserve"> a </w:t>
            </w:r>
            <w:r w:rsidRPr="00AB26B3">
              <w:rPr>
                <w:noProof/>
                <w:spacing w:val="-6"/>
                <w:lang w:val="sk-SK"/>
              </w:rPr>
              <w:t>vráti späť na trvalé uloženie.</w:t>
            </w:r>
          </w:p>
          <w:p w14:paraId="24EEB5C0" w14:textId="715D5C4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Zariadenie na zachytávanie</w:t>
            </w:r>
            <w:r w:rsidR="00AB26B3" w:rsidRPr="00AB26B3">
              <w:rPr>
                <w:noProof/>
                <w:spacing w:val="-6"/>
                <w:lang w:val="sk-SK"/>
              </w:rPr>
              <w:t xml:space="preserve"> a </w:t>
            </w:r>
            <w:r w:rsidRPr="00AB26B3">
              <w:rPr>
                <w:noProof/>
                <w:spacing w:val="-6"/>
                <w:lang w:val="sk-SK"/>
              </w:rPr>
              <w:t>ukladanie uhlíka musí byť</w:t>
            </w:r>
            <w:r w:rsidR="00AB26B3" w:rsidRPr="00AB26B3">
              <w:rPr>
                <w:noProof/>
                <w:spacing w:val="-6"/>
                <w:lang w:val="sk-SK"/>
              </w:rPr>
              <w:t xml:space="preserve"> v </w:t>
            </w:r>
            <w:r w:rsidRPr="00AB26B3">
              <w:rPr>
                <w:noProof/>
                <w:spacing w:val="-6"/>
                <w:lang w:val="sk-SK"/>
              </w:rPr>
              <w:t>prevádzke bez toho, aby využívalo komerčnú ťažbu ropy alebo rekuperáciu ropy</w:t>
            </w:r>
            <w:r w:rsidR="00AB26B3" w:rsidRPr="00AB26B3">
              <w:rPr>
                <w:noProof/>
                <w:spacing w:val="-6"/>
                <w:lang w:val="sk-SK"/>
              </w:rPr>
              <w:t xml:space="preserve"> z </w:t>
            </w:r>
            <w:r w:rsidRPr="00AB26B3">
              <w:rPr>
                <w:noProof/>
                <w:spacing w:val="-6"/>
                <w:lang w:val="sk-SK"/>
              </w:rPr>
              <w:t>horizontov ložiska,</w:t>
            </w:r>
            <w:r w:rsidR="00AB26B3" w:rsidRPr="00AB26B3">
              <w:rPr>
                <w:noProof/>
                <w:spacing w:val="-6"/>
                <w:lang w:val="sk-SK"/>
              </w:rPr>
              <w:t xml:space="preserve"> v </w:t>
            </w:r>
            <w:r w:rsidRPr="00AB26B3">
              <w:rPr>
                <w:noProof/>
                <w:spacing w:val="-6"/>
                <w:lang w:val="sk-SK"/>
              </w:rPr>
              <w:t>ktorých dochádza</w:t>
            </w:r>
            <w:r w:rsidR="00AB26B3" w:rsidRPr="00AB26B3">
              <w:rPr>
                <w:noProof/>
                <w:spacing w:val="-6"/>
                <w:lang w:val="sk-SK"/>
              </w:rPr>
              <w:t xml:space="preserve"> k </w:t>
            </w:r>
            <w:r w:rsidRPr="00AB26B3">
              <w:rPr>
                <w:noProof/>
                <w:spacing w:val="-6"/>
                <w:lang w:val="sk-SK"/>
              </w:rPr>
              <w:t>vstrekovaniu CO2. Okrem toho musí byť zachytávanie</w:t>
            </w:r>
            <w:r w:rsidR="00AB26B3" w:rsidRPr="00AB26B3">
              <w:rPr>
                <w:noProof/>
                <w:spacing w:val="-6"/>
                <w:lang w:val="sk-SK"/>
              </w:rPr>
              <w:t xml:space="preserve"> a </w:t>
            </w:r>
            <w:r w:rsidRPr="00AB26B3">
              <w:rPr>
                <w:noProof/>
                <w:spacing w:val="-6"/>
                <w:lang w:val="sk-SK"/>
              </w:rPr>
              <w:t>ukladanie uhlíka</w:t>
            </w:r>
            <w:r w:rsidR="00AB26B3" w:rsidRPr="00AB26B3">
              <w:rPr>
                <w:noProof/>
                <w:spacing w:val="-6"/>
                <w:lang w:val="sk-SK"/>
              </w:rPr>
              <w:t xml:space="preserve"> v </w:t>
            </w:r>
            <w:r w:rsidRPr="00AB26B3">
              <w:rPr>
                <w:noProof/>
                <w:spacing w:val="-6"/>
                <w:lang w:val="sk-SK"/>
              </w:rPr>
              <w:t>súlade aj</w:t>
            </w:r>
            <w:r w:rsidR="00AB26B3" w:rsidRPr="00AB26B3">
              <w:rPr>
                <w:noProof/>
                <w:spacing w:val="-6"/>
                <w:lang w:val="sk-SK"/>
              </w:rPr>
              <w:t xml:space="preserve"> s </w:t>
            </w:r>
            <w:r w:rsidRPr="00AB26B3">
              <w:rPr>
                <w:noProof/>
                <w:spacing w:val="-6"/>
                <w:lang w:val="sk-SK"/>
              </w:rPr>
              <w:t>požiadavkou, že nesmú existovať žiadne technologické aplikácie, ani žiadne typy zariadení</w:t>
            </w:r>
            <w:r w:rsidR="00AB26B3" w:rsidRPr="00AB26B3">
              <w:rPr>
                <w:noProof/>
                <w:spacing w:val="-6"/>
                <w:lang w:val="sk-SK"/>
              </w:rPr>
              <w:t xml:space="preserve"> a </w:t>
            </w:r>
            <w:r w:rsidRPr="00AB26B3">
              <w:rPr>
                <w:noProof/>
                <w:spacing w:val="-6"/>
                <w:lang w:val="sk-SK"/>
              </w:rPr>
              <w:t>vybavenia navrhnutého na použitie pri zvýšenej regenerácii ropy (EOR)</w:t>
            </w:r>
            <w:r w:rsidR="00AB26B3" w:rsidRPr="00AB26B3">
              <w:rPr>
                <w:noProof/>
                <w:spacing w:val="-6"/>
                <w:lang w:val="sk-SK"/>
              </w:rPr>
              <w:t xml:space="preserve"> a </w:t>
            </w:r>
            <w:r w:rsidRPr="00AB26B3">
              <w:rPr>
                <w:noProof/>
                <w:spacing w:val="-6"/>
                <w:lang w:val="sk-SK"/>
              </w:rPr>
              <w:t>zvýšenej produkcii ropy. Treba dbať na to, aby sa akákoľvek možná ťažba ropy alebo plynu obmedzila na nevyhnutné potreby riadenia tlaku</w:t>
            </w:r>
            <w:r w:rsidR="00AB26B3" w:rsidRPr="00AB26B3">
              <w:rPr>
                <w:noProof/>
                <w:spacing w:val="-6"/>
                <w:lang w:val="sk-SK"/>
              </w:rPr>
              <w:t xml:space="preserve"> a </w:t>
            </w:r>
            <w:r w:rsidRPr="00AB26B3">
              <w:rPr>
                <w:noProof/>
                <w:spacing w:val="-6"/>
                <w:lang w:val="sk-SK"/>
              </w:rPr>
              <w:t>zaistenia bezpečnosti úložísk</w:t>
            </w:r>
            <w:r w:rsidR="00AB26B3" w:rsidRPr="00AB26B3">
              <w:rPr>
                <w:noProof/>
                <w:spacing w:val="-6"/>
                <w:lang w:val="sk-SK"/>
              </w:rPr>
              <w:t xml:space="preserve"> a </w:t>
            </w:r>
            <w:r w:rsidRPr="00AB26B3">
              <w:rPr>
                <w:noProof/>
                <w:spacing w:val="-6"/>
                <w:lang w:val="sk-SK"/>
              </w:rPr>
              <w:t>aby sa akákoľvek takáto ťažba vykonala len vtedy, ak je to nevyhnutné na zaistenie bezpečného ukladania CO</w:t>
            </w:r>
            <w:r w:rsidRPr="00AB26B3">
              <w:rPr>
                <w:noProof/>
                <w:spacing w:val="-6"/>
                <w:vertAlign w:val="subscript"/>
                <w:lang w:val="sk-SK"/>
              </w:rPr>
              <w:t>2</w:t>
            </w:r>
            <w:r w:rsidRPr="00AB26B3">
              <w:rPr>
                <w:noProof/>
                <w:spacing w:val="-6"/>
                <w:lang w:val="sk-SK"/>
              </w:rPr>
              <w:t>. CO</w:t>
            </w:r>
            <w:r w:rsidRPr="00AB26B3">
              <w:rPr>
                <w:noProof/>
                <w:spacing w:val="-6"/>
                <w:vertAlign w:val="subscript"/>
                <w:lang w:val="sk-SK"/>
              </w:rPr>
              <w:t>2</w:t>
            </w:r>
            <w:r w:rsidR="00AB26B3" w:rsidRPr="00AB26B3">
              <w:rPr>
                <w:noProof/>
                <w:spacing w:val="-6"/>
                <w:lang w:val="sk-SK"/>
              </w:rPr>
              <w:t xml:space="preserve"> s </w:t>
            </w:r>
            <w:r w:rsidRPr="00AB26B3">
              <w:rPr>
                <w:noProof/>
                <w:spacing w:val="-6"/>
                <w:lang w:val="sk-SK"/>
              </w:rPr>
              <w:t>akoukoľvek ropou alebo plynom, ktoré možno vyťažiť, sa oddelí</w:t>
            </w:r>
            <w:r w:rsidR="00AB26B3" w:rsidRPr="00AB26B3">
              <w:rPr>
                <w:noProof/>
                <w:spacing w:val="-6"/>
                <w:lang w:val="sk-SK"/>
              </w:rPr>
              <w:t xml:space="preserve"> a </w:t>
            </w:r>
            <w:r w:rsidRPr="00AB26B3">
              <w:rPr>
                <w:noProof/>
                <w:spacing w:val="-6"/>
                <w:lang w:val="sk-SK"/>
              </w:rPr>
              <w:t>privádza späť na trvalé uloženie.</w:t>
            </w:r>
          </w:p>
        </w:tc>
      </w:tr>
      <w:tr w:rsidR="00302FC1" w:rsidRPr="00AB26B3" w14:paraId="5E66D730" w14:textId="77777777">
        <w:trPr>
          <w:trHeight w:val="313"/>
        </w:trPr>
        <w:tc>
          <w:tcPr>
            <w:tcW w:w="817" w:type="dxa"/>
            <w:shd w:val="clear" w:color="auto" w:fill="C6EFCE"/>
            <w:noWrap/>
          </w:tcPr>
          <w:p w14:paraId="6962BB2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45a</w:t>
            </w:r>
          </w:p>
        </w:tc>
        <w:tc>
          <w:tcPr>
            <w:tcW w:w="1588" w:type="dxa"/>
            <w:shd w:val="clear" w:color="auto" w:fill="C6EFCE"/>
            <w:noWrap/>
          </w:tcPr>
          <w:p w14:paraId="20807015" w14:textId="77777777" w:rsidR="00AB26B3" w:rsidRPr="00AB26B3" w:rsidRDefault="00D64F26">
            <w:pPr>
              <w:pStyle w:val="P68B1DB1-Normal12"/>
              <w:spacing w:after="0" w:line="240" w:lineRule="auto"/>
              <w:rPr>
                <w:noProof/>
                <w:spacing w:val="-6"/>
                <w:lang w:val="sk-SK"/>
              </w:rPr>
            </w:pPr>
            <w:r w:rsidRPr="00AB26B3">
              <w:rPr>
                <w:noProof/>
                <w:spacing w:val="-6"/>
                <w:lang w:val="sk-SK"/>
              </w:rPr>
              <w:t>3 – 1.3. Dobíjanie</w:t>
            </w:r>
            <w:r w:rsidR="00AB26B3" w:rsidRPr="00AB26B3">
              <w:rPr>
                <w:noProof/>
                <w:spacing w:val="-6"/>
                <w:lang w:val="sk-SK"/>
              </w:rPr>
              <w:t xml:space="preserve"> a </w:t>
            </w:r>
            <w:r w:rsidRPr="00AB26B3">
              <w:rPr>
                <w:noProof/>
                <w:spacing w:val="-6"/>
                <w:lang w:val="sk-SK"/>
              </w:rPr>
              <w:t>dopĺňanie paliva —</w:t>
            </w:r>
          </w:p>
          <w:p w14:paraId="463AB6E1" w14:textId="4B553FE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16924_ Elektromobilita</w:t>
            </w:r>
          </w:p>
        </w:tc>
        <w:tc>
          <w:tcPr>
            <w:tcW w:w="992" w:type="dxa"/>
            <w:shd w:val="clear" w:color="auto" w:fill="C6EFCE"/>
            <w:noWrap/>
          </w:tcPr>
          <w:p w14:paraId="5586C11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2DAB34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Autobus verejnej dopravy – uverejnenie výziev na predkladanie ponúk pre regióny</w:t>
            </w:r>
          </w:p>
        </w:tc>
        <w:tc>
          <w:tcPr>
            <w:tcW w:w="2377" w:type="dxa"/>
            <w:shd w:val="clear" w:color="auto" w:fill="C6EFCE"/>
            <w:noWrap/>
          </w:tcPr>
          <w:p w14:paraId="1BFD767F" w14:textId="4BE6819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výziev na predkladanie ponúk pre regióny.</w:t>
            </w:r>
          </w:p>
        </w:tc>
        <w:tc>
          <w:tcPr>
            <w:tcW w:w="1460" w:type="dxa"/>
            <w:shd w:val="clear" w:color="auto" w:fill="C6EFCE"/>
            <w:noWrap/>
          </w:tcPr>
          <w:p w14:paraId="65B798F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4F730ED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0C0E592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1D7E11D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087F508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191" w:type="dxa"/>
            <w:shd w:val="clear" w:color="auto" w:fill="C6EFCE"/>
            <w:noWrap/>
          </w:tcPr>
          <w:p w14:paraId="17421D32" w14:textId="6CAC6AC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 určení autobusovej siete pre pravidelné diaľkové</w:t>
            </w:r>
            <w:r w:rsidR="00AB26B3" w:rsidRPr="00AB26B3">
              <w:rPr>
                <w:noProof/>
                <w:spacing w:val="-6"/>
                <w:lang w:val="sk-SK"/>
              </w:rPr>
              <w:t xml:space="preserve"> a </w:t>
            </w:r>
            <w:r w:rsidRPr="00AB26B3">
              <w:rPr>
                <w:noProof/>
                <w:spacing w:val="-6"/>
                <w:lang w:val="sk-SK"/>
              </w:rPr>
              <w:t>mestské trate verejnej cestnej osobnej dopravy sa výzvy na predkladanie ponúk pre regióny vyhlásia postupne. Výsledkom každej vyhlásenej výzvy sú dve zmluvy na región: a) pre medzimestskú sieť (diaľková);</w:t>
            </w:r>
            <w:r w:rsidR="00AB26B3" w:rsidRPr="00AB26B3">
              <w:rPr>
                <w:noProof/>
                <w:spacing w:val="-6"/>
                <w:lang w:val="sk-SK"/>
              </w:rPr>
              <w:t xml:space="preserve"> a </w:t>
            </w:r>
            <w:r w:rsidRPr="00AB26B3">
              <w:rPr>
                <w:noProof/>
                <w:spacing w:val="-6"/>
                <w:lang w:val="sk-SK"/>
              </w:rPr>
              <w:t>b) pre mestskú sieť</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právnymi predpismi EÚ</w:t>
            </w:r>
            <w:r w:rsidR="00AB26B3" w:rsidRPr="00AB26B3">
              <w:rPr>
                <w:noProof/>
                <w:spacing w:val="-6"/>
                <w:lang w:val="sk-SK"/>
              </w:rPr>
              <w:t xml:space="preserve"> a </w:t>
            </w:r>
            <w:r w:rsidRPr="00AB26B3">
              <w:rPr>
                <w:noProof/>
                <w:spacing w:val="-6"/>
                <w:lang w:val="sk-SK"/>
              </w:rPr>
              <w:t>vnútroštátnymi právnymi predpismi. Pred uverejnením výzvy sa uskutoční verejná konzultácia. Vo výzvach sa zohľadnia výsledky verejnej konzultácie.</w:t>
            </w:r>
          </w:p>
        </w:tc>
      </w:tr>
      <w:tr w:rsidR="00302FC1" w:rsidRPr="00AB26B3" w14:paraId="1C61D1D7" w14:textId="77777777">
        <w:trPr>
          <w:trHeight w:val="313"/>
        </w:trPr>
        <w:tc>
          <w:tcPr>
            <w:tcW w:w="817" w:type="dxa"/>
            <w:shd w:val="clear" w:color="auto" w:fill="C6EFCE"/>
            <w:noWrap/>
          </w:tcPr>
          <w:p w14:paraId="2A5A25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52</w:t>
            </w:r>
          </w:p>
        </w:tc>
        <w:tc>
          <w:tcPr>
            <w:tcW w:w="1588" w:type="dxa"/>
            <w:shd w:val="clear" w:color="auto" w:fill="C6EFCE"/>
            <w:noWrap/>
          </w:tcPr>
          <w:p w14:paraId="5F6FC3FB" w14:textId="1A58B03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992" w:type="dxa"/>
            <w:shd w:val="clear" w:color="auto" w:fill="C6EFCE"/>
            <w:noWrap/>
          </w:tcPr>
          <w:p w14:paraId="5DBE5E0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418" w:type="dxa"/>
            <w:shd w:val="clear" w:color="auto" w:fill="C6EFCE"/>
            <w:noWrap/>
          </w:tcPr>
          <w:p w14:paraId="6B2B322C" w14:textId="785F607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Autobusy – nahradenie autobusmi na elektrický pohon</w:t>
            </w:r>
            <w:r w:rsidR="00AB26B3" w:rsidRPr="00AB26B3">
              <w:rPr>
                <w:noProof/>
                <w:spacing w:val="-6"/>
                <w:lang w:val="sk-SK"/>
              </w:rPr>
              <w:t xml:space="preserve"> a </w:t>
            </w:r>
            <w:r w:rsidRPr="00AB26B3">
              <w:rPr>
                <w:noProof/>
                <w:spacing w:val="-6"/>
                <w:lang w:val="sk-SK"/>
              </w:rPr>
              <w:t>priame zadanie zmluvy</w:t>
            </w:r>
            <w:r w:rsidR="00AB26B3" w:rsidRPr="00AB26B3">
              <w:rPr>
                <w:noProof/>
                <w:spacing w:val="-6"/>
                <w:lang w:val="sk-SK"/>
              </w:rPr>
              <w:t xml:space="preserve"> o </w:t>
            </w:r>
            <w:r w:rsidRPr="00AB26B3">
              <w:rPr>
                <w:noProof/>
                <w:spacing w:val="-6"/>
                <w:lang w:val="sk-SK"/>
              </w:rPr>
              <w:t>službách vo verejnom záujme</w:t>
            </w:r>
            <w:r w:rsidR="00AB26B3" w:rsidRPr="00AB26B3">
              <w:rPr>
                <w:noProof/>
                <w:spacing w:val="-6"/>
                <w:lang w:val="sk-SK"/>
              </w:rPr>
              <w:t xml:space="preserve"> v </w:t>
            </w:r>
            <w:r w:rsidRPr="00AB26B3">
              <w:rPr>
                <w:noProof/>
                <w:spacing w:val="-6"/>
                <w:lang w:val="sk-SK"/>
              </w:rPr>
              <w:t>pravidelnej autobusovej doprave pre mestské oblasti regionálnej jednotky Solún.</w:t>
            </w:r>
          </w:p>
        </w:tc>
        <w:tc>
          <w:tcPr>
            <w:tcW w:w="2377" w:type="dxa"/>
            <w:shd w:val="clear" w:color="auto" w:fill="C6EFCE"/>
            <w:noWrap/>
          </w:tcPr>
          <w:p w14:paraId="7330C22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60" w:type="dxa"/>
            <w:shd w:val="clear" w:color="auto" w:fill="C6EFCE"/>
            <w:noWrap/>
          </w:tcPr>
          <w:p w14:paraId="30967D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nových batériových elektrických autobusov</w:t>
            </w:r>
          </w:p>
        </w:tc>
        <w:tc>
          <w:tcPr>
            <w:tcW w:w="857" w:type="dxa"/>
            <w:shd w:val="clear" w:color="auto" w:fill="C6EFCE"/>
            <w:noWrap/>
          </w:tcPr>
          <w:p w14:paraId="184D548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936" w:type="dxa"/>
            <w:shd w:val="clear" w:color="auto" w:fill="C6EFCE"/>
            <w:noWrap/>
          </w:tcPr>
          <w:p w14:paraId="69AFD04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425</w:t>
            </w:r>
          </w:p>
        </w:tc>
        <w:tc>
          <w:tcPr>
            <w:tcW w:w="846" w:type="dxa"/>
            <w:shd w:val="clear" w:color="auto" w:fill="C6EFCE"/>
            <w:noWrap/>
          </w:tcPr>
          <w:p w14:paraId="18D6E1F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06A823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191" w:type="dxa"/>
            <w:shd w:val="clear" w:color="auto" w:fill="C6EFCE"/>
            <w:noWrap/>
          </w:tcPr>
          <w:p w14:paraId="7B541935" w14:textId="0DA9F178" w:rsidR="00302FC1" w:rsidRPr="00AB26B3" w:rsidRDefault="00D64F26">
            <w:pPr>
              <w:pStyle w:val="P68B1DB1-Normal12"/>
              <w:spacing w:after="0" w:line="240" w:lineRule="auto"/>
              <w:rPr>
                <w:noProof/>
                <w:spacing w:val="-6"/>
                <w:lang w:val="sk-SK"/>
              </w:rPr>
            </w:pPr>
            <w:r w:rsidRPr="00AB26B3">
              <w:rPr>
                <w:noProof/>
                <w:spacing w:val="-6"/>
                <w:lang w:val="sk-SK"/>
              </w:rPr>
              <w:t>Z prevádzky bolo stiahnutých 425 nových elektrických autobusov</w:t>
            </w:r>
            <w:r w:rsidR="00AB26B3" w:rsidRPr="00AB26B3">
              <w:rPr>
                <w:noProof/>
                <w:spacing w:val="-6"/>
                <w:lang w:val="sk-SK"/>
              </w:rPr>
              <w:t xml:space="preserve"> a </w:t>
            </w:r>
            <w:r w:rsidRPr="00AB26B3">
              <w:rPr>
                <w:noProof/>
                <w:spacing w:val="-6"/>
                <w:lang w:val="sk-SK"/>
              </w:rPr>
              <w:t>425 starých autobusov.</w:t>
            </w:r>
          </w:p>
          <w:p w14:paraId="6457EE67" w14:textId="0C893BBE" w:rsidR="00302FC1" w:rsidRPr="00AB26B3" w:rsidRDefault="00D64F26">
            <w:pPr>
              <w:pStyle w:val="P68B1DB1-Normal24"/>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priamom zadaní zmluvy</w:t>
            </w:r>
            <w:r w:rsidR="00AB26B3" w:rsidRPr="00AB26B3">
              <w:rPr>
                <w:noProof/>
                <w:spacing w:val="-6"/>
                <w:lang w:val="sk-SK"/>
              </w:rPr>
              <w:t xml:space="preserve"> o </w:t>
            </w:r>
            <w:r w:rsidRPr="00AB26B3">
              <w:rPr>
                <w:noProof/>
                <w:spacing w:val="-6"/>
                <w:lang w:val="sk-SK"/>
              </w:rPr>
              <w:t>službách vo verejnom záujme</w:t>
            </w:r>
            <w:r w:rsidR="00AB26B3" w:rsidRPr="00AB26B3">
              <w:rPr>
                <w:noProof/>
                <w:spacing w:val="-6"/>
                <w:lang w:val="sk-SK"/>
              </w:rPr>
              <w:t xml:space="preserve"> v </w:t>
            </w:r>
            <w:r w:rsidRPr="00AB26B3">
              <w:rPr>
                <w:noProof/>
                <w:spacing w:val="-6"/>
                <w:lang w:val="sk-SK"/>
              </w:rPr>
              <w:t>pravidelnej autobusovej doprave</w:t>
            </w:r>
            <w:r w:rsidR="00AB26B3" w:rsidRPr="00AB26B3">
              <w:rPr>
                <w:noProof/>
                <w:spacing w:val="-6"/>
                <w:lang w:val="sk-SK"/>
              </w:rPr>
              <w:t xml:space="preserve"> v </w:t>
            </w:r>
            <w:r w:rsidRPr="00AB26B3">
              <w:rPr>
                <w:noProof/>
                <w:spacing w:val="-6"/>
                <w:lang w:val="sk-SK"/>
              </w:rPr>
              <w:t>mestských oblastiach regionálnej jednotky Solún, ktorá patrí do právomoci Dopravného úradu Solúna S.A. (OSETH).</w:t>
            </w:r>
          </w:p>
        </w:tc>
      </w:tr>
      <w:tr w:rsidR="00302FC1" w:rsidRPr="00AB26B3" w14:paraId="58320ED5" w14:textId="77777777">
        <w:trPr>
          <w:trHeight w:val="313"/>
        </w:trPr>
        <w:tc>
          <w:tcPr>
            <w:tcW w:w="817" w:type="dxa"/>
            <w:shd w:val="clear" w:color="auto" w:fill="C6EFCE"/>
            <w:noWrap/>
          </w:tcPr>
          <w:p w14:paraId="6FBBF8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53</w:t>
            </w:r>
          </w:p>
        </w:tc>
        <w:tc>
          <w:tcPr>
            <w:tcW w:w="1588" w:type="dxa"/>
            <w:shd w:val="clear" w:color="auto" w:fill="C6EFCE"/>
            <w:noWrap/>
          </w:tcPr>
          <w:p w14:paraId="193C0695" w14:textId="025F5DA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16831_Produc- E Green</w:t>
            </w:r>
          </w:p>
        </w:tc>
        <w:tc>
          <w:tcPr>
            <w:tcW w:w="992" w:type="dxa"/>
            <w:shd w:val="clear" w:color="auto" w:fill="C6EFCE"/>
            <w:noWrap/>
          </w:tcPr>
          <w:p w14:paraId="2ED53A4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452884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CCS – vŕtanie jednej jamky</w:t>
            </w:r>
          </w:p>
        </w:tc>
        <w:tc>
          <w:tcPr>
            <w:tcW w:w="2377" w:type="dxa"/>
            <w:shd w:val="clear" w:color="auto" w:fill="C6EFCE"/>
            <w:noWrap/>
          </w:tcPr>
          <w:p w14:paraId="3E81B7CB" w14:textId="4B16E2D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Vrtné práce na jednom vrte zariadenia na zachytávanie</w:t>
            </w:r>
            <w:r w:rsidR="00AB26B3" w:rsidRPr="00AB26B3">
              <w:rPr>
                <w:noProof/>
                <w:spacing w:val="-6"/>
                <w:lang w:val="sk-SK"/>
              </w:rPr>
              <w:t xml:space="preserve"> a </w:t>
            </w:r>
            <w:r w:rsidRPr="00AB26B3">
              <w:rPr>
                <w:noProof/>
                <w:spacing w:val="-6"/>
                <w:lang w:val="sk-SK"/>
              </w:rPr>
              <w:t>ukladanie oxidu uhličitého.</w:t>
            </w:r>
          </w:p>
        </w:tc>
        <w:tc>
          <w:tcPr>
            <w:tcW w:w="1460" w:type="dxa"/>
            <w:shd w:val="clear" w:color="auto" w:fill="C6EFCE"/>
            <w:noWrap/>
          </w:tcPr>
          <w:p w14:paraId="1174CC3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48CA981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1F3A9DB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26C0BD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4B44495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191" w:type="dxa"/>
            <w:shd w:val="clear" w:color="auto" w:fill="C6EFCE"/>
            <w:noWrap/>
          </w:tcPr>
          <w:p w14:paraId="15BEEA5F" w14:textId="49E113B2" w:rsidR="00302FC1" w:rsidRPr="00AB26B3" w:rsidRDefault="00D64F26">
            <w:pPr>
              <w:pStyle w:val="P68B1DB1-Normal12"/>
              <w:spacing w:after="0" w:line="240" w:lineRule="auto"/>
              <w:rPr>
                <w:noProof/>
                <w:spacing w:val="-6"/>
                <w:lang w:val="sk-SK"/>
              </w:rPr>
            </w:pPr>
            <w:r w:rsidRPr="00AB26B3">
              <w:rPr>
                <w:noProof/>
                <w:spacing w:val="-6"/>
                <w:lang w:val="sk-SK"/>
              </w:rPr>
              <w:t>Dodanie vrtného zariadenia</w:t>
            </w:r>
            <w:r w:rsidR="00AB26B3" w:rsidRPr="00AB26B3">
              <w:rPr>
                <w:noProof/>
                <w:spacing w:val="-6"/>
                <w:lang w:val="sk-SK"/>
              </w:rPr>
              <w:t xml:space="preserve"> a </w:t>
            </w:r>
            <w:r w:rsidRPr="00AB26B3">
              <w:rPr>
                <w:noProof/>
                <w:spacing w:val="-6"/>
                <w:lang w:val="sk-SK"/>
              </w:rPr>
              <w:t>certifikácia overujúca vŕtanie jedného vrtu</w:t>
            </w:r>
          </w:p>
        </w:tc>
      </w:tr>
      <w:tr w:rsidR="00302FC1" w:rsidRPr="00AB26B3" w14:paraId="22AE0103" w14:textId="77777777">
        <w:trPr>
          <w:trHeight w:val="313"/>
        </w:trPr>
        <w:tc>
          <w:tcPr>
            <w:tcW w:w="817" w:type="dxa"/>
            <w:shd w:val="clear" w:color="auto" w:fill="C6EFCE"/>
            <w:noWrap/>
          </w:tcPr>
          <w:p w14:paraId="136FF6C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54</w:t>
            </w:r>
          </w:p>
        </w:tc>
        <w:tc>
          <w:tcPr>
            <w:tcW w:w="1588" w:type="dxa"/>
            <w:shd w:val="clear" w:color="auto" w:fill="C6EFCE"/>
            <w:noWrap/>
          </w:tcPr>
          <w:p w14:paraId="59803B9B" w14:textId="30D9972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16831_Produc- E Green</w:t>
            </w:r>
          </w:p>
        </w:tc>
        <w:tc>
          <w:tcPr>
            <w:tcW w:w="992" w:type="dxa"/>
            <w:shd w:val="clear" w:color="auto" w:fill="C6EFCE"/>
            <w:noWrap/>
          </w:tcPr>
          <w:p w14:paraId="277B8E5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8" w:type="dxa"/>
            <w:shd w:val="clear" w:color="auto" w:fill="C6EFCE"/>
            <w:noWrap/>
          </w:tcPr>
          <w:p w14:paraId="4A0F6735" w14:textId="3D20844D" w:rsidR="00302FC1" w:rsidRPr="00AB26B3" w:rsidRDefault="00D64F26">
            <w:pPr>
              <w:pStyle w:val="P68B1DB1-Normal27"/>
              <w:spacing w:after="0" w:line="240" w:lineRule="auto"/>
              <w:rPr>
                <w:rFonts w:eastAsia="Times New Roman"/>
                <w:noProof/>
                <w:spacing w:val="-6"/>
                <w:lang w:val="sk-SK"/>
              </w:rPr>
            </w:pPr>
            <w:r w:rsidRPr="00AB26B3">
              <w:rPr>
                <w:noProof/>
                <w:spacing w:val="-6"/>
                <w:lang w:val="sk-SK"/>
              </w:rPr>
              <w:t>Priemyselné jednotky – Dokončenie stavebných prác</w:t>
            </w:r>
            <w:r w:rsidR="00AB26B3" w:rsidRPr="00AB26B3">
              <w:rPr>
                <w:noProof/>
                <w:spacing w:val="-6"/>
                <w:lang w:val="sk-SK"/>
              </w:rPr>
              <w:t xml:space="preserve"> a </w:t>
            </w:r>
            <w:r w:rsidRPr="00AB26B3">
              <w:rPr>
                <w:noProof/>
                <w:spacing w:val="-6"/>
                <w:lang w:val="sk-SK"/>
              </w:rPr>
              <w:t>inštalácia zariadení</w:t>
            </w:r>
          </w:p>
        </w:tc>
        <w:tc>
          <w:tcPr>
            <w:tcW w:w="2377" w:type="dxa"/>
            <w:shd w:val="clear" w:color="auto" w:fill="C6EFCE"/>
            <w:noWrap/>
          </w:tcPr>
          <w:p w14:paraId="4BF7356B" w14:textId="0BCA0E5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stavebných prác</w:t>
            </w:r>
            <w:r w:rsidR="00AB26B3" w:rsidRPr="00AB26B3">
              <w:rPr>
                <w:noProof/>
                <w:spacing w:val="-6"/>
                <w:lang w:val="sk-SK"/>
              </w:rPr>
              <w:t xml:space="preserve"> a </w:t>
            </w:r>
            <w:r w:rsidRPr="00AB26B3">
              <w:rPr>
                <w:noProof/>
                <w:spacing w:val="-6"/>
                <w:lang w:val="sk-SK"/>
              </w:rPr>
              <w:t xml:space="preserve">inštalácia zariadení </w:t>
            </w:r>
          </w:p>
        </w:tc>
        <w:tc>
          <w:tcPr>
            <w:tcW w:w="1460" w:type="dxa"/>
            <w:shd w:val="clear" w:color="auto" w:fill="C6EFCE"/>
            <w:noWrap/>
          </w:tcPr>
          <w:p w14:paraId="65C9298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14C04B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0C5D383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6F438E0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0DAD2EF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191" w:type="dxa"/>
            <w:shd w:val="clear" w:color="auto" w:fill="C6EFCE"/>
            <w:noWrap/>
          </w:tcPr>
          <w:p w14:paraId="47EE793D" w14:textId="38BFDFF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Vybrané priemyselné jednotky musia mať dokončené stavebné práce</w:t>
            </w:r>
            <w:r w:rsidR="00AB26B3" w:rsidRPr="00AB26B3">
              <w:rPr>
                <w:noProof/>
                <w:spacing w:val="-6"/>
                <w:lang w:val="sk-SK"/>
              </w:rPr>
              <w:t xml:space="preserve"> a </w:t>
            </w:r>
            <w:r w:rsidRPr="00AB26B3">
              <w:rPr>
                <w:noProof/>
                <w:spacing w:val="-6"/>
                <w:lang w:val="sk-SK"/>
              </w:rPr>
              <w:t>inštalácie zariadení.</w:t>
            </w:r>
          </w:p>
        </w:tc>
      </w:tr>
    </w:tbl>
    <w:p w14:paraId="0869A07E" w14:textId="17F76A2F" w:rsidR="00302FC1" w:rsidRPr="00AB26B3" w:rsidRDefault="00302FC1">
      <w:pPr>
        <w:spacing w:before="120" w:after="120" w:line="240" w:lineRule="auto"/>
        <w:rPr>
          <w:rFonts w:ascii="Times New Roman" w:hAnsi="Times New Roman" w:cs="Times New Roman"/>
          <w:noProof/>
          <w:spacing w:val="-6"/>
          <w:sz w:val="24"/>
          <w:lang w:val="sk-SK"/>
        </w:rPr>
        <w:sectPr w:rsidR="00302FC1" w:rsidRPr="00AB26B3" w:rsidSect="00315FC0">
          <w:headerReference w:type="default" r:id="rId82"/>
          <w:footerReference w:type="default" r:id="rId83"/>
          <w:pgSz w:w="16839" w:h="11907" w:orient="landscape"/>
          <w:pgMar w:top="720" w:right="720" w:bottom="720" w:left="720" w:header="709" w:footer="359" w:gutter="0"/>
          <w:cols w:space="720"/>
          <w:docGrid w:linePitch="360"/>
        </w:sectPr>
      </w:pPr>
    </w:p>
    <w:p w14:paraId="3348F71A" w14:textId="77777777" w:rsidR="00302FC1" w:rsidRPr="00AB26B3" w:rsidRDefault="00D64F26">
      <w:pPr>
        <w:pStyle w:val="P68B1DB1-Normal16"/>
        <w:spacing w:before="120" w:after="120" w:line="240" w:lineRule="auto"/>
        <w:jc w:val="both"/>
        <w:outlineLvl w:val="3"/>
        <w:rPr>
          <w:rFonts w:cs="Times New Roman"/>
          <w:bCs/>
          <w:noProof/>
          <w:spacing w:val="-6"/>
          <w:lang w:val="sk-SK"/>
        </w:rPr>
      </w:pPr>
      <w:r w:rsidRPr="00AB26B3">
        <w:rPr>
          <w:noProof/>
          <w:spacing w:val="-6"/>
          <w:lang w:val="sk-SK"/>
        </w:rPr>
        <w:t>D. ZLOŽKA 1.4: UDRŽATEĽNÉ VYUŽÍVANIE ZDROJOV, ODOLNOSŤ VOČI ZMENE KLÍMY A OCHRANA ŽIVOTNÉHO PROSTREDIA</w:t>
      </w:r>
    </w:p>
    <w:p w14:paraId="47051911" w14:textId="47BCB425" w:rsidR="00AB26B3" w:rsidRPr="00AB26B3" w:rsidRDefault="00D64F26">
      <w:pPr>
        <w:spacing w:before="120" w:after="120" w:line="240" w:lineRule="auto"/>
        <w:jc w:val="both"/>
        <w:rPr>
          <w:rFonts w:ascii="Times New Roman" w:hAnsi="Times New Roman"/>
          <w:noProof/>
          <w:spacing w:val="-6"/>
          <w:sz w:val="24"/>
          <w:lang w:val="sk-SK"/>
        </w:rPr>
      </w:pPr>
      <w:r w:rsidRPr="00AB26B3">
        <w:rPr>
          <w:rFonts w:ascii="Times New Roman" w:hAnsi="Times New Roman"/>
          <w:noProof/>
          <w:spacing w:val="-6"/>
          <w:sz w:val="24"/>
          <w:lang w:val="sk-SK"/>
        </w:rPr>
        <w:t>Cieľom tohto komponentu gréckeho plánu obnovy</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odolnosti je podporiť zelenú transformáciu. Zahŕňa cielené reformy</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investície na zlepšenie ochrany</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obnovy prírodného prostredia vrátane ochrany biodiverzity, zlepšenie environmentálnej infraštruktúry</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obnovu strát</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lesnom poraste. Okrem toho zahŕňa reformu odpadového hospodárstva,</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ktorá zahŕňa najmä zriadenie národného regulačného orgánu pre odpad na podporu prechodu na obehové hospodárstvo založené na predchádzaní vzniku odpadu, jeho opätovnom použití</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recyklácii. Ďalej sa ním zriaďuje národný regulačný orgán pre vodu</w:t>
      </w:r>
      <w:r w:rsidR="00AB26B3" w:rsidRPr="00AB26B3">
        <w:rPr>
          <w:rFonts w:ascii="Times New Roman" w:hAnsi="Times New Roman"/>
          <w:noProof/>
          <w:spacing w:val="-6"/>
          <w:sz w:val="24"/>
          <w:lang w:val="sk-SK"/>
        </w:rPr>
        <w:t xml:space="preserve"> s </w:t>
      </w:r>
      <w:r w:rsidRPr="00AB26B3">
        <w:rPr>
          <w:rFonts w:ascii="Times New Roman" w:hAnsi="Times New Roman"/>
          <w:noProof/>
          <w:spacing w:val="-6"/>
          <w:sz w:val="24"/>
          <w:lang w:val="sk-SK"/>
        </w:rPr>
        <w:t>cieľom zvýšiť udržateľnosť prevádzky</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investícií</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oblasti vodohospodárskych služieb. Vykonávaním reforiem</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investícií zahrnutých do komponentu sa zvýši efektívnosť využívania prírodných zdrojov</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posilní ochrana pred environmentálnymi rizikami</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vplyvmi na spoločnosť aj hospodárstvo. Komponent zahŕňa aj investície na zlepšenie dodávok pitnej vody</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kanalizácie</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na prevenciu</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zmiernenie environmentálnych výziev</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dôsledku zmeny klímy</w:t>
      </w:r>
      <w:r w:rsidR="00AB26B3" w:rsidRPr="00AB26B3">
        <w:rPr>
          <w:rFonts w:ascii="Times New Roman" w:hAnsi="Times New Roman"/>
          <w:noProof/>
          <w:spacing w:val="-6"/>
          <w:sz w:val="24"/>
          <w:lang w:val="sk-SK"/>
        </w:rPr>
        <w:t>.</w:t>
      </w:r>
    </w:p>
    <w:p w14:paraId="5914E9B7" w14:textId="104AFDE9"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 xml:space="preserve">Komponent podporuje riešenie odporúčania pre danú krajinu </w:t>
      </w:r>
      <w:r w:rsidR="00AB26B3" w:rsidRPr="00AB26B3">
        <w:rPr>
          <w:noProof/>
          <w:spacing w:val="-6"/>
          <w:lang w:val="sk-SK"/>
        </w:rPr>
        <w:t>č. </w:t>
      </w:r>
      <w:r w:rsidRPr="00AB26B3">
        <w:rPr>
          <w:noProof/>
          <w:spacing w:val="-6"/>
          <w:lang w:val="sk-SK"/>
        </w:rPr>
        <w:t>3</w:t>
      </w:r>
      <w:r w:rsidR="00AB26B3" w:rsidRPr="00AB26B3">
        <w:rPr>
          <w:noProof/>
          <w:spacing w:val="-6"/>
          <w:lang w:val="sk-SK"/>
        </w:rPr>
        <w:t xml:space="preserve"> z </w:t>
      </w:r>
      <w:r w:rsidRPr="00AB26B3">
        <w:rPr>
          <w:noProof/>
          <w:spacing w:val="-6"/>
          <w:lang w:val="sk-SK"/>
        </w:rPr>
        <w:t>roku 2020</w:t>
      </w:r>
      <w:r w:rsidR="00AB26B3" w:rsidRPr="00AB26B3">
        <w:rPr>
          <w:noProof/>
          <w:spacing w:val="-6"/>
          <w:lang w:val="sk-SK"/>
        </w:rPr>
        <w:t xml:space="preserve"> a </w:t>
      </w:r>
      <w:r w:rsidRPr="00AB26B3">
        <w:rPr>
          <w:noProof/>
          <w:spacing w:val="-6"/>
          <w:lang w:val="sk-SK"/>
        </w:rPr>
        <w:t xml:space="preserve">odporúčania pre danú krajinu </w:t>
      </w:r>
      <w:r w:rsidR="00AB26B3" w:rsidRPr="00AB26B3">
        <w:rPr>
          <w:noProof/>
          <w:spacing w:val="-6"/>
          <w:lang w:val="sk-SK"/>
        </w:rPr>
        <w:t>č. </w:t>
      </w:r>
      <w:r w:rsidRPr="00AB26B3">
        <w:rPr>
          <w:noProof/>
          <w:spacing w:val="-6"/>
          <w:lang w:val="sk-SK"/>
        </w:rPr>
        <w:t>2</w:t>
      </w:r>
      <w:r w:rsidR="00AB26B3" w:rsidRPr="00AB26B3">
        <w:rPr>
          <w:noProof/>
          <w:spacing w:val="-6"/>
          <w:lang w:val="sk-SK"/>
        </w:rPr>
        <w:t xml:space="preserve"> z </w:t>
      </w:r>
      <w:r w:rsidRPr="00AB26B3">
        <w:rPr>
          <w:noProof/>
          <w:spacing w:val="-6"/>
          <w:lang w:val="sk-SK"/>
        </w:rPr>
        <w:t>roku 2019 týkajúceho sa verejných</w:t>
      </w:r>
      <w:r w:rsidR="00AB26B3" w:rsidRPr="00AB26B3">
        <w:rPr>
          <w:noProof/>
          <w:spacing w:val="-6"/>
          <w:lang w:val="sk-SK"/>
        </w:rPr>
        <w:t xml:space="preserve"> a </w:t>
      </w:r>
      <w:r w:rsidRPr="00AB26B3">
        <w:rPr>
          <w:noProof/>
          <w:spacing w:val="-6"/>
          <w:lang w:val="sk-SK"/>
        </w:rPr>
        <w:t>súkromných investícií.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1256F656" w14:textId="61F3A4A2" w:rsidR="00302FC1" w:rsidRPr="00AB26B3" w:rsidRDefault="00D64F26">
      <w:pPr>
        <w:pStyle w:val="P68B1DB1-Normal6"/>
        <w:tabs>
          <w:tab w:val="left" w:pos="1134"/>
        </w:tabs>
        <w:spacing w:before="120" w:after="120" w:line="240" w:lineRule="auto"/>
        <w:jc w:val="both"/>
        <w:rPr>
          <w:rFonts w:cs="Times New Roman"/>
          <w:bCs/>
          <w:noProof/>
          <w:spacing w:val="-6"/>
          <w:lang w:val="sk-SK"/>
        </w:rPr>
      </w:pPr>
      <w:r w:rsidRPr="00AB26B3">
        <w:rPr>
          <w:noProof/>
          <w:spacing w:val="-6"/>
          <w:lang w:val="sk-SK"/>
        </w:rPr>
        <w:t>D.1.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2D350774" w14:textId="1E8EB207" w:rsidR="00302FC1" w:rsidRPr="00AB26B3" w:rsidRDefault="00D64F26">
      <w:pPr>
        <w:pStyle w:val="P68B1DB1-Normal5"/>
        <w:tabs>
          <w:tab w:val="left" w:pos="1134"/>
        </w:tabs>
        <w:spacing w:before="120" w:after="120" w:line="240" w:lineRule="auto"/>
        <w:jc w:val="both"/>
        <w:rPr>
          <w:rFonts w:cs="Times New Roman"/>
          <w:noProof/>
          <w:spacing w:val="-6"/>
          <w:szCs w:val="24"/>
          <w:lang w:val="sk-SK"/>
        </w:rPr>
      </w:pPr>
      <w:r w:rsidRPr="00AB26B3">
        <w:rPr>
          <w:b/>
          <w:noProof/>
          <w:spacing w:val="-6"/>
          <w:lang w:val="sk-SK"/>
        </w:rPr>
        <w:t>Investície:</w:t>
      </w:r>
      <w:r w:rsidRPr="00AB26B3">
        <w:rPr>
          <w:noProof/>
          <w:spacing w:val="-6"/>
          <w:lang w:val="sk-SK"/>
        </w:rPr>
        <w:t xml:space="preserve"> Národný plán zalesňovania, obnova</w:t>
      </w:r>
      <w:r w:rsidR="00AB26B3" w:rsidRPr="00AB26B3">
        <w:rPr>
          <w:noProof/>
          <w:spacing w:val="-6"/>
          <w:lang w:val="sk-SK"/>
        </w:rPr>
        <w:t xml:space="preserve"> a </w:t>
      </w:r>
      <w:r w:rsidRPr="00AB26B3">
        <w:rPr>
          <w:noProof/>
          <w:spacing w:val="-6"/>
          <w:lang w:val="sk-SK"/>
        </w:rPr>
        <w:t>prevencia („antiNERO“), opatrenia proti erózii</w:t>
      </w:r>
      <w:r w:rsidR="00AB26B3" w:rsidRPr="00AB26B3">
        <w:rPr>
          <w:noProof/>
          <w:spacing w:val="-6"/>
          <w:lang w:val="sk-SK"/>
        </w:rPr>
        <w:t xml:space="preserve"> a </w:t>
      </w:r>
      <w:r w:rsidRPr="00AB26B3">
        <w:rPr>
          <w:noProof/>
          <w:spacing w:val="-6"/>
          <w:lang w:val="sk-SK"/>
        </w:rPr>
        <w:t>protipovodňová ochrana (opatrenie ID: 16849)</w:t>
      </w:r>
    </w:p>
    <w:p w14:paraId="666BA82F" w14:textId="0A9B0A04"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obnoviť degradované lesné ekosystémy</w:t>
      </w:r>
      <w:r w:rsidR="00AB26B3" w:rsidRPr="00AB26B3">
        <w:rPr>
          <w:noProof/>
          <w:spacing w:val="-6"/>
          <w:lang w:val="sk-SK"/>
        </w:rPr>
        <w:t xml:space="preserve"> v </w:t>
      </w:r>
      <w:r w:rsidRPr="00AB26B3">
        <w:rPr>
          <w:noProof/>
          <w:spacing w:val="-6"/>
          <w:lang w:val="sk-SK"/>
        </w:rPr>
        <w:t>Grécku</w:t>
      </w:r>
      <w:r w:rsidR="00AB26B3" w:rsidRPr="00AB26B3">
        <w:rPr>
          <w:noProof/>
          <w:spacing w:val="-6"/>
          <w:lang w:val="sk-SK"/>
        </w:rPr>
        <w:t xml:space="preserve"> a </w:t>
      </w:r>
      <w:r w:rsidRPr="00AB26B3">
        <w:rPr>
          <w:noProof/>
          <w:spacing w:val="-6"/>
          <w:lang w:val="sk-SK"/>
        </w:rPr>
        <w:t>zabrániť budúcim prírodným katastrofám. Opatrenie pozostáva</w:t>
      </w:r>
      <w:r w:rsidR="00AB26B3" w:rsidRPr="00AB26B3">
        <w:rPr>
          <w:noProof/>
          <w:spacing w:val="-6"/>
          <w:lang w:val="sk-SK"/>
        </w:rPr>
        <w:t xml:space="preserve"> z </w:t>
      </w:r>
      <w:r w:rsidRPr="00AB26B3">
        <w:rPr>
          <w:noProof/>
          <w:spacing w:val="-6"/>
          <w:lang w:val="sk-SK"/>
        </w:rPr>
        <w:t>opatrení</w:t>
      </w:r>
      <w:r w:rsidR="00AB26B3" w:rsidRPr="00AB26B3">
        <w:rPr>
          <w:noProof/>
          <w:spacing w:val="-6"/>
          <w:lang w:val="sk-SK"/>
        </w:rPr>
        <w:t xml:space="preserve"> v </w:t>
      </w:r>
      <w:r w:rsidRPr="00AB26B3">
        <w:rPr>
          <w:noProof/>
          <w:spacing w:val="-6"/>
          <w:lang w:val="sk-SK"/>
        </w:rPr>
        <w:t>oblasti opätovného zalesňovania, prevencie prírodných požiarov, boja proti erózii</w:t>
      </w:r>
      <w:r w:rsidR="00AB26B3" w:rsidRPr="00AB26B3">
        <w:rPr>
          <w:noProof/>
          <w:spacing w:val="-6"/>
          <w:lang w:val="sk-SK"/>
        </w:rPr>
        <w:t xml:space="preserve"> a </w:t>
      </w:r>
      <w:r w:rsidRPr="00AB26B3">
        <w:rPr>
          <w:noProof/>
          <w:spacing w:val="-6"/>
          <w:lang w:val="sk-SK"/>
        </w:rPr>
        <w:t>protipovodňovej ochrany.</w:t>
      </w:r>
    </w:p>
    <w:p w14:paraId="4B1FF202" w14:textId="281F357F"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Infraštruktúry na nakladanie</w:t>
      </w:r>
      <w:r w:rsidR="00AB26B3" w:rsidRPr="00AB26B3">
        <w:rPr>
          <w:noProof/>
          <w:spacing w:val="-6"/>
          <w:lang w:val="sk-SK"/>
        </w:rPr>
        <w:t xml:space="preserve"> s </w:t>
      </w:r>
      <w:r w:rsidRPr="00AB26B3">
        <w:rPr>
          <w:noProof/>
          <w:spacing w:val="-6"/>
          <w:lang w:val="sk-SK"/>
        </w:rPr>
        <w:t>komunálnymi odpadovými vodami</w:t>
      </w:r>
      <w:r w:rsidR="00AB26B3" w:rsidRPr="00AB26B3">
        <w:rPr>
          <w:noProof/>
          <w:spacing w:val="-6"/>
          <w:lang w:val="sk-SK"/>
        </w:rPr>
        <w:t xml:space="preserve"> a </w:t>
      </w:r>
      <w:r w:rsidRPr="00AB26B3">
        <w:rPr>
          <w:noProof/>
          <w:spacing w:val="-6"/>
          <w:lang w:val="sk-SK"/>
        </w:rPr>
        <w:t>kalmi</w:t>
      </w:r>
      <w:r w:rsidR="00AB26B3" w:rsidRPr="00AB26B3">
        <w:rPr>
          <w:noProof/>
          <w:spacing w:val="-6"/>
          <w:lang w:val="sk-SK"/>
        </w:rPr>
        <w:t xml:space="preserve"> z </w:t>
      </w:r>
      <w:r w:rsidRPr="00AB26B3">
        <w:rPr>
          <w:noProof/>
          <w:spacing w:val="-6"/>
          <w:lang w:val="sk-SK"/>
        </w:rPr>
        <w:t>čistenia odpadových vôd (identifikačné číslo opatrenia: 16846)</w:t>
      </w:r>
    </w:p>
    <w:p w14:paraId="6813A50B" w14:textId="3DD023C6"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znížiť znečistenie životného prostredia vyplývajúce</w:t>
      </w:r>
      <w:r w:rsidR="00AB26B3" w:rsidRPr="00AB26B3">
        <w:rPr>
          <w:noProof/>
          <w:spacing w:val="-6"/>
          <w:lang w:val="sk-SK"/>
        </w:rPr>
        <w:t xml:space="preserve"> z </w:t>
      </w:r>
      <w:r w:rsidRPr="00AB26B3">
        <w:rPr>
          <w:noProof/>
          <w:spacing w:val="-6"/>
          <w:lang w:val="sk-SK"/>
        </w:rPr>
        <w:t>čistenia odpadových vôd. Opatrenie pozostáva</w:t>
      </w:r>
      <w:r w:rsidR="00AB26B3" w:rsidRPr="00AB26B3">
        <w:rPr>
          <w:noProof/>
          <w:spacing w:val="-6"/>
          <w:lang w:val="sk-SK"/>
        </w:rPr>
        <w:t xml:space="preserve"> z </w:t>
      </w:r>
      <w:r w:rsidRPr="00AB26B3">
        <w:rPr>
          <w:noProof/>
          <w:spacing w:val="-6"/>
          <w:lang w:val="sk-SK"/>
        </w:rPr>
        <w:t>výstavby infraštruktúr kanalizačnej siete</w:t>
      </w:r>
      <w:r w:rsidR="00AB26B3" w:rsidRPr="00AB26B3">
        <w:rPr>
          <w:noProof/>
          <w:spacing w:val="-6"/>
          <w:lang w:val="sk-SK"/>
        </w:rPr>
        <w:t xml:space="preserve"> a </w:t>
      </w:r>
      <w:r w:rsidRPr="00AB26B3">
        <w:rPr>
          <w:noProof/>
          <w:spacing w:val="-6"/>
          <w:lang w:val="sk-SK"/>
        </w:rPr>
        <w:t>čistiarní odpadových vôd, obnovy existujúcich čistiarní odpadových vôd</w:t>
      </w:r>
      <w:r w:rsidR="00AB26B3" w:rsidRPr="00AB26B3">
        <w:rPr>
          <w:noProof/>
          <w:spacing w:val="-6"/>
          <w:lang w:val="sk-SK"/>
        </w:rPr>
        <w:t xml:space="preserve"> a </w:t>
      </w:r>
      <w:r w:rsidRPr="00AB26B3">
        <w:rPr>
          <w:noProof/>
          <w:spacing w:val="-6"/>
          <w:lang w:val="sk-SK"/>
        </w:rPr>
        <w:t>výstavby infraštruktúr na nakladanie</w:t>
      </w:r>
      <w:r w:rsidR="00AB26B3" w:rsidRPr="00AB26B3">
        <w:rPr>
          <w:noProof/>
          <w:spacing w:val="-6"/>
          <w:lang w:val="sk-SK"/>
        </w:rPr>
        <w:t xml:space="preserve"> s </w:t>
      </w:r>
      <w:r w:rsidRPr="00AB26B3">
        <w:rPr>
          <w:noProof/>
          <w:spacing w:val="-6"/>
          <w:lang w:val="sk-SK"/>
        </w:rPr>
        <w:t>kalmi</w:t>
      </w:r>
      <w:r w:rsidR="00AB26B3" w:rsidRPr="00AB26B3">
        <w:rPr>
          <w:noProof/>
          <w:spacing w:val="-6"/>
          <w:lang w:val="sk-SK"/>
        </w:rPr>
        <w:t xml:space="preserve"> z </w:t>
      </w:r>
      <w:r w:rsidRPr="00AB26B3">
        <w:rPr>
          <w:noProof/>
          <w:spacing w:val="-6"/>
          <w:lang w:val="sk-SK"/>
        </w:rPr>
        <w:t>čistiarní odpadových vôd</w:t>
      </w:r>
      <w:r w:rsidR="00AB26B3" w:rsidRPr="00AB26B3">
        <w:rPr>
          <w:noProof/>
          <w:spacing w:val="-6"/>
          <w:lang w:val="sk-SK"/>
        </w:rPr>
        <w:t>.</w:t>
      </w:r>
    </w:p>
    <w:p w14:paraId="0318732B" w14:textId="5E95A065"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Národná stratégia</w:t>
      </w:r>
      <w:r w:rsidR="00AB26B3" w:rsidRPr="00AB26B3">
        <w:rPr>
          <w:noProof/>
          <w:spacing w:val="-6"/>
          <w:lang w:val="sk-SK"/>
        </w:rPr>
        <w:t xml:space="preserve"> v </w:t>
      </w:r>
      <w:r w:rsidRPr="00AB26B3">
        <w:rPr>
          <w:noProof/>
          <w:spacing w:val="-6"/>
          <w:lang w:val="sk-SK"/>
        </w:rPr>
        <w:t>oblasti vody (identifikačné číslo opatrenia: 16285)</w:t>
      </w:r>
    </w:p>
    <w:p w14:paraId="5C06F9F5" w14:textId="68394D8D" w:rsidR="00302FC1" w:rsidRPr="00AB26B3" w:rsidRDefault="00D64F26">
      <w:pPr>
        <w:pStyle w:val="P68B1DB1-Normal8"/>
        <w:spacing w:before="120" w:after="120" w:line="240" w:lineRule="auto"/>
        <w:jc w:val="both"/>
        <w:rPr>
          <w:rFonts w:ascii="Times New Roman" w:hAnsi="Times New Roman"/>
          <w:noProof/>
          <w:spacing w:val="-6"/>
          <w:lang w:val="sk-SK"/>
        </w:rPr>
      </w:pPr>
      <w:r w:rsidRPr="00AB26B3">
        <w:rPr>
          <w:rFonts w:ascii="Times New Roman" w:hAnsi="Times New Roman"/>
          <w:noProof/>
          <w:spacing w:val="-6"/>
          <w:lang w:val="sk-SK"/>
        </w:rPr>
        <w:t xml:space="preserve">Cieľom opatrenia je </w:t>
      </w:r>
      <w:r w:rsidRPr="00AB26B3">
        <w:rPr>
          <w:rFonts w:ascii="Times New Roman" w:eastAsia="Times New Roman" w:hAnsi="Times New Roman" w:cs="Times New Roman"/>
          <w:noProof/>
          <w:color w:val="000000" w:themeColor="text1"/>
          <w:spacing w:val="-6"/>
          <w:lang w:val="sk-SK"/>
        </w:rPr>
        <w:t>vytvoriť rámec pre efektívne</w:t>
      </w:r>
      <w:r w:rsidR="00AB26B3" w:rsidRPr="00AB26B3">
        <w:rPr>
          <w:rFonts w:ascii="Times New Roman" w:eastAsia="Times New Roman" w:hAnsi="Times New Roman" w:cs="Times New Roman"/>
          <w:noProof/>
          <w:color w:val="000000" w:themeColor="text1"/>
          <w:spacing w:val="-6"/>
          <w:lang w:val="sk-SK"/>
        </w:rPr>
        <w:t xml:space="preserve"> a </w:t>
      </w:r>
      <w:r w:rsidRPr="00AB26B3">
        <w:rPr>
          <w:rFonts w:ascii="Times New Roman" w:eastAsia="Times New Roman" w:hAnsi="Times New Roman" w:cs="Times New Roman"/>
          <w:noProof/>
          <w:color w:val="000000" w:themeColor="text1"/>
          <w:spacing w:val="-6"/>
          <w:lang w:val="sk-SK"/>
        </w:rPr>
        <w:t>udržateľné využívanie vodných zdrojov</w:t>
      </w:r>
      <w:r w:rsidR="00AB26B3" w:rsidRPr="00AB26B3">
        <w:rPr>
          <w:rFonts w:ascii="Times New Roman" w:eastAsia="Times New Roman" w:hAnsi="Times New Roman" w:cs="Times New Roman"/>
          <w:noProof/>
          <w:color w:val="000000" w:themeColor="text1"/>
          <w:spacing w:val="-6"/>
          <w:lang w:val="sk-SK"/>
        </w:rPr>
        <w:t xml:space="preserve"> a </w:t>
      </w:r>
      <w:r w:rsidRPr="00AB26B3">
        <w:rPr>
          <w:rFonts w:ascii="Times New Roman" w:eastAsia="Times New Roman" w:hAnsi="Times New Roman" w:cs="Times New Roman"/>
          <w:noProof/>
          <w:color w:val="000000" w:themeColor="text1"/>
          <w:spacing w:val="-6"/>
          <w:lang w:val="sk-SK"/>
        </w:rPr>
        <w:t xml:space="preserve">podporiť pilotnú reorganizáciu poskytovateľov vodohospodárskych služieb. </w:t>
      </w:r>
      <w:r w:rsidRPr="00AB26B3">
        <w:rPr>
          <w:rFonts w:ascii="Times New Roman" w:eastAsia="Times New Roman" w:hAnsi="Times New Roman" w:cs="Times New Roman"/>
          <w:noProof/>
          <w:spacing w:val="-6"/>
          <w:lang w:val="sk-SK"/>
        </w:rPr>
        <w:t>Opatrenie spočíva</w:t>
      </w:r>
      <w:r w:rsidR="00AB26B3" w:rsidRPr="00AB26B3">
        <w:rPr>
          <w:rFonts w:ascii="Times New Roman" w:eastAsia="Times New Roman" w:hAnsi="Times New Roman" w:cs="Times New Roman"/>
          <w:noProof/>
          <w:spacing w:val="-6"/>
          <w:lang w:val="sk-SK"/>
        </w:rPr>
        <w:t xml:space="preserve"> v </w:t>
      </w:r>
      <w:r w:rsidRPr="00AB26B3">
        <w:rPr>
          <w:rFonts w:ascii="Times New Roman" w:eastAsia="Times New Roman" w:hAnsi="Times New Roman" w:cs="Times New Roman"/>
          <w:noProof/>
          <w:spacing w:val="-6"/>
          <w:lang w:val="sk-SK"/>
        </w:rPr>
        <w:t>prijatí národnej stratégie</w:t>
      </w:r>
      <w:r w:rsidR="00AB26B3" w:rsidRPr="00AB26B3">
        <w:rPr>
          <w:rFonts w:ascii="Times New Roman" w:eastAsia="Times New Roman" w:hAnsi="Times New Roman" w:cs="Times New Roman"/>
          <w:noProof/>
          <w:spacing w:val="-6"/>
          <w:lang w:val="sk-SK"/>
        </w:rPr>
        <w:t xml:space="preserve"> v </w:t>
      </w:r>
      <w:r w:rsidRPr="00AB26B3">
        <w:rPr>
          <w:rFonts w:ascii="Times New Roman" w:eastAsia="Times New Roman" w:hAnsi="Times New Roman" w:cs="Times New Roman"/>
          <w:noProof/>
          <w:spacing w:val="-6"/>
          <w:lang w:val="sk-SK"/>
        </w:rPr>
        <w:t>oblasti vodného hospodárstva</w:t>
      </w:r>
      <w:r w:rsidR="00AB26B3" w:rsidRPr="00AB26B3">
        <w:rPr>
          <w:rFonts w:ascii="Times New Roman" w:eastAsia="Times New Roman" w:hAnsi="Times New Roman" w:cs="Times New Roman"/>
          <w:noProof/>
          <w:spacing w:val="-6"/>
          <w:lang w:val="sk-SK"/>
        </w:rPr>
        <w:t xml:space="preserve"> a </w:t>
      </w:r>
      <w:r w:rsidRPr="00AB26B3">
        <w:rPr>
          <w:rFonts w:ascii="Times New Roman" w:eastAsia="Times New Roman" w:hAnsi="Times New Roman" w:cs="Times New Roman"/>
          <w:noProof/>
          <w:spacing w:val="-6"/>
          <w:lang w:val="sk-SK"/>
        </w:rPr>
        <w:t>právneho aktu na rozšírenie povinností EYDAP (Aténska vodovodná</w:t>
      </w:r>
      <w:r w:rsidR="00AB26B3" w:rsidRPr="00AB26B3">
        <w:rPr>
          <w:rFonts w:ascii="Times New Roman" w:eastAsia="Times New Roman" w:hAnsi="Times New Roman" w:cs="Times New Roman"/>
          <w:noProof/>
          <w:spacing w:val="-6"/>
          <w:lang w:val="sk-SK"/>
        </w:rPr>
        <w:t xml:space="preserve"> a </w:t>
      </w:r>
      <w:r w:rsidRPr="00AB26B3">
        <w:rPr>
          <w:rFonts w:ascii="Times New Roman" w:eastAsia="Times New Roman" w:hAnsi="Times New Roman" w:cs="Times New Roman"/>
          <w:noProof/>
          <w:spacing w:val="-6"/>
          <w:lang w:val="sk-SK"/>
        </w:rPr>
        <w:t>kanalizačná spoločnosť)</w:t>
      </w:r>
      <w:r w:rsidR="00AB26B3" w:rsidRPr="00AB26B3">
        <w:rPr>
          <w:rFonts w:ascii="Times New Roman" w:eastAsia="Times New Roman" w:hAnsi="Times New Roman" w:cs="Times New Roman"/>
          <w:noProof/>
          <w:spacing w:val="-6"/>
          <w:lang w:val="sk-SK"/>
        </w:rPr>
        <w:t xml:space="preserve"> a </w:t>
      </w:r>
      <w:r w:rsidRPr="00AB26B3">
        <w:rPr>
          <w:rFonts w:ascii="Times New Roman" w:eastAsia="Times New Roman" w:hAnsi="Times New Roman" w:cs="Times New Roman"/>
          <w:noProof/>
          <w:spacing w:val="-6"/>
          <w:lang w:val="sk-SK"/>
        </w:rPr>
        <w:t>EYATH (Solúnska vodovodná</w:t>
      </w:r>
      <w:r w:rsidR="00AB26B3" w:rsidRPr="00AB26B3">
        <w:rPr>
          <w:rFonts w:ascii="Times New Roman" w:eastAsia="Times New Roman" w:hAnsi="Times New Roman" w:cs="Times New Roman"/>
          <w:noProof/>
          <w:spacing w:val="-6"/>
          <w:lang w:val="sk-SK"/>
        </w:rPr>
        <w:t xml:space="preserve"> a </w:t>
      </w:r>
      <w:r w:rsidRPr="00AB26B3">
        <w:rPr>
          <w:rFonts w:ascii="Times New Roman" w:eastAsia="Times New Roman" w:hAnsi="Times New Roman" w:cs="Times New Roman"/>
          <w:noProof/>
          <w:spacing w:val="-6"/>
          <w:lang w:val="sk-SK"/>
        </w:rPr>
        <w:t>kanalizačná spoločnosť).</w:t>
      </w:r>
    </w:p>
    <w:p w14:paraId="12B014D6" w14:textId="1823B41E" w:rsidR="00302FC1" w:rsidRPr="00AB26B3" w:rsidRDefault="00D64F26">
      <w:pPr>
        <w:pStyle w:val="P68B1DB1-Normal7"/>
        <w:spacing w:before="120" w:after="120" w:line="240" w:lineRule="auto"/>
        <w:jc w:val="both"/>
        <w:rPr>
          <w:noProof/>
          <w:spacing w:val="-6"/>
          <w:lang w:val="sk-SK"/>
        </w:rPr>
      </w:pPr>
      <w:r w:rsidRPr="00AB26B3">
        <w:rPr>
          <w:b/>
          <w:noProof/>
          <w:spacing w:val="-6"/>
          <w:lang w:val="sk-SK"/>
        </w:rPr>
        <w:t>Investície:</w:t>
      </w:r>
      <w:r w:rsidRPr="00AB26B3">
        <w:rPr>
          <w:noProof/>
          <w:spacing w:val="-6"/>
          <w:lang w:val="sk-SK"/>
        </w:rPr>
        <w:t xml:space="preserve"> Infraštruktúry na zásobovanie pitnou vodou</w:t>
      </w:r>
      <w:r w:rsidR="00AB26B3" w:rsidRPr="00AB26B3">
        <w:rPr>
          <w:noProof/>
          <w:spacing w:val="-6"/>
          <w:lang w:val="sk-SK"/>
        </w:rPr>
        <w:t xml:space="preserve"> a </w:t>
      </w:r>
      <w:r w:rsidRPr="00AB26B3">
        <w:rPr>
          <w:noProof/>
          <w:spacing w:val="-6"/>
          <w:lang w:val="sk-SK"/>
        </w:rPr>
        <w:t>jej úsporu (identifikačné číslo opatrenia: 16850)</w:t>
      </w:r>
    </w:p>
    <w:p w14:paraId="081BFE48" w14:textId="630F3482"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zlepšiť dostupnosť</w:t>
      </w:r>
      <w:r w:rsidR="00AB26B3" w:rsidRPr="00AB26B3">
        <w:rPr>
          <w:noProof/>
          <w:spacing w:val="-6"/>
          <w:lang w:val="sk-SK"/>
        </w:rPr>
        <w:t xml:space="preserve"> a </w:t>
      </w:r>
      <w:r w:rsidRPr="00AB26B3">
        <w:rPr>
          <w:noProof/>
          <w:spacing w:val="-6"/>
          <w:lang w:val="sk-SK"/>
        </w:rPr>
        <w:t>kvalitu pitnej vody</w:t>
      </w:r>
      <w:r w:rsidR="00AB26B3" w:rsidRPr="00AB26B3">
        <w:rPr>
          <w:noProof/>
          <w:spacing w:val="-6"/>
          <w:lang w:val="sk-SK"/>
        </w:rPr>
        <w:t xml:space="preserve"> a </w:t>
      </w:r>
      <w:r w:rsidRPr="00AB26B3">
        <w:rPr>
          <w:noProof/>
          <w:spacing w:val="-6"/>
          <w:lang w:val="sk-SK"/>
        </w:rPr>
        <w:t>znížiť úniky</w:t>
      </w:r>
      <w:r w:rsidR="00AB26B3" w:rsidRPr="00AB26B3">
        <w:rPr>
          <w:noProof/>
          <w:spacing w:val="-6"/>
          <w:lang w:val="sk-SK"/>
        </w:rPr>
        <w:t xml:space="preserve"> a </w:t>
      </w:r>
      <w:r w:rsidRPr="00AB26B3">
        <w:rPr>
          <w:noProof/>
          <w:spacing w:val="-6"/>
          <w:lang w:val="sk-SK"/>
        </w:rPr>
        <w:t>riziká pre verejné zdravie súvisiace</w:t>
      </w:r>
      <w:r w:rsidR="00AB26B3" w:rsidRPr="00AB26B3">
        <w:rPr>
          <w:noProof/>
          <w:spacing w:val="-6"/>
          <w:lang w:val="sk-SK"/>
        </w:rPr>
        <w:t xml:space="preserve"> s </w:t>
      </w:r>
      <w:r w:rsidRPr="00AB26B3">
        <w:rPr>
          <w:noProof/>
          <w:spacing w:val="-6"/>
          <w:lang w:val="sk-SK"/>
        </w:rPr>
        <w:t>vodohospodárskou infraštruktúrou. Opatrenie pozostáva</w:t>
      </w:r>
      <w:r w:rsidR="00AB26B3" w:rsidRPr="00AB26B3">
        <w:rPr>
          <w:noProof/>
          <w:spacing w:val="-6"/>
          <w:lang w:val="sk-SK"/>
        </w:rPr>
        <w:t xml:space="preserve"> z </w:t>
      </w:r>
      <w:r w:rsidRPr="00AB26B3">
        <w:rPr>
          <w:noProof/>
          <w:spacing w:val="-6"/>
          <w:lang w:val="sk-SK"/>
        </w:rPr>
        <w:t>výstavby infraštruktúry na zásobovanie vodou, inštalácie telemetrie – systémov diaľkového ovládania</w:t>
      </w:r>
      <w:r w:rsidR="00AB26B3" w:rsidRPr="00AB26B3">
        <w:rPr>
          <w:noProof/>
          <w:spacing w:val="-6"/>
          <w:lang w:val="sk-SK"/>
        </w:rPr>
        <w:t xml:space="preserve"> a </w:t>
      </w:r>
      <w:r w:rsidRPr="00AB26B3">
        <w:rPr>
          <w:noProof/>
          <w:spacing w:val="-6"/>
          <w:lang w:val="sk-SK"/>
        </w:rPr>
        <w:t>digitálnych vodomerov.</w:t>
      </w:r>
    </w:p>
    <w:p w14:paraId="34F6CDE6"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Letecké prostriedky na krízové riadenie (identifikačné číslo opatrenia: 16911)</w:t>
      </w:r>
    </w:p>
    <w:p w14:paraId="7B45BDCD" w14:textId="1EF7EFA6"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zvýšiť leteckú kapacitu krízového riadenia. Opatrenie pozostáva</w:t>
      </w:r>
      <w:r w:rsidR="00AB26B3" w:rsidRPr="00AB26B3">
        <w:rPr>
          <w:noProof/>
          <w:spacing w:val="-6"/>
          <w:lang w:val="sk-SK"/>
        </w:rPr>
        <w:t xml:space="preserve"> z </w:t>
      </w:r>
      <w:r w:rsidRPr="00AB26B3">
        <w:rPr>
          <w:noProof/>
          <w:spacing w:val="-6"/>
          <w:lang w:val="sk-SK"/>
        </w:rPr>
        <w:t>poskytnutia leteckých prostriedkov na krízové riadenie.</w:t>
      </w:r>
    </w:p>
    <w:p w14:paraId="3D8F6C17" w14:textId="11AB713A"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Vybavenie na hasenie lesných požiarov, prevenciu</w:t>
      </w:r>
      <w:r w:rsidR="00AB26B3" w:rsidRPr="00AB26B3">
        <w:rPr>
          <w:noProof/>
          <w:spacing w:val="-6"/>
          <w:lang w:val="sk-SK"/>
        </w:rPr>
        <w:t xml:space="preserve"> a </w:t>
      </w:r>
      <w:r w:rsidRPr="00AB26B3">
        <w:rPr>
          <w:noProof/>
          <w:spacing w:val="-6"/>
          <w:lang w:val="sk-SK"/>
        </w:rPr>
        <w:t>reakciu (identifikačné číslo opatrenia: 16912)</w:t>
      </w:r>
    </w:p>
    <w:p w14:paraId="423289B1" w14:textId="6DE9396A"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Cieľom opatrenia je zvýšiť kapacity</w:t>
      </w:r>
      <w:r w:rsidR="00AB26B3" w:rsidRPr="00AB26B3">
        <w:rPr>
          <w:noProof/>
          <w:spacing w:val="-6"/>
          <w:lang w:val="sk-SK"/>
        </w:rPr>
        <w:t xml:space="preserve"> v </w:t>
      </w:r>
      <w:r w:rsidRPr="00AB26B3">
        <w:rPr>
          <w:noProof/>
          <w:spacing w:val="-6"/>
          <w:lang w:val="sk-SK"/>
        </w:rPr>
        <w:t>oblasti boja proti lesným požiarom, prevencie</w:t>
      </w:r>
      <w:r w:rsidR="00AB26B3" w:rsidRPr="00AB26B3">
        <w:rPr>
          <w:noProof/>
          <w:spacing w:val="-6"/>
          <w:lang w:val="sk-SK"/>
        </w:rPr>
        <w:t xml:space="preserve"> a </w:t>
      </w:r>
      <w:r w:rsidRPr="00AB26B3">
        <w:rPr>
          <w:noProof/>
          <w:spacing w:val="-6"/>
          <w:lang w:val="sk-SK"/>
        </w:rPr>
        <w:t>reakcie na ne. Opatrenie pozostáva</w:t>
      </w:r>
      <w:r w:rsidR="00AB26B3" w:rsidRPr="00AB26B3">
        <w:rPr>
          <w:noProof/>
          <w:spacing w:val="-6"/>
          <w:lang w:val="sk-SK"/>
        </w:rPr>
        <w:t xml:space="preserve"> z </w:t>
      </w:r>
      <w:r w:rsidRPr="00AB26B3">
        <w:rPr>
          <w:noProof/>
          <w:spacing w:val="-6"/>
          <w:lang w:val="sk-SK"/>
        </w:rPr>
        <w:t>dodávky protipožiarneho</w:t>
      </w:r>
      <w:r w:rsidR="00AB26B3" w:rsidRPr="00AB26B3">
        <w:rPr>
          <w:noProof/>
          <w:spacing w:val="-6"/>
          <w:lang w:val="sk-SK"/>
        </w:rPr>
        <w:t xml:space="preserve"> a </w:t>
      </w:r>
      <w:r w:rsidRPr="00AB26B3">
        <w:rPr>
          <w:noProof/>
          <w:spacing w:val="-6"/>
          <w:lang w:val="sk-SK"/>
        </w:rPr>
        <w:t>reakčného vybavenia.</w:t>
      </w:r>
    </w:p>
    <w:p w14:paraId="27D93540"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Ochrana biodiverzity ako hnacia sila udržateľného rastu (identifikačné číslo opatrenia: 16851)</w:t>
      </w:r>
    </w:p>
    <w:p w14:paraId="6C48D3BA" w14:textId="610B397A"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chrániť prírodné prostredie Grécka zachovaním</w:t>
      </w:r>
      <w:r w:rsidR="00AB26B3" w:rsidRPr="00AB26B3">
        <w:rPr>
          <w:noProof/>
          <w:spacing w:val="-6"/>
          <w:lang w:val="sk-SK"/>
        </w:rPr>
        <w:t xml:space="preserve"> a </w:t>
      </w:r>
      <w:r w:rsidRPr="00AB26B3">
        <w:rPr>
          <w:noProof/>
          <w:spacing w:val="-6"/>
          <w:lang w:val="sk-SK"/>
        </w:rPr>
        <w:t>predvádzaním jeho prírodného dedičstva. Opatrenie pozostáva</w:t>
      </w:r>
      <w:r w:rsidR="00AB26B3" w:rsidRPr="00AB26B3">
        <w:rPr>
          <w:noProof/>
          <w:spacing w:val="-6"/>
          <w:lang w:val="sk-SK"/>
        </w:rPr>
        <w:t xml:space="preserve"> z </w:t>
      </w:r>
      <w:r w:rsidRPr="00AB26B3">
        <w:rPr>
          <w:noProof/>
          <w:spacing w:val="-6"/>
          <w:lang w:val="sk-SK"/>
        </w:rPr>
        <w:t>monitorovania</w:t>
      </w:r>
      <w:r w:rsidR="00AB26B3" w:rsidRPr="00AB26B3">
        <w:rPr>
          <w:noProof/>
          <w:spacing w:val="-6"/>
          <w:lang w:val="sk-SK"/>
        </w:rPr>
        <w:t xml:space="preserve"> a </w:t>
      </w:r>
      <w:r w:rsidRPr="00AB26B3">
        <w:rPr>
          <w:noProof/>
          <w:spacing w:val="-6"/>
          <w:lang w:val="sk-SK"/>
        </w:rPr>
        <w:t>ochrany biodiverzity, vytvárania sietí chodníkov</w:t>
      </w:r>
      <w:r w:rsidR="00AB26B3" w:rsidRPr="00AB26B3">
        <w:rPr>
          <w:noProof/>
          <w:spacing w:val="-6"/>
          <w:lang w:val="sk-SK"/>
        </w:rPr>
        <w:t xml:space="preserve"> a </w:t>
      </w:r>
      <w:r w:rsidRPr="00AB26B3">
        <w:rPr>
          <w:noProof/>
          <w:spacing w:val="-6"/>
          <w:lang w:val="sk-SK"/>
        </w:rPr>
        <w:t>obnovy múzeí</w:t>
      </w:r>
      <w:r w:rsidR="00AB26B3" w:rsidRPr="00AB26B3">
        <w:rPr>
          <w:noProof/>
          <w:spacing w:val="-6"/>
          <w:lang w:val="sk-SK"/>
        </w:rPr>
        <w:t>.</w:t>
      </w:r>
    </w:p>
    <w:p w14:paraId="76BD38A1" w14:textId="1A72021B" w:rsidR="00302FC1" w:rsidRPr="00AB26B3" w:rsidRDefault="00D64F26">
      <w:pPr>
        <w:pStyle w:val="P68B1DB1-Normal7"/>
        <w:spacing w:before="120" w:after="120" w:line="240" w:lineRule="auto"/>
        <w:jc w:val="both"/>
        <w:rPr>
          <w:noProof/>
          <w:spacing w:val="-6"/>
          <w:lang w:val="sk-SK"/>
        </w:rPr>
      </w:pPr>
      <w:r w:rsidRPr="00AB26B3">
        <w:rPr>
          <w:b/>
          <w:noProof/>
          <w:spacing w:val="-6"/>
          <w:lang w:val="sk-SK"/>
        </w:rPr>
        <w:t>Investície</w:t>
      </w:r>
      <w:r w:rsidRPr="00AB26B3">
        <w:rPr>
          <w:noProof/>
          <w:spacing w:val="-6"/>
          <w:lang w:val="sk-SK"/>
        </w:rPr>
        <w:t>: Riadenie</w:t>
      </w:r>
      <w:r w:rsidR="00AB26B3" w:rsidRPr="00AB26B3">
        <w:rPr>
          <w:noProof/>
          <w:spacing w:val="-6"/>
          <w:lang w:val="sk-SK"/>
        </w:rPr>
        <w:t xml:space="preserve"> a </w:t>
      </w:r>
      <w:r w:rsidRPr="00AB26B3">
        <w:rPr>
          <w:noProof/>
          <w:spacing w:val="-6"/>
          <w:lang w:val="sk-SK"/>
        </w:rPr>
        <w:t>monitorovanie civilnej ochrany (identifikačné číslo opatrenia: 16910)</w:t>
      </w:r>
    </w:p>
    <w:p w14:paraId="2E21FD80" w14:textId="54ECDE2C"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zlepšiť systém riadenia</w:t>
      </w:r>
      <w:r w:rsidR="00AB26B3" w:rsidRPr="00AB26B3">
        <w:rPr>
          <w:noProof/>
          <w:spacing w:val="-6"/>
          <w:lang w:val="sk-SK"/>
        </w:rPr>
        <w:t xml:space="preserve"> a </w:t>
      </w:r>
      <w:r w:rsidRPr="00AB26B3">
        <w:rPr>
          <w:noProof/>
          <w:spacing w:val="-6"/>
          <w:lang w:val="sk-SK"/>
        </w:rPr>
        <w:t>monitorovania civilnej ochrany. Opatrenie pozostáva</w:t>
      </w:r>
      <w:r w:rsidR="00AB26B3" w:rsidRPr="00AB26B3">
        <w:rPr>
          <w:noProof/>
          <w:spacing w:val="-6"/>
          <w:lang w:val="sk-SK"/>
        </w:rPr>
        <w:t xml:space="preserve"> z </w:t>
      </w:r>
      <w:r w:rsidRPr="00AB26B3">
        <w:rPr>
          <w:noProof/>
          <w:spacing w:val="-6"/>
          <w:lang w:val="sk-SK"/>
        </w:rPr>
        <w:t>dodania</w:t>
      </w:r>
      <w:r w:rsidR="00AB26B3" w:rsidRPr="00AB26B3">
        <w:rPr>
          <w:noProof/>
          <w:spacing w:val="-6"/>
          <w:lang w:val="sk-SK"/>
        </w:rPr>
        <w:t xml:space="preserve"> a </w:t>
      </w:r>
      <w:r w:rsidRPr="00AB26B3">
        <w:rPr>
          <w:noProof/>
          <w:spacing w:val="-6"/>
          <w:lang w:val="sk-SK"/>
        </w:rPr>
        <w:t>inštalácie vybavenia</w:t>
      </w:r>
      <w:r w:rsidR="00AB26B3" w:rsidRPr="00AB26B3">
        <w:rPr>
          <w:noProof/>
          <w:spacing w:val="-6"/>
          <w:lang w:val="sk-SK"/>
        </w:rPr>
        <w:t xml:space="preserve"> a </w:t>
      </w:r>
      <w:r w:rsidRPr="00AB26B3">
        <w:rPr>
          <w:noProof/>
          <w:spacing w:val="-6"/>
          <w:lang w:val="sk-SK"/>
        </w:rPr>
        <w:t>stavebných</w:t>
      </w:r>
      <w:r w:rsidR="00AB26B3" w:rsidRPr="00AB26B3">
        <w:rPr>
          <w:noProof/>
          <w:spacing w:val="-6"/>
          <w:lang w:val="sk-SK"/>
        </w:rPr>
        <w:t xml:space="preserve"> a </w:t>
      </w:r>
      <w:r w:rsidRPr="00AB26B3">
        <w:rPr>
          <w:noProof/>
          <w:spacing w:val="-6"/>
          <w:lang w:val="sk-SK"/>
        </w:rPr>
        <w:t>renovačných prác vo vopred vymedzených budovách.</w:t>
      </w:r>
    </w:p>
    <w:p w14:paraId="6906D816" w14:textId="77777777" w:rsidR="00302FC1" w:rsidRPr="00AB26B3" w:rsidRDefault="00D64F26">
      <w:pPr>
        <w:pStyle w:val="P68B1DB1-Normal7"/>
        <w:spacing w:before="120" w:after="120" w:line="240" w:lineRule="auto"/>
        <w:jc w:val="both"/>
        <w:rPr>
          <w:noProof/>
          <w:spacing w:val="-6"/>
          <w:lang w:val="sk-SK"/>
        </w:rPr>
      </w:pPr>
      <w:r w:rsidRPr="00AB26B3">
        <w:rPr>
          <w:b/>
          <w:noProof/>
          <w:spacing w:val="-6"/>
          <w:lang w:val="sk-SK"/>
        </w:rPr>
        <w:t>Investície:</w:t>
      </w:r>
      <w:r w:rsidRPr="00AB26B3">
        <w:rPr>
          <w:noProof/>
          <w:spacing w:val="-6"/>
          <w:lang w:val="sk-SK"/>
        </w:rPr>
        <w:t xml:space="preserve"> Zavedenie regionálnych centier civilnej ochrany (PEKEPP) prostredníctvom systémov verejno-súkromných partnerstiev (identifikačné číslo opatrenia: 16283)</w:t>
      </w:r>
    </w:p>
    <w:p w14:paraId="469CB3DC" w14:textId="60F464B6"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Výstavba 13 regionálnych centier civilnej ochrany prostredníctvom verejno-súkromných partnerstiev. Cieľom investície je zabezpečiť včasné</w:t>
      </w:r>
      <w:r w:rsidR="00AB26B3" w:rsidRPr="00AB26B3">
        <w:rPr>
          <w:noProof/>
          <w:spacing w:val="-6"/>
          <w:lang w:val="sk-SK"/>
        </w:rPr>
        <w:t xml:space="preserve"> a </w:t>
      </w:r>
      <w:r w:rsidRPr="00AB26B3">
        <w:rPr>
          <w:noProof/>
          <w:spacing w:val="-6"/>
          <w:lang w:val="sk-SK"/>
        </w:rPr>
        <w:t>účinné riadenie rizík</w:t>
      </w:r>
      <w:r w:rsidR="00AB26B3" w:rsidRPr="00AB26B3">
        <w:rPr>
          <w:noProof/>
          <w:spacing w:val="-6"/>
          <w:lang w:val="sk-SK"/>
        </w:rPr>
        <w:t xml:space="preserve"> a </w:t>
      </w:r>
      <w:r w:rsidRPr="00AB26B3">
        <w:rPr>
          <w:noProof/>
          <w:spacing w:val="-6"/>
          <w:lang w:val="sk-SK"/>
        </w:rPr>
        <w:t>kríz na regionálnej úrovni. Novopostavené budovy musia spĺňať požiadavku na primárnu energiu, ktorá je aspoň</w:t>
      </w:r>
      <w:r w:rsidR="00AB26B3" w:rsidRPr="00AB26B3">
        <w:rPr>
          <w:noProof/>
          <w:spacing w:val="-6"/>
          <w:lang w:val="sk-SK"/>
        </w:rPr>
        <w:t xml:space="preserve"> o </w:t>
      </w:r>
      <w:r w:rsidRPr="00AB26B3">
        <w:rPr>
          <w:noProof/>
          <w:spacing w:val="-6"/>
          <w:lang w:val="sk-SK"/>
        </w:rPr>
        <w:t>20</w:t>
      </w:r>
      <w:r w:rsidR="00AB26B3" w:rsidRPr="00AB26B3">
        <w:rPr>
          <w:noProof/>
          <w:spacing w:val="-6"/>
          <w:lang w:val="sk-SK"/>
        </w:rPr>
        <w:t> %</w:t>
      </w:r>
      <w:r w:rsidRPr="00AB26B3">
        <w:rPr>
          <w:noProof/>
          <w:spacing w:val="-6"/>
          <w:lang w:val="sk-SK"/>
        </w:rPr>
        <w:t xml:space="preserve"> nižšia ako požiadavka na budovy</w:t>
      </w:r>
      <w:r w:rsidR="00AB26B3" w:rsidRPr="00AB26B3">
        <w:rPr>
          <w:noProof/>
          <w:spacing w:val="-6"/>
          <w:lang w:val="sk-SK"/>
        </w:rPr>
        <w:t xml:space="preserve"> s </w:t>
      </w:r>
      <w:r w:rsidRPr="00AB26B3">
        <w:rPr>
          <w:noProof/>
          <w:spacing w:val="-6"/>
          <w:lang w:val="sk-SK"/>
        </w:rPr>
        <w:t>takmer nulovou spotrebou energie (budova</w:t>
      </w:r>
      <w:r w:rsidR="00AB26B3" w:rsidRPr="00AB26B3">
        <w:rPr>
          <w:noProof/>
          <w:spacing w:val="-6"/>
          <w:lang w:val="sk-SK"/>
        </w:rPr>
        <w:t xml:space="preserve"> s </w:t>
      </w:r>
      <w:r w:rsidRPr="00AB26B3">
        <w:rPr>
          <w:noProof/>
          <w:spacing w:val="-6"/>
          <w:lang w:val="sk-SK"/>
        </w:rPr>
        <w:t>takmer nulovou spotrebou energie, vnútroštátne smernice). Očakáva sa, že toto opatrenie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opatrenia</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Significant Harm Technical Guidance (2021/C58/01). Konkrétne sa</w:t>
      </w:r>
      <w:r w:rsidR="00AB26B3" w:rsidRPr="00AB26B3">
        <w:rPr>
          <w:noProof/>
          <w:spacing w:val="-6"/>
          <w:lang w:val="sk-SK"/>
        </w:rPr>
        <w:t xml:space="preserve"> v </w:t>
      </w:r>
      <w:r w:rsidRPr="00AB26B3">
        <w:rPr>
          <w:noProof/>
          <w:spacing w:val="-6"/>
          <w:lang w:val="sk-SK"/>
        </w:rPr>
        <w:t>tomto opatrení vyžaduje, aby hospodárske subjekty vykonávajúce stavebné práce zabezpečili, že najmenej 70</w:t>
      </w:r>
      <w:r w:rsidR="00AB26B3" w:rsidRPr="00AB26B3">
        <w:rPr>
          <w:noProof/>
          <w:spacing w:val="-6"/>
          <w:lang w:val="sk-SK"/>
        </w:rPr>
        <w:t> %</w:t>
      </w:r>
      <w:r w:rsidRPr="00AB26B3">
        <w:rPr>
          <w:noProof/>
          <w:spacing w:val="-6"/>
          <w:lang w:val="sk-SK"/>
        </w:rPr>
        <w:t xml:space="preserve"> (hmotnosti) stavebného</w:t>
      </w:r>
      <w:r w:rsidR="00AB26B3" w:rsidRPr="00AB26B3">
        <w:rPr>
          <w:noProof/>
          <w:spacing w:val="-6"/>
          <w:lang w:val="sk-SK"/>
        </w:rPr>
        <w:t xml:space="preserve"> a </w:t>
      </w:r>
      <w:r w:rsidRPr="00AB26B3">
        <w:rPr>
          <w:noProof/>
          <w:spacing w:val="-6"/>
          <w:lang w:val="sk-SK"/>
        </w:rPr>
        <w:t>demolačného odpadu, ktorý nie je nebezpečný [okrem prirodzene sa vyskytujúceho materiálu uvedeného</w:t>
      </w:r>
      <w:r w:rsidR="00AB26B3" w:rsidRPr="00AB26B3">
        <w:rPr>
          <w:noProof/>
          <w:spacing w:val="-6"/>
          <w:lang w:val="sk-SK"/>
        </w:rPr>
        <w:t xml:space="preserve"> v </w:t>
      </w:r>
      <w:r w:rsidRPr="00AB26B3">
        <w:rPr>
          <w:noProof/>
          <w:spacing w:val="-6"/>
          <w:lang w:val="sk-SK"/>
        </w:rPr>
        <w:t>kategórii 17 05 04</w:t>
      </w:r>
      <w:r w:rsidR="00AB26B3" w:rsidRPr="00AB26B3">
        <w:rPr>
          <w:noProof/>
          <w:spacing w:val="-6"/>
          <w:lang w:val="sk-SK"/>
        </w:rPr>
        <w:t xml:space="preserve"> v </w:t>
      </w:r>
      <w:r w:rsidRPr="00AB26B3">
        <w:rPr>
          <w:noProof/>
          <w:spacing w:val="-6"/>
          <w:lang w:val="sk-SK"/>
        </w:rPr>
        <w:t>európskom zozname odpadov vytvorenom rozhodnutím 2000/532/ES</w:t>
      </w:r>
      <w:r w:rsidR="00AB26B3" w:rsidRPr="00AB26B3">
        <w:rPr>
          <w:noProof/>
          <w:spacing w:val="-6"/>
          <w:lang w:val="sk-SK"/>
        </w:rPr>
        <w:t xml:space="preserve"> z </w:t>
      </w:r>
      <w:r w:rsidRPr="00AB26B3">
        <w:rPr>
          <w:noProof/>
          <w:spacing w:val="-6"/>
          <w:lang w:val="sk-SK"/>
        </w:rPr>
        <w:t>3</w:t>
      </w:r>
      <w:r w:rsidR="00AB26B3" w:rsidRPr="00AB26B3">
        <w:rPr>
          <w:noProof/>
          <w:spacing w:val="-6"/>
          <w:lang w:val="sk-SK"/>
        </w:rPr>
        <w:t>. mája</w:t>
      </w:r>
      <w:r w:rsidRPr="00AB26B3">
        <w:rPr>
          <w:noProof/>
          <w:spacing w:val="-6"/>
          <w:lang w:val="sk-SK"/>
        </w:rPr>
        <w:t xml:space="preserve"> 2000, ktorým sa nahrádza rozhodnutie 94/3/ES, ktorým sa zavádza zoznam odpadov podľa článku 1 písm. a) smernice Rady 75/442/EHS</w:t>
      </w:r>
      <w:r w:rsidR="00AB26B3" w:rsidRPr="00AB26B3">
        <w:rPr>
          <w:noProof/>
          <w:spacing w:val="-6"/>
          <w:lang w:val="sk-SK"/>
        </w:rPr>
        <w:t xml:space="preserve"> o </w:t>
      </w:r>
      <w:r w:rsidRPr="00AB26B3">
        <w:rPr>
          <w:noProof/>
          <w:spacing w:val="-6"/>
          <w:lang w:val="sk-SK"/>
        </w:rPr>
        <w:t>odpade</w:t>
      </w:r>
      <w:r w:rsidR="00AB26B3" w:rsidRPr="00AB26B3">
        <w:rPr>
          <w:noProof/>
          <w:spacing w:val="-6"/>
          <w:lang w:val="sk-SK"/>
        </w:rPr>
        <w:t xml:space="preserve"> a </w:t>
      </w:r>
      <w:r w:rsidRPr="00AB26B3">
        <w:rPr>
          <w:noProof/>
          <w:spacing w:val="-6"/>
          <w:lang w:val="sk-SK"/>
        </w:rPr>
        <w:t>rozhodnutia Rady 94/904/ES, ktorým sa vydáva zoznam nebezpečných odpadov podľa článku 1 ods. 4 smernice Rady 91/689/EHS</w:t>
      </w:r>
      <w:r w:rsidR="00AB26B3" w:rsidRPr="00AB26B3">
        <w:rPr>
          <w:noProof/>
          <w:spacing w:val="-6"/>
          <w:lang w:val="sk-SK"/>
        </w:rPr>
        <w:t xml:space="preserve"> o </w:t>
      </w:r>
      <w:r w:rsidRPr="00AB26B3">
        <w:rPr>
          <w:noProof/>
          <w:spacing w:val="-6"/>
          <w:lang w:val="sk-SK"/>
        </w:rPr>
        <w:t>nebezpečných odpadoch [oznámeným pod číslom C(2000) 1147], vytvoreného na stavenisku sa pripraví na opätovné použitie, recykláciu</w:t>
      </w:r>
      <w:r w:rsidR="00AB26B3" w:rsidRPr="00AB26B3">
        <w:rPr>
          <w:noProof/>
          <w:spacing w:val="-6"/>
          <w:lang w:val="sk-SK"/>
        </w:rPr>
        <w:t xml:space="preserve"> a </w:t>
      </w:r>
      <w:r w:rsidRPr="00AB26B3">
        <w:rPr>
          <w:noProof/>
          <w:spacing w:val="-6"/>
          <w:lang w:val="sk-SK"/>
        </w:rPr>
        <w:t>iné materiálové zhodnocovanie vrátane spätného zasypávania</w:t>
      </w:r>
      <w:r w:rsidR="00AB26B3" w:rsidRPr="00AB26B3">
        <w:rPr>
          <w:noProof/>
          <w:spacing w:val="-6"/>
          <w:lang w:val="sk-SK"/>
        </w:rPr>
        <w:t xml:space="preserve"> s </w:t>
      </w:r>
      <w:r w:rsidRPr="00AB26B3">
        <w:rPr>
          <w:noProof/>
          <w:spacing w:val="-6"/>
          <w:lang w:val="sk-SK"/>
        </w:rPr>
        <w:t>použitím odpadu ako náhrady iných materiálov,</w:t>
      </w:r>
      <w:r w:rsidR="00AB26B3" w:rsidRPr="00AB26B3">
        <w:rPr>
          <w:noProof/>
          <w:spacing w:val="-6"/>
          <w:lang w:val="sk-SK"/>
        </w:rPr>
        <w:t xml:space="preserve"> a </w:t>
      </w:r>
      <w:r w:rsidRPr="00AB26B3">
        <w:rPr>
          <w:noProof/>
          <w:spacing w:val="-6"/>
          <w:lang w:val="sk-SK"/>
        </w:rPr>
        <w:t>to</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hierarchiou odpadového hospodárstva</w:t>
      </w:r>
      <w:r w:rsidR="00AB26B3" w:rsidRPr="00AB26B3">
        <w:rPr>
          <w:noProof/>
          <w:spacing w:val="-6"/>
          <w:lang w:val="sk-SK"/>
        </w:rPr>
        <w:t xml:space="preserve"> a </w:t>
      </w:r>
      <w:r w:rsidRPr="00AB26B3">
        <w:rPr>
          <w:noProof/>
          <w:spacing w:val="-6"/>
          <w:lang w:val="sk-SK"/>
        </w:rPr>
        <w:t>protokolom EÚ</w:t>
      </w:r>
      <w:r w:rsidR="00AB26B3" w:rsidRPr="00AB26B3">
        <w:rPr>
          <w:noProof/>
          <w:spacing w:val="-6"/>
          <w:lang w:val="sk-SK"/>
        </w:rPr>
        <w:t xml:space="preserve"> o </w:t>
      </w:r>
      <w:r w:rsidRPr="00AB26B3">
        <w:rPr>
          <w:noProof/>
          <w:spacing w:val="-6"/>
          <w:lang w:val="sk-SK"/>
        </w:rPr>
        <w:t>nakladaní so stavebným odpadom</w:t>
      </w:r>
      <w:r w:rsidR="00AB26B3" w:rsidRPr="00AB26B3">
        <w:rPr>
          <w:noProof/>
          <w:spacing w:val="-6"/>
          <w:lang w:val="sk-SK"/>
        </w:rPr>
        <w:t xml:space="preserve"> a </w:t>
      </w:r>
      <w:r w:rsidRPr="00AB26B3">
        <w:rPr>
          <w:noProof/>
          <w:spacing w:val="-6"/>
          <w:lang w:val="sk-SK"/>
        </w:rPr>
        <w:t>odpadom</w:t>
      </w:r>
      <w:r w:rsidR="00AB26B3" w:rsidRPr="00AB26B3">
        <w:rPr>
          <w:noProof/>
          <w:spacing w:val="-6"/>
          <w:lang w:val="sk-SK"/>
        </w:rPr>
        <w:t xml:space="preserve"> z </w:t>
      </w:r>
      <w:r w:rsidRPr="00AB26B3">
        <w:rPr>
          <w:noProof/>
          <w:spacing w:val="-6"/>
          <w:lang w:val="sk-SK"/>
        </w:rPr>
        <w:t>demolácie. Realizácia investície sa ukončí do 31</w:t>
      </w:r>
      <w:r w:rsidR="00AB26B3" w:rsidRPr="00AB26B3">
        <w:rPr>
          <w:noProof/>
          <w:spacing w:val="-6"/>
          <w:lang w:val="sk-SK"/>
        </w:rPr>
        <w:t>. decembra</w:t>
      </w:r>
      <w:r w:rsidRPr="00AB26B3">
        <w:rPr>
          <w:noProof/>
          <w:spacing w:val="-6"/>
          <w:lang w:val="sk-SK"/>
        </w:rPr>
        <w:t xml:space="preserve"> 2025.</w:t>
      </w:r>
    </w:p>
    <w:p w14:paraId="04ACE008" w14:textId="54E31D55"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Zákon</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w:t>
      </w:r>
      <w:r w:rsidR="00AB26B3" w:rsidRPr="00AB26B3">
        <w:rPr>
          <w:noProof/>
          <w:spacing w:val="-6"/>
          <w:lang w:val="sk-SK"/>
        </w:rPr>
        <w:t xml:space="preserve"> v </w:t>
      </w:r>
      <w:r w:rsidRPr="00AB26B3">
        <w:rPr>
          <w:noProof/>
          <w:spacing w:val="-6"/>
          <w:lang w:val="sk-SK"/>
        </w:rPr>
        <w:t>záujme udržateľného skládkovania</w:t>
      </w:r>
      <w:r w:rsidR="00AB26B3" w:rsidRPr="00AB26B3">
        <w:rPr>
          <w:noProof/>
          <w:spacing w:val="-6"/>
          <w:lang w:val="sk-SK"/>
        </w:rPr>
        <w:t xml:space="preserve"> a </w:t>
      </w:r>
      <w:r w:rsidRPr="00AB26B3">
        <w:rPr>
          <w:noProof/>
          <w:spacing w:val="-6"/>
          <w:lang w:val="sk-SK"/>
        </w:rPr>
        <w:t>recyklácie (opatrenie ID: 16772)</w:t>
      </w:r>
    </w:p>
    <w:p w14:paraId="3E2C619C" w14:textId="75CEF2B2" w:rsidR="00AB26B3" w:rsidRPr="00AB26B3" w:rsidRDefault="00D64F26">
      <w:pPr>
        <w:pStyle w:val="P68B1DB1-Normal7"/>
        <w:spacing w:before="120" w:after="0" w:line="240" w:lineRule="auto"/>
        <w:jc w:val="both"/>
        <w:rPr>
          <w:noProof/>
          <w:spacing w:val="-6"/>
          <w:lang w:val="sk-SK"/>
        </w:rPr>
      </w:pPr>
      <w:r w:rsidRPr="00AB26B3">
        <w:rPr>
          <w:noProof/>
          <w:spacing w:val="-6"/>
          <w:lang w:val="sk-SK"/>
        </w:rPr>
        <w:t>Cieľom tejto reformy je zvýšiť predchádzanie vzniku odpadu, jeho opätovné použitie</w:t>
      </w:r>
      <w:r w:rsidR="00AB26B3" w:rsidRPr="00AB26B3">
        <w:rPr>
          <w:noProof/>
          <w:spacing w:val="-6"/>
          <w:lang w:val="sk-SK"/>
        </w:rPr>
        <w:t xml:space="preserve"> a </w:t>
      </w:r>
      <w:r w:rsidRPr="00AB26B3">
        <w:rPr>
          <w:noProof/>
          <w:spacing w:val="-6"/>
          <w:lang w:val="sk-SK"/>
        </w:rPr>
        <w:t>recykláciu. Toto opatrenie pozostáva</w:t>
      </w:r>
      <w:r w:rsidR="00AB26B3" w:rsidRPr="00AB26B3">
        <w:rPr>
          <w:noProof/>
          <w:spacing w:val="-6"/>
          <w:lang w:val="sk-SK"/>
        </w:rPr>
        <w:t xml:space="preserve"> z </w:t>
      </w:r>
      <w:r w:rsidRPr="00AB26B3">
        <w:rPr>
          <w:noProof/>
          <w:spacing w:val="-6"/>
          <w:lang w:val="sk-SK"/>
        </w:rPr>
        <w:t>revízie existujúcich právnych predpisov</w:t>
      </w:r>
      <w:r w:rsidR="00AB26B3" w:rsidRPr="00AB26B3">
        <w:rPr>
          <w:noProof/>
          <w:spacing w:val="-6"/>
          <w:lang w:val="sk-SK"/>
        </w:rPr>
        <w:t xml:space="preserve"> o </w:t>
      </w:r>
      <w:r w:rsidRPr="00AB26B3">
        <w:rPr>
          <w:noProof/>
          <w:spacing w:val="-6"/>
          <w:lang w:val="sk-SK"/>
        </w:rPr>
        <w:t>odpadovom hospodárstve</w:t>
      </w:r>
      <w:r w:rsidR="00AB26B3" w:rsidRPr="00AB26B3">
        <w:rPr>
          <w:noProof/>
          <w:spacing w:val="-6"/>
          <w:lang w:val="sk-SK"/>
        </w:rPr>
        <w:t xml:space="preserve"> a </w:t>
      </w:r>
      <w:r w:rsidRPr="00AB26B3">
        <w:rPr>
          <w:noProof/>
          <w:spacing w:val="-6"/>
          <w:lang w:val="sk-SK"/>
        </w:rPr>
        <w:t>zo zriadenia</w:t>
      </w:r>
      <w:r w:rsidR="00AB26B3" w:rsidRPr="00AB26B3">
        <w:rPr>
          <w:noProof/>
          <w:spacing w:val="-6"/>
          <w:lang w:val="sk-SK"/>
        </w:rPr>
        <w:t xml:space="preserve"> a </w:t>
      </w:r>
      <w:r w:rsidRPr="00AB26B3">
        <w:rPr>
          <w:noProof/>
          <w:spacing w:val="-6"/>
          <w:lang w:val="sk-SK"/>
        </w:rPr>
        <w:t>fungovania regulačného orgánu pre odpadové hospodárstvo</w:t>
      </w:r>
      <w:r w:rsidR="00AB26B3" w:rsidRPr="00AB26B3">
        <w:rPr>
          <w:noProof/>
          <w:spacing w:val="-6"/>
          <w:lang w:val="sk-SK"/>
        </w:rPr>
        <w:t>.</w:t>
      </w:r>
    </w:p>
    <w:p w14:paraId="6EBDD45F" w14:textId="30C465BA"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Zriadenie nového regulačného orgánu pre vodu</w:t>
      </w:r>
      <w:r w:rsidR="00AB26B3" w:rsidRPr="00AB26B3">
        <w:rPr>
          <w:noProof/>
          <w:spacing w:val="-6"/>
          <w:lang w:val="sk-SK"/>
        </w:rPr>
        <w:t xml:space="preserve"> a </w:t>
      </w:r>
      <w:r w:rsidRPr="00AB26B3">
        <w:rPr>
          <w:noProof/>
          <w:spacing w:val="-6"/>
          <w:lang w:val="sk-SK"/>
        </w:rPr>
        <w:t>odpadové vody (identifikačné číslo opatrenia: 16979)</w:t>
      </w:r>
    </w:p>
    <w:p w14:paraId="0389333B" w14:textId="636363EF"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Reformou sa zriadi jeden orgán, Národný vodohospodársky regulačný orgán (NWRA), ktorý bude zodpovedný za vykonávanie politiky racionálneho hospodárenia</w:t>
      </w:r>
      <w:r w:rsidR="00AB26B3" w:rsidRPr="00AB26B3">
        <w:rPr>
          <w:noProof/>
          <w:spacing w:val="-6"/>
          <w:lang w:val="sk-SK"/>
        </w:rPr>
        <w:t xml:space="preserve"> s </w:t>
      </w:r>
      <w:r w:rsidRPr="00AB26B3">
        <w:rPr>
          <w:noProof/>
          <w:spacing w:val="-6"/>
          <w:lang w:val="sk-SK"/>
        </w:rPr>
        <w:t>vodnými zdrojmi, ktorú navrhlo ministerstvo životného prostredia</w:t>
      </w:r>
      <w:r w:rsidR="00AB26B3" w:rsidRPr="00AB26B3">
        <w:rPr>
          <w:noProof/>
          <w:spacing w:val="-6"/>
          <w:lang w:val="sk-SK"/>
        </w:rPr>
        <w:t xml:space="preserve"> a </w:t>
      </w:r>
      <w:r w:rsidRPr="00AB26B3">
        <w:rPr>
          <w:noProof/>
          <w:spacing w:val="-6"/>
          <w:lang w:val="sk-SK"/>
        </w:rPr>
        <w:t>energetiky. Nový orgán posilní inštitucionálny rámec</w:t>
      </w:r>
      <w:r w:rsidR="00AB26B3" w:rsidRPr="00AB26B3">
        <w:rPr>
          <w:noProof/>
          <w:spacing w:val="-6"/>
          <w:lang w:val="sk-SK"/>
        </w:rPr>
        <w:t xml:space="preserve"> a </w:t>
      </w:r>
      <w:r w:rsidRPr="00AB26B3">
        <w:rPr>
          <w:noProof/>
          <w:spacing w:val="-6"/>
          <w:lang w:val="sk-SK"/>
        </w:rPr>
        <w:t>bude dohliadať na toto odvetvie vrátane racionalizácie politiky sadzieb za vodu</w:t>
      </w:r>
      <w:r w:rsidR="00AB26B3" w:rsidRPr="00AB26B3">
        <w:rPr>
          <w:noProof/>
          <w:spacing w:val="-6"/>
          <w:lang w:val="sk-SK"/>
        </w:rPr>
        <w:t xml:space="preserve"> v </w:t>
      </w:r>
      <w:r w:rsidRPr="00AB26B3">
        <w:rPr>
          <w:noProof/>
          <w:spacing w:val="-6"/>
          <w:lang w:val="sk-SK"/>
        </w:rPr>
        <w:t>súlade so zásadou „znečisťovateľ platí“</w:t>
      </w:r>
      <w:r w:rsidR="00AB26B3" w:rsidRPr="00AB26B3">
        <w:rPr>
          <w:noProof/>
          <w:spacing w:val="-6"/>
          <w:lang w:val="sk-SK"/>
        </w:rPr>
        <w:t xml:space="preserve"> a </w:t>
      </w:r>
      <w:r w:rsidRPr="00AB26B3">
        <w:rPr>
          <w:noProof/>
          <w:spacing w:val="-6"/>
          <w:lang w:val="sk-SK"/>
        </w:rPr>
        <w:t>zabezpečenia udržateľnosti vodohospodárskych služieb</w:t>
      </w:r>
      <w:r w:rsidR="00AB26B3" w:rsidRPr="00AB26B3">
        <w:rPr>
          <w:noProof/>
          <w:spacing w:val="-6"/>
          <w:lang w:val="sk-SK"/>
        </w:rPr>
        <w:t xml:space="preserve"> v </w:t>
      </w:r>
      <w:r w:rsidRPr="00AB26B3">
        <w:rPr>
          <w:noProof/>
          <w:spacing w:val="-6"/>
          <w:lang w:val="sk-SK"/>
        </w:rPr>
        <w:t>Grécku. Implementácia reformy sa dokončí do 31</w:t>
      </w:r>
      <w:r w:rsidR="00AB26B3" w:rsidRPr="00AB26B3">
        <w:rPr>
          <w:noProof/>
          <w:spacing w:val="-6"/>
          <w:lang w:val="sk-SK"/>
        </w:rPr>
        <w:t>. decembra</w:t>
      </w:r>
      <w:r w:rsidRPr="00AB26B3">
        <w:rPr>
          <w:noProof/>
          <w:spacing w:val="-6"/>
          <w:lang w:val="sk-SK"/>
        </w:rPr>
        <w:t xml:space="preserve"> 2023.</w:t>
      </w:r>
    </w:p>
    <w:p w14:paraId="417F1582" w14:textId="541E5EF3" w:rsidR="00302FC1" w:rsidRPr="00AB26B3" w:rsidRDefault="00D64F26">
      <w:pPr>
        <w:pStyle w:val="P68B1DB1-Normal5"/>
        <w:spacing w:before="120" w:after="120" w:line="240" w:lineRule="auto"/>
        <w:jc w:val="both"/>
        <w:rPr>
          <w:rFonts w:cs="Times New Roman"/>
          <w:noProof/>
          <w:spacing w:val="-6"/>
          <w:szCs w:val="24"/>
          <w:lang w:val="sk-SK"/>
        </w:rPr>
      </w:pPr>
      <w:r w:rsidRPr="00AB26B3">
        <w:rPr>
          <w:b/>
          <w:noProof/>
          <w:spacing w:val="-6"/>
          <w:lang w:val="sk-SK"/>
        </w:rPr>
        <w:t>Investície:</w:t>
      </w:r>
      <w:r w:rsidRPr="00AB26B3">
        <w:rPr>
          <w:noProof/>
          <w:spacing w:val="-6"/>
          <w:lang w:val="sk-SK"/>
        </w:rPr>
        <w:t xml:space="preserve"> Predbežná kontrola seizmickej odolnosti budov (opatrenie ID: 16983)</w:t>
      </w:r>
    </w:p>
    <w:p w14:paraId="48836EFB" w14:textId="27EC5A0B"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Cieľom investície je posúdiť odolnosť rôznych kritických budov</w:t>
      </w:r>
      <w:r w:rsidR="00AB26B3" w:rsidRPr="00AB26B3">
        <w:rPr>
          <w:noProof/>
          <w:spacing w:val="-6"/>
          <w:lang w:val="sk-SK"/>
        </w:rPr>
        <w:t xml:space="preserve"> v </w:t>
      </w:r>
      <w:r w:rsidRPr="00AB26B3">
        <w:rPr>
          <w:noProof/>
          <w:spacing w:val="-6"/>
          <w:lang w:val="sk-SK"/>
        </w:rPr>
        <w:t>krajine voči zemetraseniu. Opatrenie pozostáva</w:t>
      </w:r>
      <w:r w:rsidR="00AB26B3" w:rsidRPr="00AB26B3">
        <w:rPr>
          <w:noProof/>
          <w:spacing w:val="-6"/>
          <w:lang w:val="sk-SK"/>
        </w:rPr>
        <w:t xml:space="preserve"> z </w:t>
      </w:r>
      <w:r w:rsidRPr="00AB26B3">
        <w:rPr>
          <w:noProof/>
          <w:spacing w:val="-6"/>
          <w:lang w:val="sk-SK"/>
        </w:rPr>
        <w:t>predbežných rýchlych vizuálnych inšpekcií (RVI)</w:t>
      </w:r>
      <w:r w:rsidR="00AB26B3" w:rsidRPr="00AB26B3">
        <w:rPr>
          <w:noProof/>
          <w:spacing w:val="-6"/>
          <w:lang w:val="sk-SK"/>
        </w:rPr>
        <w:t>.</w:t>
      </w:r>
    </w:p>
    <w:p w14:paraId="3100A6E3" w14:textId="47A9648E"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Rozvojový program pre miestnu samosprávu „Antonis Tritsis“ (identifikačné číslo opatrenia: 16404)</w:t>
      </w:r>
    </w:p>
    <w:p w14:paraId="0468A5DD" w14:textId="11EB6860"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podporiť rozvoj miest, odolnosť proti zmene klímy</w:t>
      </w:r>
      <w:r w:rsidR="00AB26B3" w:rsidRPr="00AB26B3">
        <w:rPr>
          <w:noProof/>
          <w:spacing w:val="-6"/>
          <w:lang w:val="sk-SK"/>
        </w:rPr>
        <w:t xml:space="preserve"> a </w:t>
      </w:r>
      <w:r w:rsidRPr="00AB26B3">
        <w:rPr>
          <w:noProof/>
          <w:spacing w:val="-6"/>
          <w:lang w:val="sk-SK"/>
        </w:rPr>
        <w:t>zelenú transformáciu gréckych obcí</w:t>
      </w:r>
      <w:r w:rsidR="00AB26B3" w:rsidRPr="00AB26B3">
        <w:rPr>
          <w:noProof/>
          <w:spacing w:val="-6"/>
          <w:lang w:val="sk-SK"/>
        </w:rPr>
        <w:t>.</w:t>
      </w:r>
    </w:p>
    <w:p w14:paraId="30FC90AB" w14:textId="54E80905" w:rsidR="00302FC1" w:rsidRPr="00AB26B3" w:rsidRDefault="00D64F26">
      <w:pPr>
        <w:pStyle w:val="P68B1DB1-Normal7"/>
        <w:spacing w:before="120" w:after="120" w:line="240" w:lineRule="auto"/>
        <w:jc w:val="both"/>
        <w:rPr>
          <w:noProof/>
          <w:spacing w:val="-6"/>
          <w:lang w:val="sk-SK"/>
        </w:rPr>
      </w:pPr>
      <w:r w:rsidRPr="00AB26B3">
        <w:rPr>
          <w:noProof/>
          <w:spacing w:val="-6"/>
          <w:lang w:val="sk-SK"/>
        </w:rPr>
        <w:t>Investícia pozostáva</w:t>
      </w:r>
      <w:r w:rsidR="00AB26B3" w:rsidRPr="00AB26B3">
        <w:rPr>
          <w:noProof/>
          <w:spacing w:val="-6"/>
          <w:lang w:val="sk-SK"/>
        </w:rPr>
        <w:t xml:space="preserve"> z </w:t>
      </w:r>
      <w:r w:rsidRPr="00AB26B3">
        <w:rPr>
          <w:noProof/>
          <w:spacing w:val="-6"/>
          <w:lang w:val="sk-SK"/>
        </w:rPr>
        <w:t>intervencií vo verejnom priestore</w:t>
      </w:r>
      <w:r w:rsidR="00AB26B3" w:rsidRPr="00AB26B3">
        <w:rPr>
          <w:noProof/>
          <w:spacing w:val="-6"/>
          <w:lang w:val="sk-SK"/>
        </w:rPr>
        <w:t xml:space="preserve"> v </w:t>
      </w:r>
      <w:r w:rsidRPr="00AB26B3">
        <w:rPr>
          <w:noProof/>
          <w:spacing w:val="-6"/>
          <w:lang w:val="sk-SK"/>
        </w:rPr>
        <w:t>mestských oblastiach, prác na zmiernení povodní, nákupu elektrických vozidiel</w:t>
      </w:r>
      <w:r w:rsidR="00AB26B3" w:rsidRPr="00AB26B3">
        <w:rPr>
          <w:noProof/>
          <w:spacing w:val="-6"/>
          <w:lang w:val="sk-SK"/>
        </w:rPr>
        <w:t xml:space="preserve"> a </w:t>
      </w:r>
      <w:r w:rsidRPr="00AB26B3">
        <w:rPr>
          <w:noProof/>
          <w:spacing w:val="-6"/>
          <w:lang w:val="sk-SK"/>
        </w:rPr>
        <w:t>inštalácie nabíjacej infraštruktúry</w:t>
      </w:r>
      <w:r w:rsidR="00AB26B3" w:rsidRPr="00AB26B3">
        <w:rPr>
          <w:noProof/>
          <w:spacing w:val="-6"/>
          <w:lang w:val="sk-SK"/>
        </w:rPr>
        <w:t xml:space="preserve"> a </w:t>
      </w:r>
      <w:r w:rsidRPr="00AB26B3">
        <w:rPr>
          <w:noProof/>
          <w:spacing w:val="-6"/>
          <w:lang w:val="sk-SK"/>
        </w:rPr>
        <w:t>investícií do infraštruktúry pre pitnú vodu</w:t>
      </w:r>
      <w:r w:rsidR="00AB26B3" w:rsidRPr="00AB26B3">
        <w:rPr>
          <w:noProof/>
          <w:spacing w:val="-6"/>
          <w:lang w:val="sk-SK"/>
        </w:rPr>
        <w:t xml:space="preserve"> a </w:t>
      </w:r>
      <w:r w:rsidRPr="00AB26B3">
        <w:rPr>
          <w:noProof/>
          <w:spacing w:val="-6"/>
          <w:lang w:val="sk-SK"/>
        </w:rPr>
        <w:t>odpadovú vodu</w:t>
      </w:r>
      <w:r w:rsidR="00AB26B3" w:rsidRPr="00AB26B3">
        <w:rPr>
          <w:noProof/>
          <w:spacing w:val="-6"/>
          <w:lang w:val="sk-SK"/>
        </w:rPr>
        <w:t xml:space="preserve"> v </w:t>
      </w:r>
      <w:r w:rsidRPr="00AB26B3">
        <w:rPr>
          <w:noProof/>
          <w:spacing w:val="-6"/>
          <w:lang w:val="sk-SK"/>
        </w:rPr>
        <w:t>mestách.</w:t>
      </w:r>
    </w:p>
    <w:p w14:paraId="39B13139" w14:textId="149DA599" w:rsidR="00302FC1" w:rsidRPr="00AB26B3" w:rsidRDefault="00302FC1">
      <w:pPr>
        <w:spacing w:before="120" w:after="120" w:line="240" w:lineRule="auto"/>
        <w:jc w:val="both"/>
        <w:rPr>
          <w:rFonts w:ascii="Times New Roman" w:hAnsi="Times New Roman"/>
          <w:noProof/>
          <w:spacing w:val="-6"/>
          <w:sz w:val="24"/>
          <w:szCs w:val="24"/>
          <w:lang w:val="sk-SK"/>
        </w:rPr>
        <w:sectPr w:rsidR="00302FC1" w:rsidRPr="00AB26B3" w:rsidSect="00315FC0">
          <w:headerReference w:type="even" r:id="rId84"/>
          <w:headerReference w:type="default" r:id="rId85"/>
          <w:footerReference w:type="even" r:id="rId86"/>
          <w:footerReference w:type="default" r:id="rId87"/>
          <w:headerReference w:type="first" r:id="rId88"/>
          <w:footerReference w:type="first" r:id="rId89"/>
          <w:pgSz w:w="11906" w:h="16838"/>
          <w:pgMar w:top="1417" w:right="1417" w:bottom="1417" w:left="1417" w:header="708" w:footer="708" w:gutter="0"/>
          <w:cols w:space="708"/>
          <w:docGrid w:linePitch="360"/>
        </w:sectPr>
      </w:pPr>
    </w:p>
    <w:p w14:paraId="5523A7BC" w14:textId="5E0232EE" w:rsidR="00302FC1" w:rsidRPr="00AB26B3" w:rsidRDefault="00D64F26">
      <w:pPr>
        <w:pStyle w:val="P68B1DB1-Normal6"/>
        <w:keepNext/>
        <w:keepLines/>
        <w:spacing w:before="40" w:after="0" w:line="240" w:lineRule="auto"/>
        <w:jc w:val="both"/>
        <w:outlineLvl w:val="4"/>
        <w:rPr>
          <w:noProof/>
          <w:spacing w:val="-6"/>
          <w:lang w:val="sk-SK"/>
        </w:rPr>
      </w:pPr>
      <w:r w:rsidRPr="00AB26B3">
        <w:rPr>
          <w:noProof/>
          <w:spacing w:val="-6"/>
          <w:lang w:val="sk-SK"/>
        </w:rPr>
        <w:t>D.2.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5A358278" w14:textId="6C18EFF6"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Kľúčová reforma 4: Odpadové hospodárstvo</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reforma vodného hospodárstva</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záujme udržateľného využívania zdrojov</w:t>
      </w:r>
    </w:p>
    <w:tbl>
      <w:tblPr>
        <w:tblpPr w:leftFromText="180" w:rightFromText="180" w:vertAnchor="text" w:tblpXSpec="center" w:tblpY="1"/>
        <w:tblOverlap w:val="never"/>
        <w:tblW w:w="15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53"/>
        <w:gridCol w:w="1162"/>
        <w:gridCol w:w="1190"/>
        <w:gridCol w:w="1468"/>
        <w:gridCol w:w="1031"/>
        <w:gridCol w:w="857"/>
        <w:gridCol w:w="844"/>
        <w:gridCol w:w="851"/>
        <w:gridCol w:w="709"/>
        <w:gridCol w:w="5019"/>
      </w:tblGrid>
      <w:tr w:rsidR="00302FC1" w:rsidRPr="00AB26B3" w14:paraId="1990539E" w14:textId="77777777">
        <w:trPr>
          <w:trHeight w:val="927"/>
          <w:tblHeader/>
        </w:trPr>
        <w:tc>
          <w:tcPr>
            <w:tcW w:w="675" w:type="dxa"/>
            <w:vMerge w:val="restart"/>
            <w:shd w:val="clear" w:color="auto" w:fill="BDD7EE"/>
            <w:vAlign w:val="center"/>
            <w:hideMark/>
          </w:tcPr>
          <w:p w14:paraId="51DB0B89" w14:textId="2227EA60"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w:t>
            </w:r>
            <w:r w:rsidRPr="00AB26B3">
              <w:rPr>
                <w:noProof/>
                <w:spacing w:val="-6"/>
                <w:lang w:val="sk-SK"/>
              </w:rPr>
              <w:br/>
              <w:t>Nie.</w:t>
            </w:r>
          </w:p>
        </w:tc>
        <w:tc>
          <w:tcPr>
            <w:tcW w:w="1953" w:type="dxa"/>
            <w:vMerge w:val="restart"/>
            <w:shd w:val="clear" w:color="auto" w:fill="BDD7EE"/>
            <w:vAlign w:val="center"/>
            <w:hideMark/>
          </w:tcPr>
          <w:p w14:paraId="5B566DB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62" w:type="dxa"/>
            <w:vMerge w:val="restart"/>
            <w:shd w:val="clear" w:color="auto" w:fill="BDD7EE"/>
            <w:vAlign w:val="center"/>
            <w:hideMark/>
          </w:tcPr>
          <w:p w14:paraId="1DBC1BB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190" w:type="dxa"/>
            <w:vMerge w:val="restart"/>
            <w:shd w:val="clear" w:color="auto" w:fill="BDD7EE"/>
            <w:vAlign w:val="center"/>
            <w:hideMark/>
          </w:tcPr>
          <w:p w14:paraId="547FF63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468" w:type="dxa"/>
            <w:vMerge w:val="restart"/>
            <w:shd w:val="clear" w:color="auto" w:fill="BDD7EE"/>
            <w:vAlign w:val="center"/>
            <w:hideMark/>
          </w:tcPr>
          <w:p w14:paraId="4C15D221" w14:textId="36AAA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732" w:type="dxa"/>
            <w:gridSpan w:val="3"/>
            <w:shd w:val="clear" w:color="auto" w:fill="BDD7EE"/>
            <w:vAlign w:val="center"/>
            <w:hideMark/>
          </w:tcPr>
          <w:p w14:paraId="7C2B2BA1" w14:textId="74367348"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560" w:type="dxa"/>
            <w:gridSpan w:val="2"/>
            <w:shd w:val="clear" w:color="auto" w:fill="BDD7EE"/>
            <w:vAlign w:val="center"/>
            <w:hideMark/>
          </w:tcPr>
          <w:p w14:paraId="1F35B20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5019" w:type="dxa"/>
            <w:vMerge w:val="restart"/>
            <w:shd w:val="clear" w:color="auto" w:fill="BDD7EE"/>
            <w:vAlign w:val="center"/>
            <w:hideMark/>
          </w:tcPr>
          <w:p w14:paraId="69FC9295" w14:textId="79BBDDE3"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18432083" w14:textId="77777777">
        <w:trPr>
          <w:trHeight w:val="479"/>
          <w:tblHeader/>
        </w:trPr>
        <w:tc>
          <w:tcPr>
            <w:tcW w:w="675" w:type="dxa"/>
            <w:vMerge/>
            <w:vAlign w:val="center"/>
            <w:hideMark/>
          </w:tcPr>
          <w:p w14:paraId="50E4A70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53" w:type="dxa"/>
            <w:vMerge/>
            <w:vAlign w:val="center"/>
            <w:hideMark/>
          </w:tcPr>
          <w:p w14:paraId="6EE9383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62" w:type="dxa"/>
            <w:vMerge/>
            <w:vAlign w:val="center"/>
            <w:hideMark/>
          </w:tcPr>
          <w:p w14:paraId="041FAE4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90" w:type="dxa"/>
            <w:vMerge/>
            <w:vAlign w:val="center"/>
            <w:hideMark/>
          </w:tcPr>
          <w:p w14:paraId="4E6D376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68" w:type="dxa"/>
            <w:vMerge/>
            <w:vAlign w:val="center"/>
            <w:hideMark/>
          </w:tcPr>
          <w:p w14:paraId="4EF335F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31" w:type="dxa"/>
            <w:shd w:val="clear" w:color="auto" w:fill="BDD7EE"/>
            <w:vAlign w:val="center"/>
            <w:hideMark/>
          </w:tcPr>
          <w:p w14:paraId="6369625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shd w:val="clear" w:color="auto" w:fill="BDD7EE"/>
            <w:vAlign w:val="center"/>
            <w:hideMark/>
          </w:tcPr>
          <w:p w14:paraId="5CEEDD9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844" w:type="dxa"/>
            <w:shd w:val="clear" w:color="auto" w:fill="BDD7EE"/>
            <w:vAlign w:val="center"/>
            <w:hideMark/>
          </w:tcPr>
          <w:p w14:paraId="52B74A2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51" w:type="dxa"/>
            <w:shd w:val="clear" w:color="auto" w:fill="BDD7EE"/>
            <w:vAlign w:val="center"/>
            <w:hideMark/>
          </w:tcPr>
          <w:p w14:paraId="5CA4E71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3D42B2F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5019" w:type="dxa"/>
            <w:vMerge/>
            <w:vAlign w:val="center"/>
            <w:hideMark/>
          </w:tcPr>
          <w:p w14:paraId="42D8F53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188D0F35" w14:textId="77777777">
        <w:trPr>
          <w:trHeight w:val="309"/>
        </w:trPr>
        <w:tc>
          <w:tcPr>
            <w:tcW w:w="675" w:type="dxa"/>
            <w:shd w:val="clear" w:color="auto" w:fill="C6EFCE"/>
            <w:noWrap/>
          </w:tcPr>
          <w:p w14:paraId="6242EE8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56</w:t>
            </w:r>
          </w:p>
        </w:tc>
        <w:tc>
          <w:tcPr>
            <w:tcW w:w="1953" w:type="dxa"/>
            <w:shd w:val="clear" w:color="auto" w:fill="C6EFCE"/>
            <w:noWrap/>
          </w:tcPr>
          <w:p w14:paraId="3CC64A19" w14:textId="1E6A873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16772_Právny predpis</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 na vykonávanie udržateľného skládkovania</w:t>
            </w:r>
            <w:r w:rsidR="00AB26B3" w:rsidRPr="00AB26B3">
              <w:rPr>
                <w:noProof/>
                <w:spacing w:val="-6"/>
                <w:lang w:val="sk-SK"/>
              </w:rPr>
              <w:t xml:space="preserve"> a </w:t>
            </w:r>
            <w:r w:rsidRPr="00AB26B3">
              <w:rPr>
                <w:noProof/>
                <w:spacing w:val="-6"/>
                <w:lang w:val="sk-SK"/>
              </w:rPr>
              <w:t>recyklácie</w:t>
            </w:r>
          </w:p>
        </w:tc>
        <w:tc>
          <w:tcPr>
            <w:tcW w:w="1162" w:type="dxa"/>
            <w:shd w:val="clear" w:color="auto" w:fill="C6EFCE"/>
            <w:noWrap/>
          </w:tcPr>
          <w:p w14:paraId="1E1587B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90" w:type="dxa"/>
            <w:shd w:val="clear" w:color="auto" w:fill="C6EFCE"/>
            <w:noWrap/>
          </w:tcPr>
          <w:p w14:paraId="3B050B4B" w14:textId="686A587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w:t>
            </w:r>
          </w:p>
        </w:tc>
        <w:tc>
          <w:tcPr>
            <w:tcW w:w="1468" w:type="dxa"/>
            <w:shd w:val="clear" w:color="auto" w:fill="C6EFCE"/>
            <w:noWrap/>
          </w:tcPr>
          <w:p w14:paraId="4B8F07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p>
        </w:tc>
        <w:tc>
          <w:tcPr>
            <w:tcW w:w="1031" w:type="dxa"/>
            <w:shd w:val="clear" w:color="auto" w:fill="C6EFCE"/>
            <w:noWrap/>
          </w:tcPr>
          <w:p w14:paraId="491E94E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3542797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523AC27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334423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9" w:type="dxa"/>
            <w:shd w:val="clear" w:color="auto" w:fill="C6EFCE"/>
            <w:noWrap/>
          </w:tcPr>
          <w:p w14:paraId="581A989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5019" w:type="dxa"/>
            <w:shd w:val="clear" w:color="auto" w:fill="C6EFCE"/>
            <w:noWrap/>
          </w:tcPr>
          <w:p w14:paraId="0F5DB247" w14:textId="3E28DE7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recyklácii</w:t>
            </w:r>
            <w:r w:rsidR="00AB26B3" w:rsidRPr="00AB26B3">
              <w:rPr>
                <w:noProof/>
                <w:spacing w:val="-6"/>
                <w:lang w:val="sk-SK"/>
              </w:rPr>
              <w:t xml:space="preserve"> a </w:t>
            </w:r>
            <w:r w:rsidRPr="00AB26B3">
              <w:rPr>
                <w:noProof/>
                <w:spacing w:val="-6"/>
                <w:lang w:val="sk-SK"/>
              </w:rPr>
              <w:t>skládkovaní, ako aj zavedenie stimulov pre obce na dosiahnutie vysokej miery opätovného použitia</w:t>
            </w:r>
            <w:r w:rsidR="00AB26B3" w:rsidRPr="00AB26B3">
              <w:rPr>
                <w:noProof/>
                <w:spacing w:val="-6"/>
                <w:lang w:val="sk-SK"/>
              </w:rPr>
              <w:t xml:space="preserve"> a </w:t>
            </w:r>
            <w:r w:rsidRPr="00AB26B3">
              <w:rPr>
                <w:noProof/>
                <w:spacing w:val="-6"/>
                <w:lang w:val="sk-SK"/>
              </w:rPr>
              <w:t>recyklácie</w:t>
            </w:r>
            <w:r w:rsidR="00AB26B3" w:rsidRPr="00AB26B3">
              <w:rPr>
                <w:noProof/>
                <w:spacing w:val="-6"/>
                <w:lang w:val="sk-SK"/>
              </w:rPr>
              <w:t xml:space="preserve"> a </w:t>
            </w:r>
            <w:r w:rsidRPr="00AB26B3">
              <w:rPr>
                <w:noProof/>
                <w:spacing w:val="-6"/>
                <w:lang w:val="sk-SK"/>
              </w:rPr>
              <w:t>zavedenie dane zo skládkovania. Daň zo skládkovania sa uplatňuje od prvého štvrťroka 2022</w:t>
            </w:r>
            <w:r w:rsidR="00AB26B3" w:rsidRPr="00AB26B3">
              <w:rPr>
                <w:noProof/>
                <w:spacing w:val="-6"/>
                <w:lang w:val="sk-SK"/>
              </w:rPr>
              <w:t xml:space="preserve"> a </w:t>
            </w:r>
            <w:r w:rsidRPr="00AB26B3">
              <w:rPr>
                <w:noProof/>
                <w:spacing w:val="-6"/>
                <w:lang w:val="sk-SK"/>
              </w:rPr>
              <w:t>sadzby sa postupne zvyšujú, až kým nedosiahnu hornú hranicu dane zo skládkovania do tretieho štvrťroka 2024.</w:t>
            </w:r>
          </w:p>
        </w:tc>
      </w:tr>
      <w:tr w:rsidR="00302FC1" w:rsidRPr="00AB26B3" w14:paraId="15EA36D4" w14:textId="77777777">
        <w:trPr>
          <w:trHeight w:val="309"/>
        </w:trPr>
        <w:tc>
          <w:tcPr>
            <w:tcW w:w="675" w:type="dxa"/>
            <w:shd w:val="clear" w:color="auto" w:fill="C6EFCE"/>
            <w:noWrap/>
          </w:tcPr>
          <w:p w14:paraId="768D2DA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57</w:t>
            </w:r>
          </w:p>
        </w:tc>
        <w:tc>
          <w:tcPr>
            <w:tcW w:w="1953" w:type="dxa"/>
            <w:shd w:val="clear" w:color="auto" w:fill="C6EFCE"/>
            <w:noWrap/>
          </w:tcPr>
          <w:p w14:paraId="211E6CB7" w14:textId="30E8166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16772_Právny predpis</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 na vykonávanie udržateľného skládkovania</w:t>
            </w:r>
            <w:r w:rsidR="00AB26B3" w:rsidRPr="00AB26B3">
              <w:rPr>
                <w:noProof/>
                <w:spacing w:val="-6"/>
                <w:lang w:val="sk-SK"/>
              </w:rPr>
              <w:t xml:space="preserve"> a </w:t>
            </w:r>
            <w:r w:rsidRPr="00AB26B3">
              <w:rPr>
                <w:noProof/>
                <w:spacing w:val="-6"/>
                <w:lang w:val="sk-SK"/>
              </w:rPr>
              <w:t>recyklácie</w:t>
            </w:r>
          </w:p>
        </w:tc>
        <w:tc>
          <w:tcPr>
            <w:tcW w:w="1162" w:type="dxa"/>
            <w:shd w:val="clear" w:color="auto" w:fill="C6EFCE"/>
            <w:noWrap/>
          </w:tcPr>
          <w:p w14:paraId="273D6FB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90" w:type="dxa"/>
            <w:shd w:val="clear" w:color="auto" w:fill="C6EFCE"/>
            <w:noWrap/>
          </w:tcPr>
          <w:p w14:paraId="7AF47588" w14:textId="7A04B8E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regulačnom orgáne pre nakladanie</w:t>
            </w:r>
            <w:r w:rsidR="00AB26B3" w:rsidRPr="00AB26B3">
              <w:rPr>
                <w:noProof/>
                <w:spacing w:val="-6"/>
                <w:lang w:val="sk-SK"/>
              </w:rPr>
              <w:t xml:space="preserve"> s </w:t>
            </w:r>
            <w:r w:rsidRPr="00AB26B3">
              <w:rPr>
                <w:noProof/>
                <w:spacing w:val="-6"/>
                <w:lang w:val="sk-SK"/>
              </w:rPr>
              <w:t>odpadom</w:t>
            </w:r>
          </w:p>
        </w:tc>
        <w:tc>
          <w:tcPr>
            <w:tcW w:w="1468" w:type="dxa"/>
            <w:shd w:val="clear" w:color="auto" w:fill="C6EFCE"/>
            <w:noWrap/>
          </w:tcPr>
          <w:p w14:paraId="0F4DD46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právnych predpisov. </w:t>
            </w:r>
          </w:p>
        </w:tc>
        <w:tc>
          <w:tcPr>
            <w:tcW w:w="1031" w:type="dxa"/>
            <w:shd w:val="clear" w:color="auto" w:fill="C6EFCE"/>
            <w:noWrap/>
          </w:tcPr>
          <w:p w14:paraId="37D924F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06CEE0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0DF36C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4E838C2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9" w:type="dxa"/>
            <w:shd w:val="clear" w:color="auto" w:fill="C6EFCE"/>
            <w:noWrap/>
          </w:tcPr>
          <w:p w14:paraId="27A47E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5019" w:type="dxa"/>
            <w:shd w:val="clear" w:color="auto" w:fill="C6EFCE"/>
            <w:noWrap/>
          </w:tcPr>
          <w:p w14:paraId="6C988F0A" w14:textId="1BDA71FB" w:rsidR="00302FC1" w:rsidRPr="00AB26B3" w:rsidRDefault="00D64F26">
            <w:pPr>
              <w:pStyle w:val="P68B1DB1-Normal12"/>
              <w:spacing w:after="0" w:line="240" w:lineRule="auto"/>
              <w:jc w:val="both"/>
              <w:rPr>
                <w:rFonts w:eastAsia="Times New Roman"/>
                <w:noProof/>
                <w:spacing w:val="-6"/>
                <w:lang w:val="sk-SK"/>
              </w:rPr>
            </w:pPr>
            <w:r w:rsidRPr="00AB26B3">
              <w:rPr>
                <w:noProof/>
                <w:spacing w:val="-6"/>
                <w:lang w:val="sk-SK"/>
              </w:rPr>
              <w:t>Nadobudnutie účinnosti zákona</w:t>
            </w:r>
            <w:r w:rsidR="00AB26B3" w:rsidRPr="00AB26B3">
              <w:rPr>
                <w:noProof/>
                <w:spacing w:val="-6"/>
                <w:lang w:val="sk-SK"/>
              </w:rPr>
              <w:t xml:space="preserve"> s </w:t>
            </w:r>
            <w:r w:rsidRPr="00AB26B3">
              <w:rPr>
                <w:noProof/>
                <w:spacing w:val="-6"/>
                <w:lang w:val="sk-SK"/>
              </w:rPr>
              <w:t>cieľom:</w:t>
            </w:r>
          </w:p>
          <w:p w14:paraId="33B450F8" w14:textId="23759DCE" w:rsidR="00302FC1" w:rsidRPr="00AB26B3" w:rsidRDefault="00D64F26">
            <w:pPr>
              <w:pStyle w:val="P68B1DB1-Normal12"/>
              <w:numPr>
                <w:ilvl w:val="0"/>
                <w:numId w:val="15"/>
              </w:numPr>
              <w:spacing w:after="0" w:line="240" w:lineRule="auto"/>
              <w:jc w:val="both"/>
              <w:rPr>
                <w:rFonts w:eastAsia="Times New Roman"/>
                <w:noProof/>
                <w:spacing w:val="-6"/>
                <w:lang w:val="sk-SK"/>
              </w:rPr>
            </w:pPr>
            <w:r w:rsidRPr="00AB26B3">
              <w:rPr>
                <w:noProof/>
                <w:spacing w:val="-6"/>
                <w:lang w:val="sk-SK"/>
              </w:rPr>
              <w:t>zriadenie národného regulačného orgánu pre odpad, jeho fungovanie</w:t>
            </w:r>
            <w:r w:rsidR="00AB26B3" w:rsidRPr="00AB26B3">
              <w:rPr>
                <w:noProof/>
                <w:spacing w:val="-6"/>
                <w:lang w:val="sk-SK"/>
              </w:rPr>
              <w:t xml:space="preserve"> a </w:t>
            </w:r>
            <w:r w:rsidRPr="00AB26B3">
              <w:rPr>
                <w:noProof/>
                <w:spacing w:val="-6"/>
                <w:lang w:val="sk-SK"/>
              </w:rPr>
              <w:t>povinnosti;</w:t>
            </w:r>
          </w:p>
          <w:p w14:paraId="279307F2" w14:textId="4612C199" w:rsidR="00302FC1" w:rsidRPr="00AB26B3" w:rsidRDefault="00D64F26">
            <w:pPr>
              <w:pStyle w:val="P68B1DB1-Normal12"/>
              <w:numPr>
                <w:ilvl w:val="0"/>
                <w:numId w:val="15"/>
              </w:numPr>
              <w:spacing w:after="0" w:line="240" w:lineRule="auto"/>
              <w:jc w:val="both"/>
              <w:rPr>
                <w:rFonts w:eastAsia="Times New Roman"/>
                <w:noProof/>
                <w:spacing w:val="-6"/>
                <w:lang w:val="sk-SK"/>
              </w:rPr>
            </w:pPr>
            <w:r w:rsidRPr="00AB26B3">
              <w:rPr>
                <w:noProof/>
                <w:spacing w:val="-6"/>
                <w:lang w:val="sk-SK"/>
              </w:rPr>
              <w:t>Reforma regionálnych</w:t>
            </w:r>
            <w:r w:rsidR="00AB26B3" w:rsidRPr="00AB26B3">
              <w:rPr>
                <w:noProof/>
                <w:spacing w:val="-6"/>
                <w:lang w:val="sk-SK"/>
              </w:rPr>
              <w:t xml:space="preserve"> a </w:t>
            </w:r>
            <w:r w:rsidRPr="00AB26B3">
              <w:rPr>
                <w:noProof/>
                <w:spacing w:val="-6"/>
                <w:lang w:val="sk-SK"/>
              </w:rPr>
              <w:t>miestnych orgánov pre nakladanie</w:t>
            </w:r>
            <w:r w:rsidR="00AB26B3" w:rsidRPr="00AB26B3">
              <w:rPr>
                <w:noProof/>
                <w:spacing w:val="-6"/>
                <w:lang w:val="sk-SK"/>
              </w:rPr>
              <w:t xml:space="preserve"> s </w:t>
            </w:r>
            <w:r w:rsidRPr="00AB26B3">
              <w:rPr>
                <w:noProof/>
                <w:spacing w:val="-6"/>
                <w:lang w:val="sk-SK"/>
              </w:rPr>
              <w:t>odpadom (FOSDA); podielu a</w:t>
            </w:r>
          </w:p>
          <w:p w14:paraId="4EA49E30" w14:textId="629D55C3" w:rsidR="00302FC1" w:rsidRPr="00AB26B3" w:rsidRDefault="00D64F26">
            <w:pPr>
              <w:pStyle w:val="P68B1DB1-Normal24"/>
              <w:numPr>
                <w:ilvl w:val="0"/>
                <w:numId w:val="15"/>
              </w:numPr>
              <w:spacing w:after="0" w:line="240" w:lineRule="auto"/>
              <w:jc w:val="both"/>
              <w:rPr>
                <w:noProof/>
                <w:spacing w:val="-6"/>
                <w:lang w:val="sk-SK"/>
              </w:rPr>
            </w:pPr>
            <w:r w:rsidRPr="00AB26B3">
              <w:rPr>
                <w:noProof/>
                <w:spacing w:val="-6"/>
                <w:lang w:val="sk-SK"/>
              </w:rPr>
              <w:t>Zaviesť primerané politiky stanovovania nákladov</w:t>
            </w:r>
            <w:r w:rsidR="00AB26B3" w:rsidRPr="00AB26B3">
              <w:rPr>
                <w:noProof/>
                <w:spacing w:val="-6"/>
                <w:lang w:val="sk-SK"/>
              </w:rPr>
              <w:t xml:space="preserve"> a </w:t>
            </w:r>
            <w:r w:rsidRPr="00AB26B3">
              <w:rPr>
                <w:noProof/>
                <w:spacing w:val="-6"/>
                <w:lang w:val="sk-SK"/>
              </w:rPr>
              <w:t>cien</w:t>
            </w:r>
            <w:r w:rsidR="00AB26B3" w:rsidRPr="00AB26B3">
              <w:rPr>
                <w:noProof/>
                <w:spacing w:val="-6"/>
                <w:lang w:val="sk-SK"/>
              </w:rPr>
              <w:t xml:space="preserve"> v </w:t>
            </w:r>
            <w:r w:rsidRPr="00AB26B3">
              <w:rPr>
                <w:noProof/>
                <w:spacing w:val="-6"/>
                <w:lang w:val="sk-SK"/>
              </w:rPr>
              <w:t>súlade so zásadami „plať za to, čo vyhodíš“</w:t>
            </w:r>
            <w:r w:rsidR="00AB26B3" w:rsidRPr="00AB26B3">
              <w:rPr>
                <w:noProof/>
                <w:spacing w:val="-6"/>
                <w:lang w:val="sk-SK"/>
              </w:rPr>
              <w:t xml:space="preserve"> a </w:t>
            </w:r>
            <w:r w:rsidRPr="00AB26B3">
              <w:rPr>
                <w:noProof/>
                <w:spacing w:val="-6"/>
                <w:lang w:val="sk-SK"/>
              </w:rPr>
              <w:t>„znečisťovateľ platí“.</w:t>
            </w:r>
          </w:p>
          <w:p w14:paraId="1C557806" w14:textId="77777777" w:rsidR="00302FC1" w:rsidRPr="00AB26B3" w:rsidRDefault="00302FC1">
            <w:pPr>
              <w:spacing w:after="0" w:line="240" w:lineRule="auto"/>
              <w:ind w:left="720"/>
              <w:jc w:val="both"/>
              <w:rPr>
                <w:rFonts w:ascii="Times New Roman" w:hAnsi="Times New Roman" w:cs="Times New Roman"/>
                <w:noProof/>
                <w:color w:val="006100"/>
                <w:spacing w:val="-6"/>
                <w:sz w:val="18"/>
                <w:szCs w:val="18"/>
                <w:lang w:val="sk-SK"/>
              </w:rPr>
            </w:pPr>
          </w:p>
        </w:tc>
      </w:tr>
      <w:tr w:rsidR="00302FC1" w:rsidRPr="00AB26B3" w14:paraId="5DD93850" w14:textId="77777777">
        <w:trPr>
          <w:trHeight w:val="309"/>
        </w:trPr>
        <w:tc>
          <w:tcPr>
            <w:tcW w:w="675" w:type="dxa"/>
            <w:shd w:val="clear" w:color="auto" w:fill="C6EFCE"/>
            <w:noWrap/>
          </w:tcPr>
          <w:p w14:paraId="554622C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58</w:t>
            </w:r>
          </w:p>
        </w:tc>
        <w:tc>
          <w:tcPr>
            <w:tcW w:w="1953" w:type="dxa"/>
            <w:shd w:val="clear" w:color="auto" w:fill="C6EFCE"/>
            <w:noWrap/>
          </w:tcPr>
          <w:p w14:paraId="7EB11C3B" w14:textId="7B46C0B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16979_Zriadenie nového regulačného orgánu pre vodu</w:t>
            </w:r>
            <w:r w:rsidR="00AB26B3" w:rsidRPr="00AB26B3">
              <w:rPr>
                <w:noProof/>
                <w:spacing w:val="-6"/>
                <w:lang w:val="sk-SK"/>
              </w:rPr>
              <w:t xml:space="preserve"> a </w:t>
            </w:r>
            <w:r w:rsidRPr="00AB26B3">
              <w:rPr>
                <w:noProof/>
                <w:spacing w:val="-6"/>
                <w:lang w:val="sk-SK"/>
              </w:rPr>
              <w:t>odpadové vody</w:t>
            </w:r>
          </w:p>
        </w:tc>
        <w:tc>
          <w:tcPr>
            <w:tcW w:w="1162" w:type="dxa"/>
            <w:shd w:val="clear" w:color="auto" w:fill="C6EFCE"/>
            <w:noWrap/>
          </w:tcPr>
          <w:p w14:paraId="6B9511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90" w:type="dxa"/>
            <w:shd w:val="clear" w:color="auto" w:fill="C6EFCE"/>
            <w:noWrap/>
          </w:tcPr>
          <w:p w14:paraId="50DB7D64" w14:textId="73F0CA4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regulácii vodného hospodárstva</w:t>
            </w:r>
          </w:p>
        </w:tc>
        <w:tc>
          <w:tcPr>
            <w:tcW w:w="1468" w:type="dxa"/>
            <w:shd w:val="clear" w:color="auto" w:fill="C6EFCE"/>
            <w:noWrap/>
          </w:tcPr>
          <w:p w14:paraId="0F6636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právnych predpisov. </w:t>
            </w:r>
          </w:p>
        </w:tc>
        <w:tc>
          <w:tcPr>
            <w:tcW w:w="1031" w:type="dxa"/>
            <w:shd w:val="clear" w:color="auto" w:fill="C6EFCE"/>
            <w:noWrap/>
          </w:tcPr>
          <w:p w14:paraId="5F33761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54456DF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0698D6B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30718AC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0EE6213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5019" w:type="dxa"/>
            <w:shd w:val="clear" w:color="auto" w:fill="C6EFCE"/>
            <w:noWrap/>
          </w:tcPr>
          <w:p w14:paraId="2D95909A" w14:textId="2613DF3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zriadení</w:t>
            </w:r>
            <w:r w:rsidR="00AB26B3" w:rsidRPr="00AB26B3">
              <w:rPr>
                <w:noProof/>
                <w:spacing w:val="-6"/>
                <w:lang w:val="sk-SK"/>
              </w:rPr>
              <w:t xml:space="preserve"> a </w:t>
            </w:r>
            <w:r w:rsidRPr="00AB26B3">
              <w:rPr>
                <w:noProof/>
                <w:spacing w:val="-6"/>
                <w:lang w:val="sk-SK"/>
              </w:rPr>
              <w:t>prevádzke nového regulačného orgánu pre vodu</w:t>
            </w:r>
            <w:r w:rsidR="00AB26B3" w:rsidRPr="00AB26B3">
              <w:rPr>
                <w:noProof/>
                <w:spacing w:val="-6"/>
                <w:lang w:val="sk-SK"/>
              </w:rPr>
              <w:t xml:space="preserve"> a </w:t>
            </w:r>
            <w:r w:rsidRPr="00AB26B3">
              <w:rPr>
                <w:noProof/>
                <w:spacing w:val="-6"/>
                <w:lang w:val="sk-SK"/>
              </w:rPr>
              <w:t>odpadové vody.</w:t>
            </w:r>
          </w:p>
        </w:tc>
      </w:tr>
      <w:tr w:rsidR="00302FC1" w:rsidRPr="00AB26B3" w14:paraId="07927934" w14:textId="77777777">
        <w:trPr>
          <w:trHeight w:val="309"/>
        </w:trPr>
        <w:tc>
          <w:tcPr>
            <w:tcW w:w="675" w:type="dxa"/>
            <w:shd w:val="clear" w:color="auto" w:fill="C6EFCE"/>
            <w:noWrap/>
          </w:tcPr>
          <w:p w14:paraId="7152432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59</w:t>
            </w:r>
          </w:p>
        </w:tc>
        <w:tc>
          <w:tcPr>
            <w:tcW w:w="1953" w:type="dxa"/>
            <w:shd w:val="clear" w:color="auto" w:fill="C6EFCE"/>
            <w:noWrap/>
          </w:tcPr>
          <w:p w14:paraId="7BE642AB" w14:textId="19346F1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16772_Právny predpis</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 na vykonávanie udržateľného skládkovania</w:t>
            </w:r>
            <w:r w:rsidR="00AB26B3" w:rsidRPr="00AB26B3">
              <w:rPr>
                <w:noProof/>
                <w:spacing w:val="-6"/>
                <w:lang w:val="sk-SK"/>
              </w:rPr>
              <w:t xml:space="preserve"> a </w:t>
            </w:r>
            <w:r w:rsidRPr="00AB26B3">
              <w:rPr>
                <w:noProof/>
                <w:spacing w:val="-6"/>
                <w:lang w:val="sk-SK"/>
              </w:rPr>
              <w:t>recyklácie</w:t>
            </w:r>
          </w:p>
        </w:tc>
        <w:tc>
          <w:tcPr>
            <w:tcW w:w="1162" w:type="dxa"/>
            <w:shd w:val="clear" w:color="auto" w:fill="C6EFCE"/>
            <w:noWrap/>
          </w:tcPr>
          <w:p w14:paraId="4B9899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90" w:type="dxa"/>
            <w:shd w:val="clear" w:color="auto" w:fill="C6EFCE"/>
            <w:noWrap/>
          </w:tcPr>
          <w:p w14:paraId="384E34EF" w14:textId="39F9567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Zriadenie</w:t>
            </w:r>
            <w:r w:rsidR="00AB26B3" w:rsidRPr="00AB26B3">
              <w:rPr>
                <w:noProof/>
                <w:spacing w:val="-6"/>
                <w:lang w:val="sk-SK"/>
              </w:rPr>
              <w:t xml:space="preserve"> a </w:t>
            </w:r>
            <w:r w:rsidRPr="00AB26B3">
              <w:rPr>
                <w:noProof/>
                <w:spacing w:val="-6"/>
                <w:lang w:val="sk-SK"/>
              </w:rPr>
              <w:t>fungovanie regulačného orgánu pre nakladanie</w:t>
            </w:r>
            <w:r w:rsidR="00AB26B3" w:rsidRPr="00AB26B3">
              <w:rPr>
                <w:noProof/>
                <w:spacing w:val="-6"/>
                <w:lang w:val="sk-SK"/>
              </w:rPr>
              <w:t xml:space="preserve"> s </w:t>
            </w:r>
            <w:r w:rsidRPr="00AB26B3">
              <w:rPr>
                <w:noProof/>
                <w:spacing w:val="-6"/>
                <w:lang w:val="sk-SK"/>
              </w:rPr>
              <w:t>odpadom</w:t>
            </w:r>
          </w:p>
        </w:tc>
        <w:tc>
          <w:tcPr>
            <w:tcW w:w="1468" w:type="dxa"/>
            <w:shd w:val="clear" w:color="auto" w:fill="C6EFCE"/>
            <w:noWrap/>
          </w:tcPr>
          <w:p w14:paraId="2B518FCA" w14:textId="05A4082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spoločného ministerského rozhodnutia</w:t>
            </w:r>
            <w:r w:rsidR="00AB26B3" w:rsidRPr="00AB26B3">
              <w:rPr>
                <w:noProof/>
                <w:spacing w:val="-6"/>
                <w:lang w:val="sk-SK"/>
              </w:rPr>
              <w:t xml:space="preserve"> a </w:t>
            </w:r>
            <w:r w:rsidRPr="00AB26B3">
              <w:rPr>
                <w:noProof/>
                <w:spacing w:val="-6"/>
                <w:lang w:val="sk-SK"/>
              </w:rPr>
              <w:t>všetkých potrebných administratívnych</w:t>
            </w:r>
            <w:r w:rsidR="00AB26B3" w:rsidRPr="00AB26B3">
              <w:rPr>
                <w:noProof/>
                <w:spacing w:val="-6"/>
                <w:lang w:val="sk-SK"/>
              </w:rPr>
              <w:t xml:space="preserve"> a </w:t>
            </w:r>
            <w:r w:rsidRPr="00AB26B3">
              <w:rPr>
                <w:noProof/>
                <w:spacing w:val="-6"/>
                <w:lang w:val="sk-SK"/>
              </w:rPr>
              <w:t xml:space="preserve">legislatívnych opatrení na zriadenie úradu </w:t>
            </w:r>
          </w:p>
        </w:tc>
        <w:tc>
          <w:tcPr>
            <w:tcW w:w="1031" w:type="dxa"/>
            <w:shd w:val="clear" w:color="auto" w:fill="C6EFCE"/>
            <w:noWrap/>
          </w:tcPr>
          <w:p w14:paraId="7305FF7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482746B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25D087F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4BFCCC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3C2BCBF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5019" w:type="dxa"/>
            <w:shd w:val="clear" w:color="auto" w:fill="C6EFCE"/>
            <w:noWrap/>
          </w:tcPr>
          <w:p w14:paraId="773D5929" w14:textId="6073528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Nový národný regulačný orgán pre odpad má personálne obsadenie</w:t>
            </w:r>
            <w:r w:rsidR="00AB26B3" w:rsidRPr="00AB26B3">
              <w:rPr>
                <w:noProof/>
                <w:spacing w:val="-6"/>
                <w:lang w:val="sk-SK"/>
              </w:rPr>
              <w:t xml:space="preserve"> a </w:t>
            </w:r>
            <w:r w:rsidRPr="00AB26B3">
              <w:rPr>
                <w:noProof/>
                <w:spacing w:val="-6"/>
                <w:lang w:val="sk-SK"/>
              </w:rPr>
              <w:t>priestory.</w:t>
            </w:r>
          </w:p>
        </w:tc>
      </w:tr>
      <w:tr w:rsidR="00302FC1" w:rsidRPr="00AB26B3" w14:paraId="08F5BA6C" w14:textId="77777777">
        <w:trPr>
          <w:trHeight w:val="309"/>
        </w:trPr>
        <w:tc>
          <w:tcPr>
            <w:tcW w:w="675" w:type="dxa"/>
            <w:shd w:val="clear" w:color="auto" w:fill="C6EFCE"/>
            <w:noWrap/>
          </w:tcPr>
          <w:p w14:paraId="19406462" w14:textId="77777777" w:rsidR="00302FC1" w:rsidRPr="00AB26B3" w:rsidRDefault="00D64F26">
            <w:pPr>
              <w:pStyle w:val="P68B1DB1-Normal12"/>
              <w:spacing w:after="0" w:line="240" w:lineRule="auto"/>
              <w:rPr>
                <w:noProof/>
                <w:spacing w:val="-6"/>
                <w:lang w:val="sk-SK"/>
              </w:rPr>
            </w:pPr>
            <w:r w:rsidRPr="00AB26B3">
              <w:rPr>
                <w:noProof/>
                <w:spacing w:val="-6"/>
                <w:lang w:val="sk-SK"/>
              </w:rPr>
              <w:t>59a</w:t>
            </w:r>
          </w:p>
        </w:tc>
        <w:tc>
          <w:tcPr>
            <w:tcW w:w="1953" w:type="dxa"/>
            <w:shd w:val="clear" w:color="auto" w:fill="C6EFCE"/>
            <w:noWrap/>
          </w:tcPr>
          <w:p w14:paraId="5657C8AF" w14:textId="0759FD81"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16772_Právny predpis</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w:t>
            </w:r>
            <w:r w:rsidR="00AB26B3" w:rsidRPr="00AB26B3">
              <w:rPr>
                <w:noProof/>
                <w:spacing w:val="-6"/>
                <w:lang w:val="sk-SK"/>
              </w:rPr>
              <w:t xml:space="preserve"> v </w:t>
            </w:r>
            <w:r w:rsidRPr="00AB26B3">
              <w:rPr>
                <w:noProof/>
                <w:spacing w:val="-6"/>
                <w:lang w:val="sk-SK"/>
              </w:rPr>
              <w:t>záujme udržateľného skládkovania</w:t>
            </w:r>
            <w:r w:rsidR="00AB26B3" w:rsidRPr="00AB26B3">
              <w:rPr>
                <w:noProof/>
                <w:spacing w:val="-6"/>
                <w:lang w:val="sk-SK"/>
              </w:rPr>
              <w:t xml:space="preserve"> a </w:t>
            </w:r>
            <w:r w:rsidRPr="00AB26B3">
              <w:rPr>
                <w:noProof/>
                <w:spacing w:val="-6"/>
                <w:lang w:val="sk-SK"/>
              </w:rPr>
              <w:t>recyklácie</w:t>
            </w:r>
          </w:p>
        </w:tc>
        <w:tc>
          <w:tcPr>
            <w:tcW w:w="1162" w:type="dxa"/>
            <w:shd w:val="clear" w:color="auto" w:fill="C6EFCE"/>
            <w:noWrap/>
          </w:tcPr>
          <w:p w14:paraId="00BACD8D"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90" w:type="dxa"/>
            <w:shd w:val="clear" w:color="auto" w:fill="C6EFCE"/>
            <w:noWrap/>
          </w:tcPr>
          <w:p w14:paraId="196C43E3" w14:textId="78EAC4F9" w:rsidR="00302FC1" w:rsidRPr="00AB26B3" w:rsidRDefault="00D64F26">
            <w:pPr>
              <w:pStyle w:val="P68B1DB1-Normal12"/>
              <w:spacing w:after="0" w:line="240" w:lineRule="auto"/>
              <w:rPr>
                <w:rFonts w:eastAsiaTheme="minorEastAsia"/>
                <w:noProof/>
                <w:spacing w:val="-6"/>
                <w:lang w:val="sk-SK"/>
              </w:rPr>
            </w:pPr>
            <w:r w:rsidRPr="00AB26B3">
              <w:rPr>
                <w:noProof/>
                <w:spacing w:val="-6"/>
                <w:lang w:val="sk-SK"/>
              </w:rPr>
              <w:t>Certifikácia orgánov pre nakladanie</w:t>
            </w:r>
            <w:r w:rsidR="00AB26B3" w:rsidRPr="00AB26B3">
              <w:rPr>
                <w:noProof/>
                <w:spacing w:val="-6"/>
                <w:lang w:val="sk-SK"/>
              </w:rPr>
              <w:t xml:space="preserve"> s </w:t>
            </w:r>
            <w:r w:rsidRPr="00AB26B3">
              <w:rPr>
                <w:noProof/>
                <w:spacing w:val="-6"/>
                <w:lang w:val="sk-SK"/>
              </w:rPr>
              <w:t>tuhým odpadom (FODSA) regulačným orgánom</w:t>
            </w:r>
          </w:p>
        </w:tc>
        <w:tc>
          <w:tcPr>
            <w:tcW w:w="1468" w:type="dxa"/>
            <w:shd w:val="clear" w:color="auto" w:fill="C6EFCE"/>
            <w:noWrap/>
          </w:tcPr>
          <w:p w14:paraId="4ABF913E" w14:textId="30FB55A8" w:rsidR="00302FC1" w:rsidRPr="00AB26B3" w:rsidRDefault="00D64F26">
            <w:pPr>
              <w:pStyle w:val="P68B1DB1-Normal12"/>
              <w:spacing w:after="0" w:line="240" w:lineRule="auto"/>
              <w:rPr>
                <w:noProof/>
                <w:spacing w:val="-6"/>
                <w:lang w:val="sk-SK"/>
              </w:rPr>
            </w:pPr>
            <w:r w:rsidRPr="00AB26B3">
              <w:rPr>
                <w:noProof/>
                <w:spacing w:val="-6"/>
                <w:lang w:val="sk-SK"/>
              </w:rPr>
              <w:t>Certifikácia 14 orgánov pre nakladanie</w:t>
            </w:r>
            <w:r w:rsidR="00AB26B3" w:rsidRPr="00AB26B3">
              <w:rPr>
                <w:noProof/>
                <w:spacing w:val="-6"/>
                <w:lang w:val="sk-SK"/>
              </w:rPr>
              <w:t xml:space="preserve"> s </w:t>
            </w:r>
            <w:r w:rsidRPr="00AB26B3">
              <w:rPr>
                <w:noProof/>
                <w:spacing w:val="-6"/>
                <w:lang w:val="sk-SK"/>
              </w:rPr>
              <w:t>tuhým odpadom (FODSA) regulačným orgánom pre odpad, energiu</w:t>
            </w:r>
            <w:r w:rsidR="00AB26B3" w:rsidRPr="00AB26B3">
              <w:rPr>
                <w:noProof/>
                <w:spacing w:val="-6"/>
                <w:lang w:val="sk-SK"/>
              </w:rPr>
              <w:t xml:space="preserve"> a </w:t>
            </w:r>
            <w:r w:rsidRPr="00AB26B3">
              <w:rPr>
                <w:noProof/>
                <w:spacing w:val="-6"/>
                <w:lang w:val="sk-SK"/>
              </w:rPr>
              <w:t>vodu (RAAEY)</w:t>
            </w:r>
          </w:p>
        </w:tc>
        <w:tc>
          <w:tcPr>
            <w:tcW w:w="1031" w:type="dxa"/>
            <w:shd w:val="clear" w:color="auto" w:fill="C6EFCE"/>
            <w:noWrap/>
          </w:tcPr>
          <w:p w14:paraId="3233C9A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07CB9BC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2923FD2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64B3B588"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9" w:type="dxa"/>
            <w:shd w:val="clear" w:color="auto" w:fill="C6EFCE"/>
            <w:noWrap/>
          </w:tcPr>
          <w:p w14:paraId="5D47FF9E"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5019" w:type="dxa"/>
            <w:shd w:val="clear" w:color="auto" w:fill="C6EFCE"/>
            <w:noWrap/>
          </w:tcPr>
          <w:p w14:paraId="2E2628BE" w14:textId="08360780" w:rsidR="00302FC1" w:rsidRPr="00AB26B3" w:rsidRDefault="00D64F26">
            <w:pPr>
              <w:pStyle w:val="P68B1DB1-Normal12"/>
              <w:spacing w:after="0" w:line="240" w:lineRule="auto"/>
              <w:rPr>
                <w:noProof/>
                <w:spacing w:val="-6"/>
                <w:lang w:val="sk-SK"/>
              </w:rPr>
            </w:pPr>
            <w:r w:rsidRPr="00AB26B3">
              <w:rPr>
                <w:noProof/>
                <w:spacing w:val="-6"/>
                <w:lang w:val="sk-SK"/>
              </w:rPr>
              <w:t>Regulačný orgán pre odpad, energiu</w:t>
            </w:r>
            <w:r w:rsidR="00AB26B3" w:rsidRPr="00AB26B3">
              <w:rPr>
                <w:noProof/>
                <w:spacing w:val="-6"/>
                <w:lang w:val="sk-SK"/>
              </w:rPr>
              <w:t xml:space="preserve"> a </w:t>
            </w:r>
            <w:r w:rsidRPr="00AB26B3">
              <w:rPr>
                <w:noProof/>
                <w:spacing w:val="-6"/>
                <w:lang w:val="sk-SK"/>
              </w:rPr>
              <w:t>vodu (RAAEY) osvedčí, že 14 gréckych orgánov pre nakladanie</w:t>
            </w:r>
            <w:r w:rsidR="00AB26B3" w:rsidRPr="00AB26B3">
              <w:rPr>
                <w:noProof/>
                <w:spacing w:val="-6"/>
                <w:lang w:val="sk-SK"/>
              </w:rPr>
              <w:t xml:space="preserve"> s </w:t>
            </w:r>
            <w:r w:rsidRPr="00AB26B3">
              <w:rPr>
                <w:noProof/>
                <w:spacing w:val="-6"/>
                <w:lang w:val="sk-SK"/>
              </w:rPr>
              <w:t>tuhým odpadom (FODSA) spĺňa minimálne úrovne kapacity</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vnútroštátnymi právnymi predpismi.</w:t>
            </w:r>
          </w:p>
        </w:tc>
      </w:tr>
      <w:tr w:rsidR="00302FC1" w:rsidRPr="00AB26B3" w14:paraId="0CFC5589" w14:textId="77777777">
        <w:trPr>
          <w:trHeight w:val="309"/>
        </w:trPr>
        <w:tc>
          <w:tcPr>
            <w:tcW w:w="675" w:type="dxa"/>
            <w:shd w:val="clear" w:color="auto" w:fill="C6EFCE"/>
            <w:noWrap/>
          </w:tcPr>
          <w:p w14:paraId="55FD79F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60</w:t>
            </w:r>
          </w:p>
        </w:tc>
        <w:tc>
          <w:tcPr>
            <w:tcW w:w="1953" w:type="dxa"/>
            <w:shd w:val="clear" w:color="auto" w:fill="C6EFCE"/>
            <w:noWrap/>
          </w:tcPr>
          <w:p w14:paraId="783C72BC" w14:textId="4B85177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16979_Zriadenie nového regulačného orgánu pre vodu</w:t>
            </w:r>
            <w:r w:rsidR="00AB26B3" w:rsidRPr="00AB26B3">
              <w:rPr>
                <w:noProof/>
                <w:spacing w:val="-6"/>
                <w:lang w:val="sk-SK"/>
              </w:rPr>
              <w:t xml:space="preserve"> a </w:t>
            </w:r>
            <w:r w:rsidRPr="00AB26B3">
              <w:rPr>
                <w:noProof/>
                <w:spacing w:val="-6"/>
                <w:lang w:val="sk-SK"/>
              </w:rPr>
              <w:t>odpadové vody</w:t>
            </w:r>
          </w:p>
        </w:tc>
        <w:tc>
          <w:tcPr>
            <w:tcW w:w="1162" w:type="dxa"/>
            <w:shd w:val="clear" w:color="auto" w:fill="C6EFCE"/>
            <w:noWrap/>
          </w:tcPr>
          <w:p w14:paraId="420A821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90" w:type="dxa"/>
            <w:shd w:val="clear" w:color="auto" w:fill="C6EFCE"/>
            <w:noWrap/>
          </w:tcPr>
          <w:p w14:paraId="282EA16D" w14:textId="4065D89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Zriadenie</w:t>
            </w:r>
            <w:r w:rsidR="00AB26B3" w:rsidRPr="00AB26B3">
              <w:rPr>
                <w:noProof/>
                <w:spacing w:val="-6"/>
                <w:lang w:val="sk-SK"/>
              </w:rPr>
              <w:t xml:space="preserve"> a </w:t>
            </w:r>
            <w:r w:rsidRPr="00AB26B3">
              <w:rPr>
                <w:noProof/>
                <w:spacing w:val="-6"/>
                <w:lang w:val="sk-SK"/>
              </w:rPr>
              <w:t>fungovanie regulačného orgánu pre hospodárenie</w:t>
            </w:r>
            <w:r w:rsidR="00AB26B3" w:rsidRPr="00AB26B3">
              <w:rPr>
                <w:noProof/>
                <w:spacing w:val="-6"/>
                <w:lang w:val="sk-SK"/>
              </w:rPr>
              <w:t xml:space="preserve"> s </w:t>
            </w:r>
            <w:r w:rsidRPr="00AB26B3">
              <w:rPr>
                <w:noProof/>
                <w:spacing w:val="-6"/>
                <w:lang w:val="sk-SK"/>
              </w:rPr>
              <w:t>vodami</w:t>
            </w:r>
          </w:p>
        </w:tc>
        <w:tc>
          <w:tcPr>
            <w:tcW w:w="1468" w:type="dxa"/>
            <w:shd w:val="clear" w:color="auto" w:fill="C6EFCE"/>
            <w:noWrap/>
          </w:tcPr>
          <w:p w14:paraId="1FF394FD" w14:textId="36ED4F8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spoločného ministerského rozhodnutia</w:t>
            </w:r>
            <w:r w:rsidR="00AB26B3" w:rsidRPr="00AB26B3">
              <w:rPr>
                <w:noProof/>
                <w:spacing w:val="-6"/>
                <w:lang w:val="sk-SK"/>
              </w:rPr>
              <w:t xml:space="preserve"> a </w:t>
            </w:r>
            <w:r w:rsidRPr="00AB26B3">
              <w:rPr>
                <w:noProof/>
                <w:spacing w:val="-6"/>
                <w:lang w:val="sk-SK"/>
              </w:rPr>
              <w:t>všetkých potrebných administratívnych</w:t>
            </w:r>
            <w:r w:rsidR="00AB26B3" w:rsidRPr="00AB26B3">
              <w:rPr>
                <w:noProof/>
                <w:spacing w:val="-6"/>
                <w:lang w:val="sk-SK"/>
              </w:rPr>
              <w:t xml:space="preserve"> a </w:t>
            </w:r>
            <w:r w:rsidRPr="00AB26B3">
              <w:rPr>
                <w:noProof/>
                <w:spacing w:val="-6"/>
                <w:lang w:val="sk-SK"/>
              </w:rPr>
              <w:t xml:space="preserve">legislatívnych opatrení na zriadenie úradu </w:t>
            </w:r>
          </w:p>
        </w:tc>
        <w:tc>
          <w:tcPr>
            <w:tcW w:w="1031" w:type="dxa"/>
            <w:shd w:val="clear" w:color="auto" w:fill="C6EFCE"/>
            <w:noWrap/>
          </w:tcPr>
          <w:p w14:paraId="5EA75ED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55EE290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2CA90A5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6BFDD3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03AD0AF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5019" w:type="dxa"/>
            <w:shd w:val="clear" w:color="auto" w:fill="C6EFCE"/>
            <w:noWrap/>
          </w:tcPr>
          <w:p w14:paraId="208AEEEA" w14:textId="7AE52CB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Nový Národný regulačný orgán pre vodu</w:t>
            </w:r>
            <w:r w:rsidR="00AB26B3" w:rsidRPr="00AB26B3">
              <w:rPr>
                <w:noProof/>
                <w:spacing w:val="-6"/>
                <w:lang w:val="sk-SK"/>
              </w:rPr>
              <w:t xml:space="preserve"> a </w:t>
            </w:r>
            <w:r w:rsidRPr="00AB26B3">
              <w:rPr>
                <w:noProof/>
                <w:spacing w:val="-6"/>
                <w:lang w:val="sk-SK"/>
              </w:rPr>
              <w:t>odpadové vody má personálne obsadenie</w:t>
            </w:r>
            <w:r w:rsidR="00AB26B3" w:rsidRPr="00AB26B3">
              <w:rPr>
                <w:noProof/>
                <w:spacing w:val="-6"/>
                <w:lang w:val="sk-SK"/>
              </w:rPr>
              <w:t xml:space="preserve"> a </w:t>
            </w:r>
            <w:r w:rsidRPr="00AB26B3">
              <w:rPr>
                <w:noProof/>
                <w:spacing w:val="-6"/>
                <w:lang w:val="sk-SK"/>
              </w:rPr>
              <w:t>priestory.</w:t>
            </w:r>
          </w:p>
        </w:tc>
      </w:tr>
      <w:tr w:rsidR="00302FC1" w:rsidRPr="00AB26B3" w14:paraId="7DFD0F01" w14:textId="77777777">
        <w:trPr>
          <w:trHeight w:val="300"/>
        </w:trPr>
        <w:tc>
          <w:tcPr>
            <w:tcW w:w="675" w:type="dxa"/>
            <w:shd w:val="clear" w:color="auto" w:fill="C6EFCE"/>
            <w:noWrap/>
          </w:tcPr>
          <w:p w14:paraId="476A2A08" w14:textId="77777777" w:rsidR="00302FC1" w:rsidRPr="00AB26B3" w:rsidRDefault="00D64F26">
            <w:pPr>
              <w:pStyle w:val="P68B1DB1-Normal12"/>
              <w:spacing w:line="240" w:lineRule="auto"/>
              <w:rPr>
                <w:noProof/>
                <w:spacing w:val="-6"/>
                <w:lang w:val="sk-SK"/>
              </w:rPr>
            </w:pPr>
            <w:r w:rsidRPr="00AB26B3">
              <w:rPr>
                <w:noProof/>
                <w:spacing w:val="-6"/>
                <w:lang w:val="sk-SK"/>
              </w:rPr>
              <w:t>316</w:t>
            </w:r>
          </w:p>
        </w:tc>
        <w:tc>
          <w:tcPr>
            <w:tcW w:w="1953" w:type="dxa"/>
            <w:shd w:val="clear" w:color="auto" w:fill="C6EFCE"/>
            <w:noWrap/>
          </w:tcPr>
          <w:p w14:paraId="4EDB56C3" w14:textId="71151463" w:rsidR="00302FC1" w:rsidRPr="00AB26B3" w:rsidRDefault="00D64F26">
            <w:pPr>
              <w:pStyle w:val="P68B1DB1-Normal12"/>
              <w:spacing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16285_Národná stratégia</w:t>
            </w:r>
            <w:r w:rsidR="00AB26B3" w:rsidRPr="00AB26B3">
              <w:rPr>
                <w:noProof/>
                <w:spacing w:val="-6"/>
                <w:lang w:val="sk-SK"/>
              </w:rPr>
              <w:t xml:space="preserve"> v </w:t>
            </w:r>
            <w:r w:rsidRPr="00AB26B3">
              <w:rPr>
                <w:noProof/>
                <w:spacing w:val="-6"/>
                <w:lang w:val="sk-SK"/>
              </w:rPr>
              <w:t>oblasti vodného hospodárstva</w:t>
            </w:r>
          </w:p>
        </w:tc>
        <w:tc>
          <w:tcPr>
            <w:tcW w:w="1162" w:type="dxa"/>
            <w:shd w:val="clear" w:color="auto" w:fill="C6EFCE"/>
            <w:noWrap/>
          </w:tcPr>
          <w:p w14:paraId="4F9C5938" w14:textId="77777777" w:rsidR="00302FC1" w:rsidRPr="00AB26B3" w:rsidRDefault="00D64F26">
            <w:pPr>
              <w:pStyle w:val="P68B1DB1-Normal12"/>
              <w:spacing w:line="240" w:lineRule="auto"/>
              <w:rPr>
                <w:noProof/>
                <w:spacing w:val="-6"/>
                <w:lang w:val="sk-SK"/>
              </w:rPr>
            </w:pPr>
            <w:r w:rsidRPr="00AB26B3">
              <w:rPr>
                <w:noProof/>
                <w:spacing w:val="-6"/>
                <w:lang w:val="sk-SK"/>
              </w:rPr>
              <w:t>Míľnik</w:t>
            </w:r>
          </w:p>
        </w:tc>
        <w:tc>
          <w:tcPr>
            <w:tcW w:w="1190" w:type="dxa"/>
            <w:shd w:val="clear" w:color="auto" w:fill="C6EFCE"/>
            <w:noWrap/>
          </w:tcPr>
          <w:p w14:paraId="3C17A624" w14:textId="57AFBE8C" w:rsidR="00302FC1" w:rsidRPr="00AB26B3" w:rsidRDefault="00D64F26">
            <w:pPr>
              <w:pStyle w:val="P68B1DB1-Normal28"/>
              <w:spacing w:line="240" w:lineRule="auto"/>
              <w:rPr>
                <w:noProof/>
                <w:spacing w:val="-6"/>
                <w:lang w:val="sk-SK"/>
              </w:rPr>
            </w:pPr>
            <w:r w:rsidRPr="00AB26B3">
              <w:rPr>
                <w:noProof/>
                <w:spacing w:val="-6"/>
                <w:lang w:val="sk-SK"/>
              </w:rPr>
              <w:t>Národná vodohospodárska stratégia</w:t>
            </w:r>
            <w:r w:rsidR="00AB26B3" w:rsidRPr="00AB26B3">
              <w:rPr>
                <w:noProof/>
                <w:spacing w:val="-6"/>
                <w:lang w:val="sk-SK"/>
              </w:rPr>
              <w:t xml:space="preserve"> a </w:t>
            </w:r>
            <w:r w:rsidRPr="00AB26B3">
              <w:rPr>
                <w:noProof/>
                <w:spacing w:val="-6"/>
                <w:lang w:val="sk-SK"/>
              </w:rPr>
              <w:t>rozšírenie zodpovednosti dvoch vodohospodárskych podnikov</w:t>
            </w:r>
          </w:p>
        </w:tc>
        <w:tc>
          <w:tcPr>
            <w:tcW w:w="1468" w:type="dxa"/>
            <w:shd w:val="clear" w:color="auto" w:fill="C6EFCE"/>
            <w:noWrap/>
          </w:tcPr>
          <w:p w14:paraId="724D8306" w14:textId="6DB5D803" w:rsidR="00302FC1" w:rsidRPr="00AB26B3" w:rsidRDefault="00D64F26">
            <w:pPr>
              <w:pStyle w:val="P68B1DB1-Normal28"/>
              <w:spacing w:after="0" w:line="240" w:lineRule="auto"/>
              <w:rPr>
                <w:noProof/>
                <w:spacing w:val="-6"/>
                <w:lang w:val="sk-SK"/>
              </w:rPr>
            </w:pPr>
            <w:r w:rsidRPr="00AB26B3">
              <w:rPr>
                <w:noProof/>
                <w:spacing w:val="-6"/>
                <w:lang w:val="sk-SK"/>
              </w:rPr>
              <w:t>Nadobudnutie účinnosti právnych aktov na prijatie národnej stratégie</w:t>
            </w:r>
            <w:r w:rsidR="00AB26B3" w:rsidRPr="00AB26B3">
              <w:rPr>
                <w:noProof/>
                <w:spacing w:val="-6"/>
                <w:lang w:val="sk-SK"/>
              </w:rPr>
              <w:t xml:space="preserve"> v </w:t>
            </w:r>
            <w:r w:rsidRPr="00AB26B3">
              <w:rPr>
                <w:noProof/>
                <w:spacing w:val="-6"/>
                <w:lang w:val="sk-SK"/>
              </w:rPr>
              <w:t>oblasti vody</w:t>
            </w:r>
            <w:r w:rsidR="00AB26B3" w:rsidRPr="00AB26B3">
              <w:rPr>
                <w:noProof/>
                <w:spacing w:val="-6"/>
                <w:lang w:val="sk-SK"/>
              </w:rPr>
              <w:t xml:space="preserve"> a </w:t>
            </w:r>
            <w:r w:rsidRPr="00AB26B3">
              <w:rPr>
                <w:noProof/>
                <w:spacing w:val="-6"/>
                <w:lang w:val="sk-SK"/>
              </w:rPr>
              <w:t>rozšírenie povinností EYDAP (Aténska vodovodná</w:t>
            </w:r>
            <w:r w:rsidR="00AB26B3" w:rsidRPr="00AB26B3">
              <w:rPr>
                <w:noProof/>
                <w:spacing w:val="-6"/>
                <w:lang w:val="sk-SK"/>
              </w:rPr>
              <w:t xml:space="preserve"> a </w:t>
            </w:r>
            <w:r w:rsidRPr="00AB26B3">
              <w:rPr>
                <w:noProof/>
                <w:spacing w:val="-6"/>
                <w:lang w:val="sk-SK"/>
              </w:rPr>
              <w:t>kanalizačná spoločnosť)</w:t>
            </w:r>
            <w:r w:rsidR="00AB26B3" w:rsidRPr="00AB26B3">
              <w:rPr>
                <w:noProof/>
                <w:spacing w:val="-6"/>
                <w:lang w:val="sk-SK"/>
              </w:rPr>
              <w:t xml:space="preserve"> a </w:t>
            </w:r>
            <w:r w:rsidRPr="00AB26B3">
              <w:rPr>
                <w:noProof/>
                <w:spacing w:val="-6"/>
                <w:lang w:val="sk-SK"/>
              </w:rPr>
              <w:t>EYATH (Solúnska vodovodná</w:t>
            </w:r>
            <w:r w:rsidR="00AB26B3" w:rsidRPr="00AB26B3">
              <w:rPr>
                <w:noProof/>
                <w:spacing w:val="-6"/>
                <w:lang w:val="sk-SK"/>
              </w:rPr>
              <w:t xml:space="preserve"> a </w:t>
            </w:r>
            <w:r w:rsidRPr="00AB26B3">
              <w:rPr>
                <w:noProof/>
                <w:spacing w:val="-6"/>
                <w:lang w:val="sk-SK"/>
              </w:rPr>
              <w:t>kanalizačná spoločnosť)</w:t>
            </w:r>
          </w:p>
          <w:p w14:paraId="22A8761E" w14:textId="77777777" w:rsidR="00302FC1" w:rsidRPr="00AB26B3" w:rsidRDefault="00302FC1">
            <w:pPr>
              <w:spacing w:line="240" w:lineRule="auto"/>
              <w:rPr>
                <w:rFonts w:ascii="Times New Roman" w:hAnsi="Times New Roman" w:cs="Times New Roman"/>
                <w:noProof/>
                <w:color w:val="006100"/>
                <w:spacing w:val="-6"/>
                <w:sz w:val="18"/>
                <w:szCs w:val="18"/>
                <w:lang w:val="sk-SK"/>
              </w:rPr>
            </w:pPr>
          </w:p>
        </w:tc>
        <w:tc>
          <w:tcPr>
            <w:tcW w:w="1031" w:type="dxa"/>
            <w:shd w:val="clear" w:color="auto" w:fill="C6EFCE"/>
            <w:noWrap/>
          </w:tcPr>
          <w:p w14:paraId="33C816F8"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1E25F92B"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31D4AEA1"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473C1F52" w14:textId="3A03F577" w:rsidR="00302FC1" w:rsidRPr="00AB26B3" w:rsidRDefault="00D64F26">
            <w:pPr>
              <w:pStyle w:val="P68B1DB1-Normal12"/>
              <w:spacing w:line="240" w:lineRule="auto"/>
              <w:rPr>
                <w:noProof/>
                <w:spacing w:val="-6"/>
                <w:lang w:val="sk-SK"/>
              </w:rPr>
            </w:pPr>
            <w:r w:rsidRPr="00AB26B3">
              <w:rPr>
                <w:noProof/>
                <w:spacing w:val="-6"/>
                <w:lang w:val="sk-SK"/>
              </w:rPr>
              <w:t>ŠTVRTÝ ŠTVRŤROK</w:t>
            </w:r>
          </w:p>
        </w:tc>
        <w:tc>
          <w:tcPr>
            <w:tcW w:w="709" w:type="dxa"/>
            <w:shd w:val="clear" w:color="auto" w:fill="C6EFCE"/>
            <w:noWrap/>
          </w:tcPr>
          <w:p w14:paraId="688A558B" w14:textId="77777777" w:rsidR="00302FC1" w:rsidRPr="00AB26B3" w:rsidRDefault="00D64F26">
            <w:pPr>
              <w:pStyle w:val="P68B1DB1-Normal12"/>
              <w:spacing w:line="240" w:lineRule="auto"/>
              <w:rPr>
                <w:noProof/>
                <w:spacing w:val="-6"/>
                <w:lang w:val="sk-SK"/>
              </w:rPr>
            </w:pPr>
            <w:r w:rsidRPr="00AB26B3">
              <w:rPr>
                <w:noProof/>
                <w:spacing w:val="-6"/>
                <w:lang w:val="sk-SK"/>
              </w:rPr>
              <w:t>2025</w:t>
            </w:r>
          </w:p>
        </w:tc>
        <w:tc>
          <w:tcPr>
            <w:tcW w:w="5019" w:type="dxa"/>
            <w:shd w:val="clear" w:color="auto" w:fill="C6EFCE"/>
            <w:noWrap/>
          </w:tcPr>
          <w:p w14:paraId="1E009DA6" w14:textId="77777777" w:rsidR="00302FC1" w:rsidRPr="00AB26B3" w:rsidRDefault="00D64F26">
            <w:pPr>
              <w:pStyle w:val="P68B1DB1-Normal28"/>
              <w:spacing w:line="240" w:lineRule="auto"/>
              <w:rPr>
                <w:noProof/>
                <w:spacing w:val="-6"/>
                <w:lang w:val="sk-SK"/>
              </w:rPr>
            </w:pPr>
            <w:r w:rsidRPr="00AB26B3">
              <w:rPr>
                <w:noProof/>
                <w:spacing w:val="-6"/>
                <w:lang w:val="sk-SK"/>
              </w:rPr>
              <w:t>Nadobudnutie účinnosti týchto právnych aktov:</w:t>
            </w:r>
          </w:p>
          <w:p w14:paraId="18ACAF37" w14:textId="10129884" w:rsidR="00302FC1" w:rsidRPr="00AB26B3" w:rsidRDefault="00D64F26">
            <w:pPr>
              <w:pStyle w:val="P68B1DB1-Normal28"/>
              <w:spacing w:line="240" w:lineRule="auto"/>
              <w:rPr>
                <w:noProof/>
                <w:spacing w:val="-6"/>
                <w:lang w:val="sk-SK"/>
              </w:rPr>
            </w:pPr>
            <w:r w:rsidRPr="00AB26B3">
              <w:rPr>
                <w:noProof/>
                <w:spacing w:val="-6"/>
                <w:lang w:val="sk-SK"/>
              </w:rPr>
              <w:t>Národná stratégia</w:t>
            </w:r>
            <w:r w:rsidR="00AB26B3" w:rsidRPr="00AB26B3">
              <w:rPr>
                <w:noProof/>
                <w:spacing w:val="-6"/>
                <w:lang w:val="sk-SK"/>
              </w:rPr>
              <w:t xml:space="preserve"> v </w:t>
            </w:r>
            <w:r w:rsidRPr="00AB26B3">
              <w:rPr>
                <w:noProof/>
                <w:spacing w:val="-6"/>
                <w:lang w:val="sk-SK"/>
              </w:rPr>
              <w:t>oblasti vodného hospodárstva,</w:t>
            </w:r>
            <w:r w:rsidR="00AB26B3" w:rsidRPr="00AB26B3">
              <w:rPr>
                <w:noProof/>
                <w:spacing w:val="-6"/>
                <w:lang w:val="sk-SK"/>
              </w:rPr>
              <w:t xml:space="preserve"> v </w:t>
            </w:r>
            <w:r w:rsidRPr="00AB26B3">
              <w:rPr>
                <w:noProof/>
                <w:spacing w:val="-6"/>
                <w:lang w:val="sk-SK"/>
              </w:rPr>
              <w:t>ktorej sa posudzuje súčasný stav hospodárenia</w:t>
            </w:r>
            <w:r w:rsidR="00AB26B3" w:rsidRPr="00AB26B3">
              <w:rPr>
                <w:noProof/>
                <w:spacing w:val="-6"/>
                <w:lang w:val="sk-SK"/>
              </w:rPr>
              <w:t xml:space="preserve"> s </w:t>
            </w:r>
            <w:r w:rsidRPr="00AB26B3">
              <w:rPr>
                <w:noProof/>
                <w:spacing w:val="-6"/>
                <w:lang w:val="sk-SK"/>
              </w:rPr>
              <w:t>vodami</w:t>
            </w:r>
            <w:r w:rsidR="00AB26B3" w:rsidRPr="00AB26B3">
              <w:rPr>
                <w:noProof/>
                <w:spacing w:val="-6"/>
                <w:lang w:val="sk-SK"/>
              </w:rPr>
              <w:t xml:space="preserve"> a </w:t>
            </w:r>
            <w:r w:rsidRPr="00AB26B3">
              <w:rPr>
                <w:noProof/>
                <w:spacing w:val="-6"/>
                <w:lang w:val="sk-SK"/>
              </w:rPr>
              <w:t>stanovujú politické usmernenia na zabezpečenie ochrany</w:t>
            </w:r>
            <w:r w:rsidR="00AB26B3" w:rsidRPr="00AB26B3">
              <w:rPr>
                <w:noProof/>
                <w:spacing w:val="-6"/>
                <w:lang w:val="sk-SK"/>
              </w:rPr>
              <w:t xml:space="preserve"> a </w:t>
            </w:r>
            <w:r w:rsidRPr="00AB26B3">
              <w:rPr>
                <w:noProof/>
                <w:spacing w:val="-6"/>
                <w:lang w:val="sk-SK"/>
              </w:rPr>
              <w:t>udržateľného hospodárenia</w:t>
            </w:r>
            <w:r w:rsidR="00AB26B3" w:rsidRPr="00AB26B3">
              <w:rPr>
                <w:noProof/>
                <w:spacing w:val="-6"/>
                <w:lang w:val="sk-SK"/>
              </w:rPr>
              <w:t xml:space="preserve"> s </w:t>
            </w:r>
            <w:r w:rsidRPr="00AB26B3">
              <w:rPr>
                <w:noProof/>
                <w:spacing w:val="-6"/>
                <w:lang w:val="sk-SK"/>
              </w:rPr>
              <w:t>vodnými zdrojmi;</w:t>
            </w:r>
          </w:p>
          <w:p w14:paraId="33CA9684" w14:textId="58045169" w:rsidR="00302FC1" w:rsidRPr="00AB26B3" w:rsidRDefault="00D64F26">
            <w:pPr>
              <w:pStyle w:val="P68B1DB1-Normal29"/>
              <w:spacing w:line="240" w:lineRule="auto"/>
              <w:rPr>
                <w:noProof/>
                <w:spacing w:val="-6"/>
                <w:lang w:val="sk-SK"/>
              </w:rPr>
            </w:pPr>
            <w:r w:rsidRPr="00AB26B3">
              <w:rPr>
                <w:noProof/>
                <w:color w:val="006100"/>
                <w:spacing w:val="-6"/>
                <w:lang w:val="sk-SK"/>
              </w:rPr>
              <w:t>primárny právny akt</w:t>
            </w:r>
            <w:r w:rsidR="00AB26B3" w:rsidRPr="00AB26B3">
              <w:rPr>
                <w:noProof/>
                <w:color w:val="006100"/>
                <w:spacing w:val="-6"/>
                <w:lang w:val="sk-SK"/>
              </w:rPr>
              <w:t xml:space="preserve"> o </w:t>
            </w:r>
            <w:r w:rsidRPr="00AB26B3">
              <w:rPr>
                <w:noProof/>
                <w:color w:val="006100"/>
                <w:spacing w:val="-6"/>
                <w:lang w:val="sk-SK"/>
              </w:rPr>
              <w:t>geografickom rozšírení povinností spoločnosti EYDAP (Aténska vodárenská</w:t>
            </w:r>
            <w:r w:rsidR="00AB26B3" w:rsidRPr="00AB26B3">
              <w:rPr>
                <w:noProof/>
                <w:color w:val="006100"/>
                <w:spacing w:val="-6"/>
                <w:lang w:val="sk-SK"/>
              </w:rPr>
              <w:t xml:space="preserve"> a </w:t>
            </w:r>
            <w:r w:rsidRPr="00AB26B3">
              <w:rPr>
                <w:noProof/>
                <w:color w:val="006100"/>
                <w:spacing w:val="-6"/>
                <w:lang w:val="sk-SK"/>
              </w:rPr>
              <w:t>kanalizačná spoločnosť)</w:t>
            </w:r>
            <w:r w:rsidR="00AB26B3" w:rsidRPr="00AB26B3">
              <w:rPr>
                <w:noProof/>
                <w:color w:val="006100"/>
                <w:spacing w:val="-6"/>
                <w:lang w:val="sk-SK"/>
              </w:rPr>
              <w:t xml:space="preserve"> a </w:t>
            </w:r>
            <w:r w:rsidRPr="00AB26B3">
              <w:rPr>
                <w:noProof/>
                <w:color w:val="006100"/>
                <w:spacing w:val="-6"/>
                <w:lang w:val="sk-SK"/>
              </w:rPr>
              <w:t>spoločnosti EYATH (Solúnska vodárenská</w:t>
            </w:r>
            <w:r w:rsidR="00AB26B3" w:rsidRPr="00AB26B3">
              <w:rPr>
                <w:noProof/>
                <w:color w:val="006100"/>
                <w:spacing w:val="-6"/>
                <w:lang w:val="sk-SK"/>
              </w:rPr>
              <w:t xml:space="preserve"> a </w:t>
            </w:r>
            <w:r w:rsidRPr="00AB26B3">
              <w:rPr>
                <w:noProof/>
                <w:color w:val="006100"/>
                <w:spacing w:val="-6"/>
                <w:lang w:val="sk-SK"/>
              </w:rPr>
              <w:t>kanalizačná spoločnosť)</w:t>
            </w:r>
            <w:r w:rsidRPr="00AB26B3">
              <w:rPr>
                <w:noProof/>
                <w:color w:val="8764B8"/>
                <w:spacing w:val="-6"/>
                <w:u w:val="single"/>
                <w:lang w:val="sk-SK"/>
              </w:rPr>
              <w:t>,</w:t>
            </w:r>
            <w:r w:rsidRPr="00AB26B3">
              <w:rPr>
                <w:noProof/>
                <w:color w:val="006100"/>
                <w:spacing w:val="-6"/>
                <w:lang w:val="sk-SK"/>
              </w:rPr>
              <w:t xml:space="preserve"> ako aj</w:t>
            </w:r>
            <w:r w:rsidR="00AB26B3" w:rsidRPr="00AB26B3">
              <w:rPr>
                <w:noProof/>
                <w:color w:val="006100"/>
                <w:spacing w:val="-6"/>
                <w:lang w:val="sk-SK"/>
              </w:rPr>
              <w:t xml:space="preserve"> o </w:t>
            </w:r>
            <w:r w:rsidRPr="00AB26B3">
              <w:rPr>
                <w:noProof/>
                <w:color w:val="006100"/>
                <w:spacing w:val="-6"/>
                <w:lang w:val="sk-SK"/>
              </w:rPr>
              <w:t>rozšírení ich povinností na služby zavlažovacej vody.</w:t>
            </w:r>
          </w:p>
        </w:tc>
      </w:tr>
    </w:tbl>
    <w:p w14:paraId="70359D62"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614E4B47"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sectPr w:rsidR="00302FC1" w:rsidRPr="00AB26B3" w:rsidSect="00315FC0">
          <w:headerReference w:type="even" r:id="rId90"/>
          <w:headerReference w:type="default" r:id="rId91"/>
          <w:footerReference w:type="even" r:id="rId92"/>
          <w:footerReference w:type="default" r:id="rId93"/>
          <w:headerReference w:type="first" r:id="rId94"/>
          <w:footerReference w:type="first" r:id="rId95"/>
          <w:pgSz w:w="16839" w:h="11907" w:orient="landscape"/>
          <w:pgMar w:top="720" w:right="720" w:bottom="720" w:left="720" w:header="709" w:footer="709" w:gutter="0"/>
          <w:cols w:space="720"/>
          <w:docGrid w:linePitch="360"/>
        </w:sectPr>
      </w:pPr>
    </w:p>
    <w:p w14:paraId="53E3BAE7" w14:textId="3E60FFD1"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5: Národný plán zalesňovania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ochrana biodiverzity</w:t>
      </w:r>
    </w:p>
    <w:p w14:paraId="628604F6" w14:textId="77777777" w:rsidR="00302FC1" w:rsidRPr="00AB26B3" w:rsidRDefault="00D64F26">
      <w:pPr>
        <w:pStyle w:val="P68B1DB1-Normal5"/>
        <w:spacing w:before="120" w:after="120" w:line="240" w:lineRule="auto"/>
        <w:rPr>
          <w:rFonts w:cs="Times New Roman"/>
          <w:noProof/>
          <w:spacing w:val="-6"/>
          <w:lang w:val="sk-SK"/>
        </w:rPr>
      </w:pPr>
      <w:r w:rsidRPr="00AB26B3">
        <w:rPr>
          <w:noProof/>
          <w:spacing w:val="-6"/>
          <w:lang w:val="sk-SK"/>
        </w:rPr>
        <w:t>Do tejto skupiny patria tieto opatrenia:</w:t>
      </w:r>
    </w:p>
    <w:p w14:paraId="4A79316D" w14:textId="70C33597" w:rsidR="00302FC1" w:rsidRPr="00AB26B3" w:rsidRDefault="00D64F26">
      <w:pPr>
        <w:spacing w:before="120" w:after="120" w:line="240" w:lineRule="auto"/>
        <w:rPr>
          <w:rFonts w:ascii="Times New Roman" w:hAnsi="Times New Roman" w:cs="Times New Roman"/>
          <w:noProof/>
          <w:spacing w:val="-6"/>
          <w:sz w:val="24"/>
          <w:szCs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 xml:space="preserve"> Národný plán zalesňovania, obnova</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prevencia („antiNERO“), opatrenia proti erózii</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protipovodňová ochrana (ID: 16849)</w:t>
      </w:r>
    </w:p>
    <w:p w14:paraId="3C63940C" w14:textId="13AADA88"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 xml:space="preserve">Ochrana biodiverzity ako hnacia sila udržateľného rastu (ID: 16851) </w:t>
      </w: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0"/>
        <w:gridCol w:w="1188"/>
        <w:gridCol w:w="2256"/>
        <w:gridCol w:w="1560"/>
        <w:gridCol w:w="992"/>
        <w:gridCol w:w="992"/>
        <w:gridCol w:w="709"/>
        <w:gridCol w:w="1119"/>
        <w:gridCol w:w="823"/>
        <w:gridCol w:w="3148"/>
      </w:tblGrid>
      <w:tr w:rsidR="00302FC1" w:rsidRPr="00AB26B3" w14:paraId="1ABD97FA" w14:textId="77777777">
        <w:trPr>
          <w:trHeight w:val="328"/>
          <w:tblHeader/>
        </w:trPr>
        <w:tc>
          <w:tcPr>
            <w:tcW w:w="708" w:type="dxa"/>
            <w:vMerge w:val="restart"/>
            <w:shd w:val="clear" w:color="auto" w:fill="B8CCE4" w:themeFill="accent1" w:themeFillTint="66"/>
            <w:noWrap/>
            <w:vAlign w:val="center"/>
          </w:tcPr>
          <w:p w14:paraId="4A3CEF69" w14:textId="70572CE1" w:rsidR="00302FC1" w:rsidRPr="00AB26B3" w:rsidRDefault="00D64F26">
            <w:pPr>
              <w:pStyle w:val="P68B1DB1-Normal10"/>
              <w:spacing w:after="0" w:line="240" w:lineRule="auto"/>
              <w:jc w:val="center"/>
              <w:rPr>
                <w:noProof/>
                <w:spacing w:val="-6"/>
                <w:lang w:val="sk-SK"/>
              </w:rPr>
            </w:pPr>
            <w:r w:rsidRPr="00AB26B3">
              <w:rPr>
                <w:noProof/>
                <w:spacing w:val="-6"/>
                <w:lang w:val="sk-SK"/>
              </w:rPr>
              <w:t>A nasl.</w:t>
            </w:r>
            <w:r w:rsidRPr="00AB26B3">
              <w:rPr>
                <w:noProof/>
                <w:spacing w:val="-6"/>
                <w:lang w:val="sk-SK"/>
              </w:rPr>
              <w:br/>
              <w:t>Nie.</w:t>
            </w:r>
          </w:p>
        </w:tc>
        <w:tc>
          <w:tcPr>
            <w:tcW w:w="2040" w:type="dxa"/>
            <w:vMerge w:val="restart"/>
            <w:shd w:val="clear" w:color="auto" w:fill="B8CCE4" w:themeFill="accent1" w:themeFillTint="66"/>
            <w:noWrap/>
            <w:vAlign w:val="center"/>
          </w:tcPr>
          <w:p w14:paraId="1EB97C78" w14:textId="77777777" w:rsidR="00302FC1" w:rsidRPr="00AB26B3" w:rsidRDefault="00D64F26">
            <w:pPr>
              <w:pStyle w:val="P68B1DB1-Normal10"/>
              <w:spacing w:after="0" w:line="240" w:lineRule="auto"/>
              <w:jc w:val="center"/>
              <w:rPr>
                <w:noProof/>
                <w:spacing w:val="-6"/>
                <w:lang w:val="sk-SK"/>
              </w:rPr>
            </w:pPr>
            <w:r w:rsidRPr="00AB26B3">
              <w:rPr>
                <w:noProof/>
                <w:spacing w:val="-6"/>
                <w:lang w:val="sk-SK"/>
              </w:rPr>
              <w:t>Súvisiace opatrenie (reforma alebo investícia)</w:t>
            </w:r>
          </w:p>
        </w:tc>
        <w:tc>
          <w:tcPr>
            <w:tcW w:w="1188" w:type="dxa"/>
            <w:vMerge w:val="restart"/>
            <w:shd w:val="clear" w:color="auto" w:fill="B8CCE4" w:themeFill="accent1" w:themeFillTint="66"/>
            <w:noWrap/>
            <w:vAlign w:val="center"/>
          </w:tcPr>
          <w:p w14:paraId="4CE8BB98" w14:textId="77777777" w:rsidR="00302FC1" w:rsidRPr="00AB26B3" w:rsidRDefault="00D64F26">
            <w:pPr>
              <w:pStyle w:val="P68B1DB1-Normal10"/>
              <w:spacing w:after="0" w:line="240" w:lineRule="auto"/>
              <w:jc w:val="center"/>
              <w:rPr>
                <w:noProof/>
                <w:spacing w:val="-6"/>
                <w:lang w:val="sk-SK"/>
              </w:rPr>
            </w:pPr>
            <w:r w:rsidRPr="00AB26B3">
              <w:rPr>
                <w:noProof/>
                <w:spacing w:val="-6"/>
                <w:lang w:val="sk-SK"/>
              </w:rPr>
              <w:t>Míľnik/cieľ</w:t>
            </w:r>
          </w:p>
        </w:tc>
        <w:tc>
          <w:tcPr>
            <w:tcW w:w="2256" w:type="dxa"/>
            <w:vMerge w:val="restart"/>
            <w:shd w:val="clear" w:color="auto" w:fill="B8CCE4" w:themeFill="accent1" w:themeFillTint="66"/>
            <w:noWrap/>
            <w:vAlign w:val="center"/>
          </w:tcPr>
          <w:p w14:paraId="1771924F" w14:textId="77777777" w:rsidR="00302FC1" w:rsidRPr="00AB26B3" w:rsidRDefault="00D64F26">
            <w:pPr>
              <w:pStyle w:val="P68B1DB1-Normal10"/>
              <w:spacing w:after="0" w:line="240" w:lineRule="auto"/>
              <w:jc w:val="center"/>
              <w:rPr>
                <w:noProof/>
                <w:spacing w:val="-6"/>
                <w:lang w:val="sk-SK"/>
              </w:rPr>
            </w:pPr>
            <w:r w:rsidRPr="00AB26B3">
              <w:rPr>
                <w:noProof/>
                <w:spacing w:val="-6"/>
                <w:lang w:val="sk-SK"/>
              </w:rPr>
              <w:t>Názov</w:t>
            </w:r>
          </w:p>
        </w:tc>
        <w:tc>
          <w:tcPr>
            <w:tcW w:w="1560" w:type="dxa"/>
            <w:vMerge w:val="restart"/>
            <w:shd w:val="clear" w:color="auto" w:fill="B8CCE4" w:themeFill="accent1" w:themeFillTint="66"/>
            <w:noWrap/>
            <w:vAlign w:val="center"/>
          </w:tcPr>
          <w:p w14:paraId="7B069D3D" w14:textId="4BE76070" w:rsidR="00302FC1" w:rsidRPr="00AB26B3" w:rsidRDefault="00D64F26">
            <w:pPr>
              <w:pStyle w:val="P68B1DB1-Normal10"/>
              <w:spacing w:after="0" w:line="240" w:lineRule="auto"/>
              <w:jc w:val="center"/>
              <w:rPr>
                <w:noProof/>
                <w:spacing w:val="-6"/>
                <w:lang w:val="sk-SK"/>
              </w:rPr>
            </w:pPr>
            <w:r w:rsidRPr="00AB26B3">
              <w:rPr>
                <w:noProof/>
                <w:spacing w:val="-6"/>
                <w:lang w:val="sk-SK"/>
              </w:rPr>
              <w:t>Kvalitatívne ukazovatele (pre míľniky)</w:t>
            </w:r>
          </w:p>
        </w:tc>
        <w:tc>
          <w:tcPr>
            <w:tcW w:w="2693" w:type="dxa"/>
            <w:gridSpan w:val="3"/>
            <w:shd w:val="clear" w:color="auto" w:fill="B8CCE4" w:themeFill="accent1" w:themeFillTint="66"/>
            <w:noWrap/>
            <w:vAlign w:val="center"/>
          </w:tcPr>
          <w:p w14:paraId="47CB245F" w14:textId="475C8F77" w:rsidR="00302FC1" w:rsidRPr="00AB26B3" w:rsidRDefault="00D64F26">
            <w:pPr>
              <w:pStyle w:val="P68B1DB1-Normal18"/>
              <w:spacing w:after="0" w:line="240" w:lineRule="auto"/>
              <w:jc w:val="center"/>
              <w:rPr>
                <w:rFonts w:ascii="Times New Roman" w:hAnsi="Times New Roman"/>
                <w:noProof/>
                <w:spacing w:val="-6"/>
                <w:lang w:val="sk-SK"/>
              </w:rPr>
            </w:pPr>
            <w:r w:rsidRPr="00AB26B3">
              <w:rPr>
                <w:rFonts w:ascii="Times New Roman" w:hAnsi="Times New Roman"/>
                <w:noProof/>
                <w:spacing w:val="-6"/>
                <w:lang w:val="sk-SK"/>
              </w:rPr>
              <w:t xml:space="preserve">Kvantitatívne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(pre ciele)</w:t>
            </w:r>
          </w:p>
        </w:tc>
        <w:tc>
          <w:tcPr>
            <w:tcW w:w="1711" w:type="dxa"/>
            <w:gridSpan w:val="2"/>
            <w:shd w:val="clear" w:color="auto" w:fill="B8CCE4" w:themeFill="accent1" w:themeFillTint="66"/>
            <w:noWrap/>
          </w:tcPr>
          <w:p w14:paraId="573F2A0D" w14:textId="77777777" w:rsidR="00302FC1" w:rsidRPr="00AB26B3" w:rsidRDefault="00D64F26">
            <w:pPr>
              <w:pStyle w:val="P68B1DB1-Normal10"/>
              <w:spacing w:after="0" w:line="240" w:lineRule="auto"/>
              <w:jc w:val="center"/>
              <w:rPr>
                <w:noProof/>
                <w:spacing w:val="-6"/>
                <w:lang w:val="sk-SK"/>
              </w:rPr>
            </w:pPr>
            <w:r w:rsidRPr="00AB26B3">
              <w:rPr>
                <w:noProof/>
                <w:spacing w:val="-6"/>
                <w:lang w:val="sk-SK"/>
              </w:rPr>
              <w:t>Orientačný harmonogram dokončenia</w:t>
            </w:r>
          </w:p>
        </w:tc>
        <w:tc>
          <w:tcPr>
            <w:tcW w:w="3148" w:type="dxa"/>
            <w:vMerge w:val="restart"/>
            <w:shd w:val="clear" w:color="auto" w:fill="B8CCE4" w:themeFill="accent1" w:themeFillTint="66"/>
            <w:noWrap/>
            <w:vAlign w:val="center"/>
          </w:tcPr>
          <w:p w14:paraId="2D3D10E3" w14:textId="738E484B" w:rsidR="00302FC1" w:rsidRPr="00AB26B3" w:rsidRDefault="00D64F26">
            <w:pPr>
              <w:pStyle w:val="P68B1DB1-Normal10"/>
              <w:spacing w:after="0" w:line="240" w:lineRule="auto"/>
              <w:jc w:val="center"/>
              <w:rPr>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6DD793BA" w14:textId="77777777">
        <w:trPr>
          <w:trHeight w:val="328"/>
          <w:tblHeader/>
        </w:trPr>
        <w:tc>
          <w:tcPr>
            <w:tcW w:w="708" w:type="dxa"/>
            <w:vMerge/>
            <w:noWrap/>
            <w:vAlign w:val="center"/>
          </w:tcPr>
          <w:p w14:paraId="767C1E8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40" w:type="dxa"/>
            <w:vMerge/>
            <w:noWrap/>
            <w:vAlign w:val="center"/>
          </w:tcPr>
          <w:p w14:paraId="12ACBAB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88" w:type="dxa"/>
            <w:vMerge/>
            <w:noWrap/>
            <w:vAlign w:val="center"/>
          </w:tcPr>
          <w:p w14:paraId="078336C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256" w:type="dxa"/>
            <w:vMerge/>
            <w:noWrap/>
            <w:vAlign w:val="center"/>
          </w:tcPr>
          <w:p w14:paraId="4FD92A4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60" w:type="dxa"/>
            <w:vMerge/>
            <w:noWrap/>
            <w:vAlign w:val="center"/>
          </w:tcPr>
          <w:p w14:paraId="593822F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92" w:type="dxa"/>
            <w:shd w:val="clear" w:color="auto" w:fill="B8CCE4" w:themeFill="accent1" w:themeFillTint="66"/>
            <w:noWrap/>
            <w:vAlign w:val="center"/>
          </w:tcPr>
          <w:p w14:paraId="59A31009" w14:textId="77777777" w:rsidR="00302FC1" w:rsidRPr="00AB26B3" w:rsidRDefault="00D64F26">
            <w:pPr>
              <w:pStyle w:val="P68B1DB1-Normal10"/>
              <w:spacing w:after="0" w:line="240" w:lineRule="auto"/>
              <w:rPr>
                <w:rFonts w:eastAsia="Times New Roman" w:cs="Times New Roman"/>
                <w:bCs/>
                <w:noProof/>
                <w:spacing w:val="-6"/>
                <w:szCs w:val="18"/>
                <w:lang w:val="sk-SK"/>
              </w:rPr>
            </w:pPr>
            <w:r w:rsidRPr="00AB26B3">
              <w:rPr>
                <w:noProof/>
                <w:spacing w:val="-6"/>
                <w:lang w:val="sk-SK"/>
              </w:rPr>
              <w:t>Merná jednotka</w:t>
            </w:r>
          </w:p>
        </w:tc>
        <w:tc>
          <w:tcPr>
            <w:tcW w:w="992" w:type="dxa"/>
            <w:shd w:val="clear" w:color="auto" w:fill="B8CCE4" w:themeFill="accent1" w:themeFillTint="66"/>
            <w:vAlign w:val="center"/>
          </w:tcPr>
          <w:p w14:paraId="5FAB1816" w14:textId="77777777" w:rsidR="00302FC1" w:rsidRPr="00AB26B3" w:rsidRDefault="00D64F26">
            <w:pPr>
              <w:pStyle w:val="P68B1DB1-Normal10"/>
              <w:spacing w:after="0" w:line="240" w:lineRule="auto"/>
              <w:rPr>
                <w:rFonts w:eastAsia="Times New Roman" w:cs="Times New Roman"/>
                <w:bCs/>
                <w:noProof/>
                <w:spacing w:val="-6"/>
                <w:szCs w:val="18"/>
                <w:lang w:val="sk-SK"/>
              </w:rPr>
            </w:pPr>
            <w:r w:rsidRPr="00AB26B3">
              <w:rPr>
                <w:noProof/>
                <w:spacing w:val="-6"/>
                <w:lang w:val="sk-SK"/>
              </w:rPr>
              <w:t>Základná</w:t>
            </w:r>
          </w:p>
        </w:tc>
        <w:tc>
          <w:tcPr>
            <w:tcW w:w="709" w:type="dxa"/>
            <w:shd w:val="clear" w:color="auto" w:fill="B8CCE4" w:themeFill="accent1" w:themeFillTint="66"/>
            <w:vAlign w:val="center"/>
          </w:tcPr>
          <w:p w14:paraId="41C7F6A2" w14:textId="77777777" w:rsidR="00302FC1" w:rsidRPr="00AB26B3" w:rsidRDefault="00D64F26">
            <w:pPr>
              <w:pStyle w:val="P68B1DB1-Normal10"/>
              <w:spacing w:after="0" w:line="240" w:lineRule="auto"/>
              <w:rPr>
                <w:rFonts w:eastAsia="Times New Roman" w:cs="Times New Roman"/>
                <w:bCs/>
                <w:noProof/>
                <w:spacing w:val="-6"/>
                <w:szCs w:val="18"/>
                <w:lang w:val="sk-SK"/>
              </w:rPr>
            </w:pPr>
            <w:r w:rsidRPr="00AB26B3">
              <w:rPr>
                <w:noProof/>
                <w:spacing w:val="-6"/>
                <w:lang w:val="sk-SK"/>
              </w:rPr>
              <w:t xml:space="preserve">Cieľ </w:t>
            </w:r>
          </w:p>
        </w:tc>
        <w:tc>
          <w:tcPr>
            <w:tcW w:w="888" w:type="dxa"/>
            <w:shd w:val="clear" w:color="auto" w:fill="B8CCE4" w:themeFill="accent1" w:themeFillTint="66"/>
            <w:noWrap/>
            <w:vAlign w:val="center"/>
          </w:tcPr>
          <w:p w14:paraId="2F4D7B3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823" w:type="dxa"/>
            <w:shd w:val="clear" w:color="auto" w:fill="B8CCE4" w:themeFill="accent1" w:themeFillTint="66"/>
            <w:vAlign w:val="center"/>
          </w:tcPr>
          <w:p w14:paraId="4A7DE3E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148" w:type="dxa"/>
            <w:vMerge/>
            <w:noWrap/>
            <w:vAlign w:val="center"/>
          </w:tcPr>
          <w:p w14:paraId="5A9DABE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678B313D" w14:textId="77777777">
        <w:trPr>
          <w:trHeight w:val="313"/>
          <w:tblHeader/>
        </w:trPr>
        <w:tc>
          <w:tcPr>
            <w:tcW w:w="708" w:type="dxa"/>
            <w:shd w:val="clear" w:color="auto" w:fill="C6EFCE"/>
            <w:noWrap/>
          </w:tcPr>
          <w:p w14:paraId="024B413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61</w:t>
            </w:r>
          </w:p>
        </w:tc>
        <w:tc>
          <w:tcPr>
            <w:tcW w:w="2040" w:type="dxa"/>
            <w:shd w:val="clear" w:color="auto" w:fill="C6EFCE"/>
            <w:noWrap/>
          </w:tcPr>
          <w:p w14:paraId="1C123540" w14:textId="4F6011E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16849_ Národný plán zalesňovania, obnova</w:t>
            </w:r>
            <w:r w:rsidR="00AB26B3" w:rsidRPr="00AB26B3">
              <w:rPr>
                <w:noProof/>
                <w:spacing w:val="-6"/>
                <w:lang w:val="sk-SK"/>
              </w:rPr>
              <w:t xml:space="preserve"> a </w:t>
            </w:r>
            <w:r w:rsidRPr="00AB26B3">
              <w:rPr>
                <w:noProof/>
                <w:spacing w:val="-6"/>
                <w:lang w:val="sk-SK"/>
              </w:rPr>
              <w:t>prevencia („antiNERO“), opatrenia proti erózii</w:t>
            </w:r>
            <w:r w:rsidR="00AB26B3" w:rsidRPr="00AB26B3">
              <w:rPr>
                <w:noProof/>
                <w:spacing w:val="-6"/>
                <w:lang w:val="sk-SK"/>
              </w:rPr>
              <w:t xml:space="preserve"> a </w:t>
            </w:r>
            <w:r w:rsidRPr="00AB26B3">
              <w:rPr>
                <w:noProof/>
                <w:spacing w:val="-6"/>
                <w:lang w:val="sk-SK"/>
              </w:rPr>
              <w:t>protipovodňová ochrana</w:t>
            </w:r>
          </w:p>
        </w:tc>
        <w:tc>
          <w:tcPr>
            <w:tcW w:w="1188" w:type="dxa"/>
            <w:shd w:val="clear" w:color="auto" w:fill="C6EFCE"/>
            <w:noWrap/>
          </w:tcPr>
          <w:p w14:paraId="0191904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256" w:type="dxa"/>
            <w:shd w:val="clear" w:color="auto" w:fill="C6EFCE"/>
            <w:noWrap/>
          </w:tcPr>
          <w:p w14:paraId="48599F5B" w14:textId="08C584F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Opätovné zalesňovanie, obnova</w:t>
            </w:r>
            <w:r w:rsidR="00AB26B3" w:rsidRPr="00AB26B3">
              <w:rPr>
                <w:noProof/>
                <w:spacing w:val="-6"/>
                <w:lang w:val="sk-SK"/>
              </w:rPr>
              <w:t xml:space="preserve"> a </w:t>
            </w:r>
            <w:r w:rsidRPr="00AB26B3">
              <w:rPr>
                <w:noProof/>
                <w:spacing w:val="-6"/>
                <w:lang w:val="sk-SK"/>
              </w:rPr>
              <w:t>prevencia – zmluvy 1</w:t>
            </w:r>
          </w:p>
        </w:tc>
        <w:tc>
          <w:tcPr>
            <w:tcW w:w="1560" w:type="dxa"/>
            <w:shd w:val="clear" w:color="auto" w:fill="C6EFCE"/>
            <w:noWrap/>
          </w:tcPr>
          <w:p w14:paraId="3143478B" w14:textId="0193571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992" w:type="dxa"/>
            <w:shd w:val="clear" w:color="auto" w:fill="C6EFCE"/>
            <w:noWrap/>
          </w:tcPr>
          <w:p w14:paraId="7D1C6A7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462E838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0178690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88" w:type="dxa"/>
            <w:shd w:val="clear" w:color="auto" w:fill="C6EFCE"/>
            <w:noWrap/>
          </w:tcPr>
          <w:p w14:paraId="0362C22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23" w:type="dxa"/>
            <w:shd w:val="clear" w:color="auto" w:fill="C6EFCE"/>
            <w:noWrap/>
          </w:tcPr>
          <w:p w14:paraId="7EBE64D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148" w:type="dxa"/>
            <w:shd w:val="clear" w:color="auto" w:fill="C6EFCE"/>
            <w:noWrap/>
          </w:tcPr>
          <w:p w14:paraId="692FBDA4" w14:textId="66D5D4E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 na Antinero programy I</w:t>
            </w:r>
            <w:r w:rsidR="00AB26B3" w:rsidRPr="00AB26B3">
              <w:rPr>
                <w:noProof/>
                <w:spacing w:val="-6"/>
                <w:lang w:val="sk-SK"/>
              </w:rPr>
              <w:t xml:space="preserve"> a </w:t>
            </w:r>
            <w:r w:rsidRPr="00AB26B3">
              <w:rPr>
                <w:noProof/>
                <w:spacing w:val="-6"/>
                <w:lang w:val="sk-SK"/>
              </w:rPr>
              <w:t>II na modernizáciu 37 500 ha degradovaných lesných ekosystémov vrátane čistenia lesov</w:t>
            </w:r>
            <w:r w:rsidR="00AB26B3" w:rsidRPr="00AB26B3">
              <w:rPr>
                <w:noProof/>
                <w:spacing w:val="-6"/>
                <w:lang w:val="sk-SK"/>
              </w:rPr>
              <w:t xml:space="preserve"> a </w:t>
            </w:r>
            <w:r w:rsidRPr="00AB26B3">
              <w:rPr>
                <w:noProof/>
                <w:spacing w:val="-6"/>
                <w:lang w:val="sk-SK"/>
              </w:rPr>
              <w:t>zalesnených oblastí</w:t>
            </w:r>
            <w:r w:rsidR="00AB26B3" w:rsidRPr="00AB26B3">
              <w:rPr>
                <w:noProof/>
                <w:spacing w:val="-6"/>
                <w:lang w:val="sk-SK"/>
              </w:rPr>
              <w:t xml:space="preserve"> a </w:t>
            </w:r>
            <w:r w:rsidRPr="00AB26B3">
              <w:rPr>
                <w:noProof/>
                <w:spacing w:val="-6"/>
                <w:lang w:val="sk-SK"/>
              </w:rPr>
              <w:t>údržby siete lesných ciest</w:t>
            </w:r>
            <w:r w:rsidR="00AB26B3" w:rsidRPr="00AB26B3">
              <w:rPr>
                <w:noProof/>
                <w:spacing w:val="-6"/>
                <w:lang w:val="sk-SK"/>
              </w:rPr>
              <w:t xml:space="preserve"> a </w:t>
            </w:r>
            <w:r w:rsidRPr="00AB26B3">
              <w:rPr>
                <w:noProof/>
                <w:spacing w:val="-6"/>
                <w:lang w:val="sk-SK"/>
              </w:rPr>
              <w:t xml:space="preserve">existujúcich požiarnych zón. </w:t>
            </w:r>
          </w:p>
        </w:tc>
      </w:tr>
      <w:tr w:rsidR="00302FC1" w:rsidRPr="00AB26B3" w14:paraId="6959ACED" w14:textId="77777777">
        <w:trPr>
          <w:trHeight w:val="313"/>
          <w:tblHeader/>
        </w:trPr>
        <w:tc>
          <w:tcPr>
            <w:tcW w:w="708" w:type="dxa"/>
            <w:shd w:val="clear" w:color="auto" w:fill="C6EFCE"/>
            <w:noWrap/>
          </w:tcPr>
          <w:p w14:paraId="61ECEA3E" w14:textId="77777777" w:rsidR="00302FC1" w:rsidRPr="00AB26B3" w:rsidRDefault="00D64F26">
            <w:pPr>
              <w:pStyle w:val="P68B1DB1-Normal12"/>
              <w:spacing w:after="0" w:line="240" w:lineRule="auto"/>
              <w:rPr>
                <w:noProof/>
                <w:spacing w:val="-6"/>
                <w:lang w:val="sk-SK"/>
              </w:rPr>
            </w:pPr>
            <w:r w:rsidRPr="00AB26B3">
              <w:rPr>
                <w:noProof/>
                <w:spacing w:val="-6"/>
                <w:lang w:val="sk-SK"/>
              </w:rPr>
              <w:t>62</w:t>
            </w:r>
          </w:p>
        </w:tc>
        <w:tc>
          <w:tcPr>
            <w:tcW w:w="2040" w:type="dxa"/>
            <w:shd w:val="clear" w:color="auto" w:fill="C6EFCE"/>
            <w:noWrap/>
          </w:tcPr>
          <w:p w14:paraId="6EB3D727" w14:textId="73C39828"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16849_ Národný plán zalesňovania, obnova</w:t>
            </w:r>
            <w:r w:rsidR="00AB26B3" w:rsidRPr="00AB26B3">
              <w:rPr>
                <w:noProof/>
                <w:spacing w:val="-6"/>
                <w:lang w:val="sk-SK"/>
              </w:rPr>
              <w:t xml:space="preserve"> a </w:t>
            </w:r>
            <w:r w:rsidRPr="00AB26B3">
              <w:rPr>
                <w:noProof/>
                <w:spacing w:val="-6"/>
                <w:lang w:val="sk-SK"/>
              </w:rPr>
              <w:t>prevencia („antiNERO“), opatrenia proti erózii</w:t>
            </w:r>
            <w:r w:rsidR="00AB26B3" w:rsidRPr="00AB26B3">
              <w:rPr>
                <w:noProof/>
                <w:spacing w:val="-6"/>
                <w:lang w:val="sk-SK"/>
              </w:rPr>
              <w:t xml:space="preserve"> a </w:t>
            </w:r>
            <w:r w:rsidRPr="00AB26B3">
              <w:rPr>
                <w:noProof/>
                <w:spacing w:val="-6"/>
                <w:lang w:val="sk-SK"/>
              </w:rPr>
              <w:t>protipovodňová ochrana</w:t>
            </w:r>
          </w:p>
        </w:tc>
        <w:tc>
          <w:tcPr>
            <w:tcW w:w="1188" w:type="dxa"/>
            <w:shd w:val="clear" w:color="auto" w:fill="C6EFCE"/>
            <w:noWrap/>
          </w:tcPr>
          <w:p w14:paraId="0451DA93"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2256" w:type="dxa"/>
            <w:shd w:val="clear" w:color="auto" w:fill="C6EFCE"/>
            <w:noWrap/>
          </w:tcPr>
          <w:p w14:paraId="533ADFFD" w14:textId="73436202" w:rsidR="00302FC1" w:rsidRPr="00AB26B3" w:rsidRDefault="00D64F26">
            <w:pPr>
              <w:pStyle w:val="P68B1DB1-Normal12"/>
              <w:spacing w:after="0" w:line="240" w:lineRule="auto"/>
              <w:rPr>
                <w:noProof/>
                <w:spacing w:val="-6"/>
                <w:lang w:val="sk-SK"/>
              </w:rPr>
            </w:pPr>
            <w:r w:rsidRPr="00AB26B3">
              <w:rPr>
                <w:noProof/>
                <w:spacing w:val="-6"/>
                <w:lang w:val="sk-SK"/>
              </w:rPr>
              <w:t>Opätovné zalesňovanie, obnova</w:t>
            </w:r>
            <w:r w:rsidR="00AB26B3" w:rsidRPr="00AB26B3">
              <w:rPr>
                <w:noProof/>
                <w:spacing w:val="-6"/>
                <w:lang w:val="sk-SK"/>
              </w:rPr>
              <w:t xml:space="preserve"> a </w:t>
            </w:r>
            <w:r w:rsidRPr="00AB26B3">
              <w:rPr>
                <w:noProof/>
                <w:spacing w:val="-6"/>
                <w:lang w:val="sk-SK"/>
              </w:rPr>
              <w:t>prevencia – zmluvy 2</w:t>
            </w:r>
          </w:p>
        </w:tc>
        <w:tc>
          <w:tcPr>
            <w:tcW w:w="1560" w:type="dxa"/>
            <w:shd w:val="clear" w:color="auto" w:fill="C6EFCE"/>
            <w:noWrap/>
          </w:tcPr>
          <w:p w14:paraId="14AFDBA8" w14:textId="687E7C65" w:rsidR="00302FC1"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992" w:type="dxa"/>
            <w:shd w:val="clear" w:color="auto" w:fill="C6EFCE"/>
            <w:noWrap/>
          </w:tcPr>
          <w:p w14:paraId="398A815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1190C11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794D85E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88" w:type="dxa"/>
            <w:shd w:val="clear" w:color="auto" w:fill="C6EFCE"/>
            <w:noWrap/>
          </w:tcPr>
          <w:p w14:paraId="2E178966"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823" w:type="dxa"/>
            <w:shd w:val="clear" w:color="auto" w:fill="C6EFCE"/>
            <w:noWrap/>
          </w:tcPr>
          <w:p w14:paraId="57FEDFCD" w14:textId="77777777" w:rsidR="00302FC1" w:rsidRPr="00AB26B3" w:rsidRDefault="00D64F26">
            <w:pPr>
              <w:pStyle w:val="P68B1DB1-Normal12"/>
              <w:spacing w:after="0" w:line="240" w:lineRule="auto"/>
              <w:rPr>
                <w:noProof/>
                <w:spacing w:val="-6"/>
                <w:lang w:val="sk-SK"/>
              </w:rPr>
            </w:pPr>
            <w:r w:rsidRPr="00AB26B3">
              <w:rPr>
                <w:noProof/>
                <w:spacing w:val="-6"/>
                <w:lang w:val="sk-SK"/>
              </w:rPr>
              <w:t>2023</w:t>
            </w:r>
          </w:p>
        </w:tc>
        <w:tc>
          <w:tcPr>
            <w:tcW w:w="3148" w:type="dxa"/>
            <w:shd w:val="clear" w:color="auto" w:fill="C6EFCE"/>
            <w:noWrap/>
          </w:tcPr>
          <w:p w14:paraId="67DC9BD4" w14:textId="0D94AF5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Oznámenie</w:t>
            </w:r>
            <w:r w:rsidR="00AB26B3" w:rsidRPr="00AB26B3">
              <w:rPr>
                <w:noProof/>
                <w:spacing w:val="-6"/>
                <w:lang w:val="sk-SK"/>
              </w:rPr>
              <w:t xml:space="preserve"> o </w:t>
            </w:r>
            <w:r w:rsidRPr="00AB26B3">
              <w:rPr>
                <w:noProof/>
                <w:spacing w:val="-6"/>
                <w:lang w:val="sk-SK"/>
              </w:rPr>
              <w:t>zadaní všetkých zákaziek na:</w:t>
            </w:r>
          </w:p>
          <w:p w14:paraId="1553047C" w14:textId="08522EB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Obnova 5 700 ha degradovaných lesných ekosystémov</w:t>
            </w:r>
            <w:r w:rsidR="00AB26B3" w:rsidRPr="00AB26B3">
              <w:rPr>
                <w:noProof/>
                <w:spacing w:val="-6"/>
                <w:lang w:val="sk-SK"/>
              </w:rPr>
              <w:t xml:space="preserve"> v </w:t>
            </w:r>
            <w:r w:rsidRPr="00AB26B3">
              <w:rPr>
                <w:noProof/>
                <w:spacing w:val="-6"/>
                <w:lang w:val="sk-SK"/>
              </w:rPr>
              <w:t>Grécku prostredníctvom sadenia výsadby</w:t>
            </w:r>
            <w:r w:rsidR="00AB26B3" w:rsidRPr="00AB26B3">
              <w:rPr>
                <w:noProof/>
                <w:spacing w:val="-6"/>
                <w:lang w:val="sk-SK"/>
              </w:rPr>
              <w:t xml:space="preserve"> s </w:t>
            </w:r>
            <w:r w:rsidRPr="00AB26B3">
              <w:rPr>
                <w:noProof/>
                <w:spacing w:val="-6"/>
                <w:lang w:val="sk-SK"/>
              </w:rPr>
              <w:t>využitím aspoň 50</w:t>
            </w:r>
            <w:r w:rsidR="00AB26B3" w:rsidRPr="00AB26B3">
              <w:rPr>
                <w:noProof/>
                <w:spacing w:val="-6"/>
                <w:lang w:val="sk-SK"/>
              </w:rPr>
              <w:t> %</w:t>
            </w:r>
            <w:r w:rsidRPr="00AB26B3">
              <w:rPr>
                <w:noProof/>
                <w:spacing w:val="-6"/>
                <w:lang w:val="sk-SK"/>
              </w:rPr>
              <w:t xml:space="preserve"> pôvodných druhov; podielu a</w:t>
            </w:r>
          </w:p>
          <w:p w14:paraId="2CDFD5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Modernizácia štyroch lesných škôlok; podielu a</w:t>
            </w:r>
          </w:p>
          <w:p w14:paraId="6269F1A2" w14:textId="77777777" w:rsidR="00AB26B3" w:rsidRPr="00AB26B3" w:rsidRDefault="00D64F26">
            <w:pPr>
              <w:pStyle w:val="P68B1DB1-Normal12"/>
              <w:spacing w:after="0" w:line="240" w:lineRule="auto"/>
              <w:rPr>
                <w:noProof/>
                <w:spacing w:val="-6"/>
                <w:lang w:val="sk-SK"/>
              </w:rPr>
            </w:pPr>
            <w:r w:rsidRPr="00AB26B3">
              <w:rPr>
                <w:noProof/>
                <w:spacing w:val="-6"/>
                <w:lang w:val="sk-SK"/>
              </w:rPr>
              <w:t>3. Pilotné vykonávanie národného plánu zalesňovania; podielu</w:t>
            </w:r>
            <w:r w:rsidR="00AB26B3" w:rsidRPr="00AB26B3">
              <w:rPr>
                <w:noProof/>
                <w:spacing w:val="-6"/>
                <w:lang w:val="sk-SK"/>
              </w:rPr>
              <w:t xml:space="preserve"> a</w:t>
            </w:r>
          </w:p>
          <w:p w14:paraId="3E26961D" w14:textId="10CB4D87" w:rsidR="00302FC1" w:rsidRPr="00AB26B3" w:rsidRDefault="00D64F26">
            <w:pPr>
              <w:pStyle w:val="P68B1DB1-Normal12"/>
              <w:spacing w:after="0" w:line="240" w:lineRule="auto"/>
              <w:rPr>
                <w:noProof/>
                <w:spacing w:val="-6"/>
                <w:lang w:val="sk-SK"/>
              </w:rPr>
            </w:pPr>
            <w:r w:rsidRPr="00AB26B3">
              <w:rPr>
                <w:noProof/>
                <w:spacing w:val="-6"/>
                <w:lang w:val="sk-SK"/>
              </w:rPr>
              <w:t>4. Protierózne</w:t>
            </w:r>
            <w:r w:rsidR="00AB26B3" w:rsidRPr="00AB26B3">
              <w:rPr>
                <w:noProof/>
                <w:spacing w:val="-6"/>
                <w:lang w:val="sk-SK"/>
              </w:rPr>
              <w:t xml:space="preserve"> a </w:t>
            </w:r>
            <w:r w:rsidRPr="00AB26B3">
              <w:rPr>
                <w:noProof/>
                <w:spacing w:val="-6"/>
                <w:lang w:val="sk-SK"/>
              </w:rPr>
              <w:t>protipovodňové opatrenia</w:t>
            </w:r>
            <w:r w:rsidR="00AB26B3" w:rsidRPr="00AB26B3">
              <w:rPr>
                <w:noProof/>
                <w:spacing w:val="-6"/>
                <w:lang w:val="sk-SK"/>
              </w:rPr>
              <w:t xml:space="preserve"> v </w:t>
            </w:r>
            <w:r w:rsidRPr="00AB26B3">
              <w:rPr>
                <w:noProof/>
                <w:spacing w:val="-6"/>
                <w:lang w:val="sk-SK"/>
              </w:rPr>
              <w:t>mestách Evros</w:t>
            </w:r>
            <w:r w:rsidR="00AB26B3" w:rsidRPr="00AB26B3">
              <w:rPr>
                <w:noProof/>
                <w:spacing w:val="-6"/>
                <w:lang w:val="sk-SK"/>
              </w:rPr>
              <w:t xml:space="preserve"> a </w:t>
            </w:r>
            <w:r w:rsidRPr="00AB26B3">
              <w:rPr>
                <w:noProof/>
                <w:spacing w:val="-6"/>
                <w:lang w:val="sk-SK"/>
              </w:rPr>
              <w:t>Rhodopes, ktoré pokrývajú celkovo 5000 hektárov protieróznych prác</w:t>
            </w:r>
            <w:r w:rsidR="00AB26B3" w:rsidRPr="00AB26B3">
              <w:rPr>
                <w:noProof/>
                <w:spacing w:val="-6"/>
                <w:lang w:val="sk-SK"/>
              </w:rPr>
              <w:t xml:space="preserve"> a </w:t>
            </w:r>
            <w:r w:rsidRPr="00AB26B3">
              <w:rPr>
                <w:noProof/>
                <w:spacing w:val="-6"/>
                <w:lang w:val="sk-SK"/>
              </w:rPr>
              <w:t xml:space="preserve">175 000 m² protipovodňových ochranných prác. </w:t>
            </w:r>
          </w:p>
        </w:tc>
      </w:tr>
      <w:tr w:rsidR="00302FC1" w:rsidRPr="00AB26B3" w14:paraId="29ABCA7E" w14:textId="77777777">
        <w:trPr>
          <w:trHeight w:val="313"/>
          <w:tblHeader/>
        </w:trPr>
        <w:tc>
          <w:tcPr>
            <w:tcW w:w="708" w:type="dxa"/>
            <w:shd w:val="clear" w:color="auto" w:fill="C6EFCE"/>
            <w:noWrap/>
          </w:tcPr>
          <w:p w14:paraId="304BEA7F" w14:textId="77777777" w:rsidR="00302FC1" w:rsidRPr="00AB26B3" w:rsidRDefault="00D64F26">
            <w:pPr>
              <w:pStyle w:val="P68B1DB1-Normal12"/>
              <w:spacing w:after="0" w:line="240" w:lineRule="auto"/>
              <w:rPr>
                <w:noProof/>
                <w:spacing w:val="-6"/>
                <w:lang w:val="sk-SK"/>
              </w:rPr>
            </w:pPr>
            <w:r w:rsidRPr="00AB26B3">
              <w:rPr>
                <w:noProof/>
                <w:spacing w:val="-6"/>
                <w:lang w:val="sk-SK"/>
              </w:rPr>
              <w:t>63</w:t>
            </w:r>
          </w:p>
        </w:tc>
        <w:tc>
          <w:tcPr>
            <w:tcW w:w="2040" w:type="dxa"/>
            <w:shd w:val="clear" w:color="auto" w:fill="C6EFCE"/>
            <w:noWrap/>
          </w:tcPr>
          <w:p w14:paraId="6B6FE147" w14:textId="23E10BE0"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16849_ Národný plán zalesňovania, obnova</w:t>
            </w:r>
            <w:r w:rsidR="00AB26B3" w:rsidRPr="00AB26B3">
              <w:rPr>
                <w:noProof/>
                <w:spacing w:val="-6"/>
                <w:lang w:val="sk-SK"/>
              </w:rPr>
              <w:t xml:space="preserve"> a </w:t>
            </w:r>
            <w:r w:rsidRPr="00AB26B3">
              <w:rPr>
                <w:noProof/>
                <w:spacing w:val="-6"/>
                <w:lang w:val="sk-SK"/>
              </w:rPr>
              <w:t>prevencia („antiNERO“), opatrenia proti erózii</w:t>
            </w:r>
            <w:r w:rsidR="00AB26B3" w:rsidRPr="00AB26B3">
              <w:rPr>
                <w:noProof/>
                <w:spacing w:val="-6"/>
                <w:lang w:val="sk-SK"/>
              </w:rPr>
              <w:t xml:space="preserve"> a </w:t>
            </w:r>
            <w:r w:rsidRPr="00AB26B3">
              <w:rPr>
                <w:noProof/>
                <w:spacing w:val="-6"/>
                <w:lang w:val="sk-SK"/>
              </w:rPr>
              <w:t>protipovodňová ochrana</w:t>
            </w:r>
          </w:p>
        </w:tc>
        <w:tc>
          <w:tcPr>
            <w:tcW w:w="1188" w:type="dxa"/>
            <w:shd w:val="clear" w:color="auto" w:fill="C6EFCE"/>
            <w:noWrap/>
          </w:tcPr>
          <w:p w14:paraId="3E224426"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2256" w:type="dxa"/>
            <w:shd w:val="clear" w:color="auto" w:fill="C6EFCE"/>
            <w:noWrap/>
          </w:tcPr>
          <w:p w14:paraId="439D3A40" w14:textId="5F4C4F36" w:rsidR="00302FC1" w:rsidRPr="00AB26B3" w:rsidRDefault="00D64F26">
            <w:pPr>
              <w:pStyle w:val="P68B1DB1-Normal12"/>
              <w:spacing w:after="0" w:line="240" w:lineRule="auto"/>
              <w:rPr>
                <w:noProof/>
                <w:spacing w:val="-6"/>
                <w:lang w:val="sk-SK"/>
              </w:rPr>
            </w:pPr>
            <w:r w:rsidRPr="00AB26B3">
              <w:rPr>
                <w:noProof/>
                <w:spacing w:val="-6"/>
                <w:lang w:val="sk-SK"/>
              </w:rPr>
              <w:t>Opätovné zalesňovanie, obnova</w:t>
            </w:r>
            <w:r w:rsidR="00AB26B3" w:rsidRPr="00AB26B3">
              <w:rPr>
                <w:noProof/>
                <w:spacing w:val="-6"/>
                <w:lang w:val="sk-SK"/>
              </w:rPr>
              <w:t xml:space="preserve"> a </w:t>
            </w:r>
            <w:r w:rsidRPr="00AB26B3">
              <w:rPr>
                <w:noProof/>
                <w:spacing w:val="-6"/>
                <w:lang w:val="sk-SK"/>
              </w:rPr>
              <w:t>prevencia – vykonávanie</w:t>
            </w:r>
          </w:p>
        </w:tc>
        <w:tc>
          <w:tcPr>
            <w:tcW w:w="1560" w:type="dxa"/>
            <w:shd w:val="clear" w:color="auto" w:fill="C6EFCE"/>
            <w:noWrap/>
          </w:tcPr>
          <w:p w14:paraId="01D077EE" w14:textId="09A452EE" w:rsidR="00302FC1" w:rsidRPr="00AB26B3" w:rsidRDefault="00D64F26">
            <w:pPr>
              <w:pStyle w:val="P68B1DB1-Normal12"/>
              <w:spacing w:after="0" w:line="240" w:lineRule="auto"/>
              <w:rPr>
                <w:noProof/>
                <w:spacing w:val="-6"/>
                <w:lang w:val="sk-SK"/>
              </w:rPr>
            </w:pPr>
            <w:r w:rsidRPr="00AB26B3">
              <w:rPr>
                <w:noProof/>
                <w:spacing w:val="-6"/>
                <w:lang w:val="sk-SK"/>
              </w:rPr>
              <w:t>Vykonávanie prác</w:t>
            </w:r>
          </w:p>
        </w:tc>
        <w:tc>
          <w:tcPr>
            <w:tcW w:w="992" w:type="dxa"/>
            <w:shd w:val="clear" w:color="auto" w:fill="C6EFCE"/>
            <w:noWrap/>
          </w:tcPr>
          <w:p w14:paraId="35958E4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4580D33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7A342BD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88" w:type="dxa"/>
            <w:shd w:val="clear" w:color="auto" w:fill="C6EFCE"/>
            <w:noWrap/>
          </w:tcPr>
          <w:p w14:paraId="3E82B3CB"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823" w:type="dxa"/>
            <w:shd w:val="clear" w:color="auto" w:fill="C6EFCE"/>
            <w:noWrap/>
          </w:tcPr>
          <w:p w14:paraId="373840BF"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3148" w:type="dxa"/>
            <w:shd w:val="clear" w:color="auto" w:fill="C6EFCE"/>
            <w:noWrap/>
          </w:tcPr>
          <w:p w14:paraId="1AD08FAB" w14:textId="77777777" w:rsidR="00302FC1" w:rsidRPr="00AB26B3" w:rsidRDefault="00D64F26">
            <w:pPr>
              <w:pStyle w:val="P68B1DB1-ListParagraph19"/>
              <w:numPr>
                <w:ilvl w:val="0"/>
                <w:numId w:val="91"/>
              </w:numPr>
              <w:spacing w:after="0" w:line="240" w:lineRule="auto"/>
              <w:rPr>
                <w:noProof/>
                <w:spacing w:val="-6"/>
                <w:lang w:val="sk-SK"/>
              </w:rPr>
            </w:pPr>
            <w:r w:rsidRPr="00AB26B3">
              <w:rPr>
                <w:noProof/>
                <w:spacing w:val="-6"/>
                <w:lang w:val="sk-SK"/>
              </w:rPr>
              <w:t>Obnova 5 084 ha degradovaných lesných ekosystémov;</w:t>
            </w:r>
          </w:p>
          <w:p w14:paraId="4E244D1D" w14:textId="145379F9" w:rsidR="00302FC1" w:rsidRPr="00AB26B3" w:rsidRDefault="00D64F26">
            <w:pPr>
              <w:pStyle w:val="P68B1DB1-ListParagraph19"/>
              <w:numPr>
                <w:ilvl w:val="0"/>
                <w:numId w:val="91"/>
              </w:numPr>
              <w:spacing w:after="0" w:line="240" w:lineRule="auto"/>
              <w:rPr>
                <w:noProof/>
                <w:spacing w:val="-6"/>
                <w:lang w:val="sk-SK"/>
              </w:rPr>
            </w:pPr>
            <w:r w:rsidRPr="00AB26B3">
              <w:rPr>
                <w:noProof/>
                <w:spacing w:val="-6"/>
                <w:lang w:val="sk-SK"/>
              </w:rPr>
              <w:t>AntiNERO I, II, III, IV &amp;</w:t>
            </w:r>
            <w:r w:rsidR="00AB26B3" w:rsidRPr="00AB26B3">
              <w:rPr>
                <w:noProof/>
                <w:spacing w:val="-6"/>
                <w:lang w:val="sk-SK"/>
              </w:rPr>
              <w:t xml:space="preserve"> V </w:t>
            </w:r>
            <w:r w:rsidRPr="00AB26B3">
              <w:rPr>
                <w:noProof/>
                <w:spacing w:val="-6"/>
                <w:lang w:val="sk-SK"/>
              </w:rPr>
              <w:t>na modernizáciu 91 640 ha degradovaných ekosystémov;</w:t>
            </w:r>
          </w:p>
          <w:p w14:paraId="61AF4200" w14:textId="0DA78156" w:rsidR="00302FC1" w:rsidRPr="00AB26B3" w:rsidRDefault="00D64F26">
            <w:pPr>
              <w:pStyle w:val="P68B1DB1-ListParagraph19"/>
              <w:numPr>
                <w:ilvl w:val="0"/>
                <w:numId w:val="91"/>
              </w:numPr>
              <w:spacing w:after="0" w:line="240" w:lineRule="auto"/>
              <w:rPr>
                <w:noProof/>
                <w:spacing w:val="-6"/>
                <w:lang w:val="sk-SK"/>
              </w:rPr>
            </w:pPr>
            <w:r w:rsidRPr="00AB26B3">
              <w:rPr>
                <w:noProof/>
                <w:spacing w:val="-6"/>
                <w:lang w:val="sk-SK"/>
              </w:rPr>
              <w:t>Protierózne opatrenia vzťahujúce sa na 8 020 ha;</w:t>
            </w:r>
          </w:p>
          <w:p w14:paraId="498FB8A7" w14:textId="537AA786" w:rsidR="00302FC1" w:rsidRPr="00AB26B3" w:rsidRDefault="00D64F26">
            <w:pPr>
              <w:pStyle w:val="P68B1DB1-ListParagraph19"/>
              <w:numPr>
                <w:ilvl w:val="0"/>
                <w:numId w:val="91"/>
              </w:numPr>
              <w:spacing w:after="0" w:line="240" w:lineRule="auto"/>
              <w:rPr>
                <w:noProof/>
                <w:spacing w:val="-6"/>
                <w:lang w:val="sk-SK"/>
              </w:rPr>
            </w:pPr>
            <w:r w:rsidRPr="00AB26B3">
              <w:rPr>
                <w:noProof/>
                <w:spacing w:val="-6"/>
                <w:lang w:val="sk-SK"/>
              </w:rPr>
              <w:t>Protipovodňové opatrenia pokrývajúce 401 437 m²</w:t>
            </w:r>
          </w:p>
        </w:tc>
      </w:tr>
      <w:tr w:rsidR="00302FC1" w:rsidRPr="00AB26B3" w14:paraId="040FEA87" w14:textId="77777777">
        <w:trPr>
          <w:trHeight w:val="819"/>
          <w:tblHeader/>
        </w:trPr>
        <w:tc>
          <w:tcPr>
            <w:tcW w:w="708" w:type="dxa"/>
            <w:shd w:val="clear" w:color="auto" w:fill="C6EFCE"/>
            <w:noWrap/>
          </w:tcPr>
          <w:p w14:paraId="6CC7B1A7" w14:textId="58A617D2" w:rsidR="00302FC1" w:rsidRPr="00AB26B3" w:rsidRDefault="00D64F26">
            <w:pPr>
              <w:pStyle w:val="P68B1DB1-Normal13"/>
              <w:spacing w:after="0" w:line="240" w:lineRule="auto"/>
              <w:rPr>
                <w:noProof/>
                <w:spacing w:val="-6"/>
                <w:szCs w:val="18"/>
                <w:lang w:val="sk-SK"/>
              </w:rPr>
            </w:pPr>
            <w:r w:rsidRPr="00AB26B3">
              <w:rPr>
                <w:noProof/>
                <w:spacing w:val="-6"/>
                <w:lang w:val="sk-SK"/>
              </w:rPr>
              <w:t>64</w:t>
            </w:r>
          </w:p>
        </w:tc>
        <w:tc>
          <w:tcPr>
            <w:tcW w:w="2040" w:type="dxa"/>
            <w:shd w:val="clear" w:color="auto" w:fill="C6EFCE"/>
            <w:noWrap/>
          </w:tcPr>
          <w:p w14:paraId="43F74EDA" w14:textId="286F2629" w:rsidR="00302FC1" w:rsidRPr="00AB26B3" w:rsidRDefault="00D64F26">
            <w:pPr>
              <w:pStyle w:val="P68B1DB1-Normal13"/>
              <w:spacing w:after="0" w:line="240" w:lineRule="auto"/>
              <w:rPr>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16851_Ochrana biodiverzity ako hnacia sila udržateľného rastu</w:t>
            </w:r>
          </w:p>
        </w:tc>
        <w:tc>
          <w:tcPr>
            <w:tcW w:w="1188" w:type="dxa"/>
            <w:shd w:val="clear" w:color="auto" w:fill="C6EFCE"/>
            <w:noWrap/>
          </w:tcPr>
          <w:p w14:paraId="0198CC5A" w14:textId="70BA9CA8" w:rsidR="00302FC1" w:rsidRPr="00AB26B3" w:rsidRDefault="00D64F26">
            <w:pPr>
              <w:pStyle w:val="P68B1DB1-Normal13"/>
              <w:spacing w:after="0" w:line="240" w:lineRule="auto"/>
              <w:rPr>
                <w:noProof/>
                <w:spacing w:val="-6"/>
                <w:szCs w:val="18"/>
                <w:lang w:val="sk-SK"/>
              </w:rPr>
            </w:pPr>
            <w:r w:rsidRPr="00AB26B3">
              <w:rPr>
                <w:noProof/>
                <w:spacing w:val="-6"/>
                <w:lang w:val="sk-SK"/>
              </w:rPr>
              <w:t>Míľnik</w:t>
            </w:r>
          </w:p>
        </w:tc>
        <w:tc>
          <w:tcPr>
            <w:tcW w:w="2256" w:type="dxa"/>
            <w:shd w:val="clear" w:color="auto" w:fill="C6EFCE"/>
            <w:noWrap/>
          </w:tcPr>
          <w:p w14:paraId="5DE4534A" w14:textId="4218D8EF" w:rsidR="00302FC1" w:rsidRPr="00AB26B3" w:rsidRDefault="00D64F26">
            <w:pPr>
              <w:pStyle w:val="P68B1DB1-Normal12"/>
              <w:spacing w:after="0" w:line="240" w:lineRule="auto"/>
              <w:rPr>
                <w:noProof/>
                <w:spacing w:val="-6"/>
                <w:lang w:val="sk-SK"/>
              </w:rPr>
            </w:pPr>
            <w:r w:rsidRPr="00AB26B3">
              <w:rPr>
                <w:noProof/>
                <w:spacing w:val="-6"/>
                <w:lang w:val="sk-SK"/>
              </w:rPr>
              <w:t xml:space="preserve">Biodiverzita </w:t>
            </w:r>
          </w:p>
        </w:tc>
        <w:tc>
          <w:tcPr>
            <w:tcW w:w="1560" w:type="dxa"/>
            <w:shd w:val="clear" w:color="auto" w:fill="C6EFCE"/>
            <w:noWrap/>
          </w:tcPr>
          <w:p w14:paraId="4E47250F" w14:textId="57457930" w:rsidR="00302FC1" w:rsidRPr="00AB26B3" w:rsidRDefault="00D64F26">
            <w:pPr>
              <w:pStyle w:val="P68B1DB1-Normal12"/>
              <w:spacing w:after="0" w:line="240" w:lineRule="auto"/>
              <w:rPr>
                <w:noProof/>
                <w:spacing w:val="-6"/>
                <w:lang w:val="sk-SK"/>
              </w:rPr>
            </w:pPr>
            <w:r w:rsidRPr="00AB26B3">
              <w:rPr>
                <w:noProof/>
                <w:spacing w:val="-6"/>
                <w:lang w:val="sk-SK"/>
              </w:rPr>
              <w:t>Realizácia projektov, ako sa opisuje</w:t>
            </w:r>
            <w:r w:rsidR="00AB26B3" w:rsidRPr="00AB26B3">
              <w:rPr>
                <w:noProof/>
                <w:spacing w:val="-6"/>
                <w:lang w:val="sk-SK"/>
              </w:rPr>
              <w:t xml:space="preserve"> v </w:t>
            </w:r>
            <w:r w:rsidRPr="00AB26B3">
              <w:rPr>
                <w:noProof/>
                <w:spacing w:val="-6"/>
                <w:lang w:val="sk-SK"/>
              </w:rPr>
              <w:t>opise míľnika</w:t>
            </w:r>
          </w:p>
          <w:p w14:paraId="1B5C1960"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92" w:type="dxa"/>
            <w:shd w:val="clear" w:color="auto" w:fill="C6EFCE"/>
            <w:noWrap/>
          </w:tcPr>
          <w:p w14:paraId="37462E8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1A72A7F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3BA167F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88" w:type="dxa"/>
            <w:shd w:val="clear" w:color="auto" w:fill="C6EFCE"/>
            <w:noWrap/>
          </w:tcPr>
          <w:p w14:paraId="3A1D8CE0" w14:textId="1A65A14B" w:rsidR="00302FC1" w:rsidRPr="00AB26B3" w:rsidRDefault="00D64F26">
            <w:pPr>
              <w:pStyle w:val="P68B1DB1-Normal13"/>
              <w:spacing w:after="0" w:line="240" w:lineRule="auto"/>
              <w:rPr>
                <w:noProof/>
                <w:spacing w:val="-6"/>
                <w:szCs w:val="18"/>
                <w:lang w:val="sk-SK"/>
              </w:rPr>
            </w:pPr>
            <w:r w:rsidRPr="00AB26B3">
              <w:rPr>
                <w:noProof/>
                <w:spacing w:val="-6"/>
                <w:lang w:val="sk-SK"/>
              </w:rPr>
              <w:t>ŠTVRTÝ ŠTVRŤROK</w:t>
            </w:r>
          </w:p>
        </w:tc>
        <w:tc>
          <w:tcPr>
            <w:tcW w:w="823" w:type="dxa"/>
            <w:shd w:val="clear" w:color="auto" w:fill="C6EFCE"/>
            <w:noWrap/>
          </w:tcPr>
          <w:p w14:paraId="1AB23EAD" w14:textId="47E982DA" w:rsidR="00302FC1" w:rsidRPr="00AB26B3" w:rsidRDefault="00D64F26">
            <w:pPr>
              <w:pStyle w:val="P68B1DB1-Normal13"/>
              <w:spacing w:after="0" w:line="240" w:lineRule="auto"/>
              <w:rPr>
                <w:noProof/>
                <w:spacing w:val="-6"/>
                <w:szCs w:val="18"/>
                <w:lang w:val="sk-SK"/>
              </w:rPr>
            </w:pPr>
            <w:r w:rsidRPr="00AB26B3">
              <w:rPr>
                <w:noProof/>
                <w:spacing w:val="-6"/>
                <w:lang w:val="sk-SK"/>
              </w:rPr>
              <w:t>2025</w:t>
            </w:r>
          </w:p>
        </w:tc>
        <w:tc>
          <w:tcPr>
            <w:tcW w:w="3148" w:type="dxa"/>
            <w:shd w:val="clear" w:color="auto" w:fill="C6EFCE"/>
            <w:noWrap/>
          </w:tcPr>
          <w:p w14:paraId="644DBF68" w14:textId="67394674" w:rsidR="00302FC1" w:rsidRPr="00AB26B3" w:rsidRDefault="00D64F26">
            <w:pPr>
              <w:pStyle w:val="P68B1DB1-ListParagraph19"/>
              <w:numPr>
                <w:ilvl w:val="0"/>
                <w:numId w:val="92"/>
              </w:numPr>
              <w:spacing w:after="0" w:line="240" w:lineRule="auto"/>
              <w:rPr>
                <w:noProof/>
                <w:spacing w:val="-6"/>
                <w:lang w:val="sk-SK"/>
              </w:rPr>
            </w:pPr>
            <w:r w:rsidRPr="00AB26B3">
              <w:rPr>
                <w:noProof/>
                <w:spacing w:val="-6"/>
                <w:lang w:val="sk-SK"/>
              </w:rPr>
              <w:t>Vytvorenie siete trás</w:t>
            </w:r>
            <w:r w:rsidR="00AB26B3" w:rsidRPr="00AB26B3">
              <w:rPr>
                <w:noProof/>
                <w:spacing w:val="-6"/>
                <w:lang w:val="sk-SK"/>
              </w:rPr>
              <w:t xml:space="preserve"> a </w:t>
            </w:r>
            <w:r w:rsidRPr="00AB26B3">
              <w:rPr>
                <w:noProof/>
                <w:spacing w:val="-6"/>
                <w:lang w:val="sk-SK"/>
              </w:rPr>
              <w:t>turistických chodníkov;</w:t>
            </w:r>
          </w:p>
          <w:p w14:paraId="15B4ED4C" w14:textId="6B064E70" w:rsidR="00302FC1" w:rsidRPr="00AB26B3" w:rsidRDefault="00D64F26">
            <w:pPr>
              <w:pStyle w:val="P68B1DB1-ListParagraph19"/>
              <w:numPr>
                <w:ilvl w:val="0"/>
                <w:numId w:val="92"/>
              </w:numPr>
              <w:spacing w:after="0" w:line="240" w:lineRule="auto"/>
              <w:rPr>
                <w:noProof/>
                <w:spacing w:val="-6"/>
                <w:lang w:val="sk-SK"/>
              </w:rPr>
            </w:pPr>
            <w:r w:rsidRPr="00AB26B3">
              <w:rPr>
                <w:noProof/>
                <w:spacing w:val="-6"/>
                <w:lang w:val="sk-SK"/>
              </w:rPr>
              <w:t>Renovácia prírodného historického múzea na Kréte;</w:t>
            </w:r>
          </w:p>
          <w:p w14:paraId="59004164" w14:textId="45FD07E8" w:rsidR="00302FC1" w:rsidRPr="00AB26B3" w:rsidRDefault="00D64F26">
            <w:pPr>
              <w:pStyle w:val="P68B1DB1-ListParagraph19"/>
              <w:numPr>
                <w:ilvl w:val="0"/>
                <w:numId w:val="92"/>
              </w:numPr>
              <w:spacing w:after="0" w:line="240" w:lineRule="auto"/>
              <w:rPr>
                <w:noProof/>
                <w:spacing w:val="-6"/>
                <w:lang w:val="sk-SK"/>
              </w:rPr>
            </w:pPr>
            <w:r w:rsidRPr="00AB26B3">
              <w:rPr>
                <w:noProof/>
                <w:spacing w:val="-6"/>
                <w:lang w:val="sk-SK"/>
              </w:rPr>
              <w:t>Uznanie múzea prírodnej histórie Goulandris za národné múzeum prírodnej histórie;</w:t>
            </w:r>
          </w:p>
          <w:p w14:paraId="79D98FC9" w14:textId="4974F77C" w:rsidR="00302FC1" w:rsidRPr="00AB26B3" w:rsidRDefault="00D64F26">
            <w:pPr>
              <w:pStyle w:val="P68B1DB1-ListParagraph19"/>
              <w:numPr>
                <w:ilvl w:val="0"/>
                <w:numId w:val="92"/>
              </w:numPr>
              <w:spacing w:after="0" w:line="240" w:lineRule="auto"/>
              <w:rPr>
                <w:noProof/>
                <w:spacing w:val="-6"/>
                <w:lang w:val="sk-SK"/>
              </w:rPr>
            </w:pPr>
            <w:r w:rsidRPr="00AB26B3">
              <w:rPr>
                <w:noProof/>
                <w:spacing w:val="-6"/>
                <w:lang w:val="sk-SK"/>
              </w:rPr>
              <w:t>Dodanie vybavenia pre</w:t>
            </w:r>
          </w:p>
          <w:p w14:paraId="431B2965" w14:textId="05FF5586" w:rsidR="00302FC1" w:rsidRPr="00AB26B3" w:rsidRDefault="00D64F26">
            <w:pPr>
              <w:pStyle w:val="P68B1DB1-ListParagraph19"/>
              <w:numPr>
                <w:ilvl w:val="0"/>
                <w:numId w:val="92"/>
              </w:numPr>
              <w:spacing w:after="0" w:line="240" w:lineRule="auto"/>
              <w:rPr>
                <w:noProof/>
                <w:spacing w:val="-6"/>
                <w:lang w:val="sk-SK"/>
              </w:rPr>
            </w:pPr>
            <w:r w:rsidRPr="00AB26B3">
              <w:rPr>
                <w:noProof/>
                <w:spacing w:val="-6"/>
                <w:lang w:val="sk-SK"/>
              </w:rPr>
              <w:t>systém monitorovania</w:t>
            </w:r>
            <w:r w:rsidR="00AB26B3" w:rsidRPr="00AB26B3">
              <w:rPr>
                <w:noProof/>
                <w:spacing w:val="-6"/>
                <w:lang w:val="sk-SK"/>
              </w:rPr>
              <w:t xml:space="preserve"> a </w:t>
            </w:r>
            <w:r w:rsidRPr="00AB26B3">
              <w:rPr>
                <w:noProof/>
                <w:spacing w:val="-6"/>
                <w:lang w:val="sk-SK"/>
              </w:rPr>
              <w:t>hliadkovania</w:t>
            </w:r>
            <w:r w:rsidR="00AB26B3" w:rsidRPr="00AB26B3">
              <w:rPr>
                <w:noProof/>
                <w:spacing w:val="-6"/>
                <w:lang w:val="sk-SK"/>
              </w:rPr>
              <w:t xml:space="preserve"> v </w:t>
            </w:r>
            <w:r w:rsidRPr="00AB26B3">
              <w:rPr>
                <w:noProof/>
                <w:spacing w:val="-6"/>
                <w:lang w:val="sk-SK"/>
              </w:rPr>
              <w:t>chránených oblastiach.</w:t>
            </w:r>
          </w:p>
        </w:tc>
      </w:tr>
    </w:tbl>
    <w:p w14:paraId="3E8405DC" w14:textId="77777777" w:rsidR="00302FC1" w:rsidRPr="00AB26B3" w:rsidRDefault="00302FC1">
      <w:pPr>
        <w:rPr>
          <w:rFonts w:ascii="Times New Roman" w:hAnsi="Times New Roman"/>
          <w:noProof/>
          <w:spacing w:val="-6"/>
          <w:lang w:val="sk-SK"/>
        </w:rPr>
      </w:pPr>
    </w:p>
    <w:p w14:paraId="63BE30A7" w14:textId="77777777" w:rsidR="00302FC1" w:rsidRPr="00AB26B3" w:rsidRDefault="00302FC1">
      <w:pPr>
        <w:keepNext/>
        <w:keepLines/>
        <w:spacing w:before="240" w:after="0" w:line="240" w:lineRule="auto"/>
        <w:jc w:val="both"/>
        <w:outlineLvl w:val="4"/>
        <w:rPr>
          <w:rFonts w:ascii="Times New Roman" w:hAnsi="Times New Roman"/>
          <w:noProof/>
          <w:color w:val="365F91"/>
          <w:spacing w:val="-6"/>
          <w:sz w:val="24"/>
          <w:lang w:val="sk-SK"/>
        </w:rPr>
        <w:sectPr w:rsidR="00302FC1" w:rsidRPr="00AB26B3" w:rsidSect="00315FC0">
          <w:headerReference w:type="default" r:id="rId96"/>
          <w:footerReference w:type="default" r:id="rId97"/>
          <w:pgSz w:w="16839" w:h="11907" w:orient="landscape"/>
          <w:pgMar w:top="720" w:right="720" w:bottom="720" w:left="720" w:header="709" w:footer="709" w:gutter="0"/>
          <w:cols w:space="720"/>
          <w:docGrid w:linePitch="360"/>
        </w:sectPr>
      </w:pPr>
    </w:p>
    <w:p w14:paraId="125D5D9F" w14:textId="771CA73C" w:rsidR="00302FC1" w:rsidRPr="00AB26B3" w:rsidRDefault="00D64F26">
      <w:pPr>
        <w:pStyle w:val="P68B1DB1-Normal9"/>
        <w:keepNext/>
        <w:keepLines/>
        <w:spacing w:before="2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6: Kanalizačná</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vodná infraštruktúra, úspory vody</w:t>
      </w:r>
    </w:p>
    <w:p w14:paraId="22DD6645" w14:textId="77777777" w:rsidR="00302FC1" w:rsidRPr="00AB26B3" w:rsidRDefault="00D64F26">
      <w:pPr>
        <w:pStyle w:val="P68B1DB1-Normal5"/>
        <w:spacing w:before="120" w:after="120" w:line="240" w:lineRule="auto"/>
        <w:rPr>
          <w:rFonts w:cs="Times New Roman"/>
          <w:noProof/>
          <w:spacing w:val="-6"/>
          <w:lang w:val="sk-SK"/>
        </w:rPr>
      </w:pPr>
      <w:r w:rsidRPr="00AB26B3">
        <w:rPr>
          <w:noProof/>
          <w:spacing w:val="-6"/>
          <w:lang w:val="sk-SK"/>
        </w:rPr>
        <w:t>Do tejto skupiny patria tieto opatrenia:</w:t>
      </w:r>
    </w:p>
    <w:p w14:paraId="22A91FD0" w14:textId="78019F5A"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Infraštruktúry na nakladanie</w:t>
      </w:r>
      <w:r w:rsidR="00AB26B3" w:rsidRPr="00AB26B3">
        <w:rPr>
          <w:rFonts w:ascii="Times New Roman" w:hAnsi="Times New Roman"/>
          <w:noProof/>
          <w:spacing w:val="-6"/>
          <w:sz w:val="24"/>
          <w:lang w:val="sk-SK"/>
        </w:rPr>
        <w:t xml:space="preserve"> s </w:t>
      </w:r>
      <w:r w:rsidRPr="00AB26B3">
        <w:rPr>
          <w:rFonts w:ascii="Times New Roman" w:hAnsi="Times New Roman"/>
          <w:noProof/>
          <w:spacing w:val="-6"/>
          <w:sz w:val="24"/>
          <w:lang w:val="sk-SK"/>
        </w:rPr>
        <w:t>komunálnymi odpadovými vodami</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kalmi (ID: 16846)</w:t>
      </w:r>
    </w:p>
    <w:p w14:paraId="4D36319F" w14:textId="6E4C92D2" w:rsidR="00302FC1" w:rsidRPr="00AB26B3" w:rsidRDefault="00D64F26">
      <w:pPr>
        <w:spacing w:before="120" w:after="120" w:line="240" w:lineRule="auto"/>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Infraštruktúra zásobovania pitnou vodou</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úspor (ID: 16850)</w:t>
      </w: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680"/>
        <w:gridCol w:w="1175"/>
        <w:gridCol w:w="1302"/>
        <w:gridCol w:w="1778"/>
        <w:gridCol w:w="866"/>
        <w:gridCol w:w="857"/>
        <w:gridCol w:w="587"/>
        <w:gridCol w:w="1134"/>
        <w:gridCol w:w="709"/>
        <w:gridCol w:w="4600"/>
      </w:tblGrid>
      <w:tr w:rsidR="00302FC1" w:rsidRPr="00AB26B3" w14:paraId="60470684" w14:textId="77777777">
        <w:trPr>
          <w:trHeight w:val="939"/>
          <w:tblHeader/>
        </w:trPr>
        <w:tc>
          <w:tcPr>
            <w:tcW w:w="588" w:type="dxa"/>
            <w:vMerge w:val="restart"/>
            <w:shd w:val="clear" w:color="auto" w:fill="BDD7EE"/>
            <w:vAlign w:val="center"/>
            <w:hideMark/>
          </w:tcPr>
          <w:p w14:paraId="331A9068" w14:textId="7286EBE1"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 Nie.</w:t>
            </w:r>
          </w:p>
        </w:tc>
        <w:tc>
          <w:tcPr>
            <w:tcW w:w="1680" w:type="dxa"/>
            <w:vMerge w:val="restart"/>
            <w:shd w:val="clear" w:color="auto" w:fill="BDD7EE"/>
            <w:vAlign w:val="center"/>
            <w:hideMark/>
          </w:tcPr>
          <w:p w14:paraId="1D22B1F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75" w:type="dxa"/>
            <w:vMerge w:val="restart"/>
            <w:shd w:val="clear" w:color="auto" w:fill="BDD7EE"/>
            <w:vAlign w:val="center"/>
            <w:hideMark/>
          </w:tcPr>
          <w:p w14:paraId="5712DFF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302" w:type="dxa"/>
            <w:vMerge w:val="restart"/>
            <w:shd w:val="clear" w:color="auto" w:fill="BDD7EE"/>
            <w:vAlign w:val="center"/>
            <w:hideMark/>
          </w:tcPr>
          <w:p w14:paraId="0A271B9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778" w:type="dxa"/>
            <w:vMerge w:val="restart"/>
            <w:shd w:val="clear" w:color="auto" w:fill="BDD7EE"/>
            <w:vAlign w:val="center"/>
            <w:hideMark/>
          </w:tcPr>
          <w:p w14:paraId="195B2CCE" w14:textId="1A292FE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Kvalitatívne ukazovatele  </w:t>
            </w:r>
            <w:r w:rsidRPr="00AB26B3">
              <w:rPr>
                <w:noProof/>
                <w:spacing w:val="-6"/>
                <w:lang w:val="sk-SK"/>
              </w:rPr>
              <w:br/>
              <w:t xml:space="preserve"> (pre míľniky)</w:t>
            </w:r>
          </w:p>
        </w:tc>
        <w:tc>
          <w:tcPr>
            <w:tcW w:w="2310" w:type="dxa"/>
            <w:gridSpan w:val="3"/>
            <w:shd w:val="clear" w:color="auto" w:fill="BDD7EE"/>
            <w:vAlign w:val="center"/>
            <w:hideMark/>
          </w:tcPr>
          <w:p w14:paraId="59D29B59" w14:textId="5CDFC6B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843" w:type="dxa"/>
            <w:gridSpan w:val="2"/>
            <w:shd w:val="clear" w:color="auto" w:fill="BDD7EE"/>
            <w:vAlign w:val="center"/>
            <w:hideMark/>
          </w:tcPr>
          <w:p w14:paraId="7F9E8E3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600" w:type="dxa"/>
            <w:vMerge w:val="restart"/>
            <w:shd w:val="clear" w:color="auto" w:fill="BDD7EE"/>
            <w:vAlign w:val="center"/>
            <w:hideMark/>
          </w:tcPr>
          <w:p w14:paraId="00C352AA" w14:textId="20F210B3"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321B1660" w14:textId="77777777">
        <w:trPr>
          <w:trHeight w:val="609"/>
        </w:trPr>
        <w:tc>
          <w:tcPr>
            <w:tcW w:w="588" w:type="dxa"/>
            <w:vMerge/>
            <w:vAlign w:val="center"/>
            <w:hideMark/>
          </w:tcPr>
          <w:p w14:paraId="1FD1F01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80" w:type="dxa"/>
            <w:vMerge/>
            <w:vAlign w:val="center"/>
            <w:hideMark/>
          </w:tcPr>
          <w:p w14:paraId="53F4642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75" w:type="dxa"/>
            <w:vMerge/>
            <w:vAlign w:val="center"/>
            <w:hideMark/>
          </w:tcPr>
          <w:p w14:paraId="61B2A55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02" w:type="dxa"/>
            <w:vMerge/>
            <w:vAlign w:val="center"/>
            <w:hideMark/>
          </w:tcPr>
          <w:p w14:paraId="1D7E333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78" w:type="dxa"/>
            <w:vMerge/>
            <w:vAlign w:val="center"/>
            <w:hideMark/>
          </w:tcPr>
          <w:p w14:paraId="0D80277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866" w:type="dxa"/>
            <w:shd w:val="clear" w:color="auto" w:fill="BDD7EE"/>
            <w:vAlign w:val="center"/>
            <w:hideMark/>
          </w:tcPr>
          <w:p w14:paraId="0877C41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shd w:val="clear" w:color="auto" w:fill="BDD7EE"/>
            <w:vAlign w:val="center"/>
            <w:hideMark/>
          </w:tcPr>
          <w:p w14:paraId="75A9C25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587" w:type="dxa"/>
            <w:shd w:val="clear" w:color="auto" w:fill="BDD7EE"/>
            <w:vAlign w:val="center"/>
            <w:hideMark/>
          </w:tcPr>
          <w:p w14:paraId="0C90D78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1134" w:type="dxa"/>
            <w:shd w:val="clear" w:color="auto" w:fill="BDD7EE"/>
            <w:vAlign w:val="center"/>
            <w:hideMark/>
          </w:tcPr>
          <w:p w14:paraId="2BA9F73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327CEAC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600" w:type="dxa"/>
            <w:vMerge/>
            <w:vAlign w:val="center"/>
            <w:hideMark/>
          </w:tcPr>
          <w:p w14:paraId="7D47447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78E883F6" w14:textId="77777777">
        <w:trPr>
          <w:trHeight w:val="313"/>
        </w:trPr>
        <w:tc>
          <w:tcPr>
            <w:tcW w:w="588" w:type="dxa"/>
            <w:shd w:val="clear" w:color="auto" w:fill="C6EFCE"/>
            <w:noWrap/>
          </w:tcPr>
          <w:p w14:paraId="543625B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66</w:t>
            </w:r>
          </w:p>
        </w:tc>
        <w:tc>
          <w:tcPr>
            <w:tcW w:w="1680" w:type="dxa"/>
            <w:shd w:val="clear" w:color="auto" w:fill="C6EFCE"/>
            <w:noWrap/>
          </w:tcPr>
          <w:p w14:paraId="3C52745D" w14:textId="01BC17F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16850_Infraštruktúra zásobovania pitnou vodou</w:t>
            </w:r>
            <w:r w:rsidR="00AB26B3" w:rsidRPr="00AB26B3">
              <w:rPr>
                <w:noProof/>
                <w:spacing w:val="-6"/>
                <w:lang w:val="sk-SK"/>
              </w:rPr>
              <w:t xml:space="preserve"> a </w:t>
            </w:r>
            <w:r w:rsidRPr="00AB26B3">
              <w:rPr>
                <w:noProof/>
                <w:spacing w:val="-6"/>
                <w:lang w:val="sk-SK"/>
              </w:rPr>
              <w:t>úspora vody</w:t>
            </w:r>
          </w:p>
        </w:tc>
        <w:tc>
          <w:tcPr>
            <w:tcW w:w="1175" w:type="dxa"/>
            <w:shd w:val="clear" w:color="auto" w:fill="C6EFCE"/>
            <w:noWrap/>
          </w:tcPr>
          <w:p w14:paraId="4246F02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02" w:type="dxa"/>
            <w:shd w:val="clear" w:color="auto" w:fill="C6EFCE"/>
            <w:noWrap/>
          </w:tcPr>
          <w:p w14:paraId="3678A067" w14:textId="1E6328B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Schvaľovanie žiadostí</w:t>
            </w:r>
            <w:r w:rsidR="00AB26B3" w:rsidRPr="00AB26B3">
              <w:rPr>
                <w:noProof/>
                <w:spacing w:val="-6"/>
                <w:lang w:val="sk-SK"/>
              </w:rPr>
              <w:t xml:space="preserve"> o </w:t>
            </w:r>
            <w:r w:rsidRPr="00AB26B3">
              <w:rPr>
                <w:noProof/>
                <w:spacing w:val="-6"/>
                <w:lang w:val="sk-SK"/>
              </w:rPr>
              <w:t>vodohospodárske infraštruktúry</w:t>
            </w:r>
          </w:p>
        </w:tc>
        <w:tc>
          <w:tcPr>
            <w:tcW w:w="1778" w:type="dxa"/>
            <w:shd w:val="clear" w:color="auto" w:fill="C6EFCE"/>
            <w:noWrap/>
          </w:tcPr>
          <w:p w14:paraId="4CAE4FC8" w14:textId="189F121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Žiadosti schválené ministerstvom životného prostredia</w:t>
            </w:r>
            <w:r w:rsidR="00AB26B3" w:rsidRPr="00AB26B3">
              <w:rPr>
                <w:noProof/>
                <w:spacing w:val="-6"/>
                <w:lang w:val="sk-SK"/>
              </w:rPr>
              <w:t xml:space="preserve"> a </w:t>
            </w:r>
            <w:r w:rsidRPr="00AB26B3">
              <w:rPr>
                <w:noProof/>
                <w:spacing w:val="-6"/>
                <w:lang w:val="sk-SK"/>
              </w:rPr>
              <w:t>energetiky</w:t>
            </w:r>
          </w:p>
        </w:tc>
        <w:tc>
          <w:tcPr>
            <w:tcW w:w="866" w:type="dxa"/>
            <w:shd w:val="clear" w:color="auto" w:fill="C6EFCE"/>
            <w:noWrap/>
          </w:tcPr>
          <w:p w14:paraId="5637869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B3448D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tcPr>
          <w:p w14:paraId="0FDC54F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12B3C22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152B02E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600" w:type="dxa"/>
            <w:shd w:val="clear" w:color="auto" w:fill="C6EFCE"/>
            <w:noWrap/>
          </w:tcPr>
          <w:p w14:paraId="2E1BBB2D" w14:textId="5ECCCD13" w:rsidR="00302FC1" w:rsidRPr="00AB26B3" w:rsidRDefault="00D64F26">
            <w:pPr>
              <w:pStyle w:val="P68B1DB1-Normal12"/>
              <w:spacing w:after="0" w:line="240" w:lineRule="auto"/>
              <w:rPr>
                <w:rFonts w:eastAsiaTheme="minorEastAsia"/>
                <w:noProof/>
                <w:spacing w:val="-6"/>
                <w:lang w:val="sk-SK"/>
              </w:rPr>
            </w:pPr>
            <w:r w:rsidRPr="00AB26B3">
              <w:rPr>
                <w:noProof/>
                <w:spacing w:val="-6"/>
                <w:lang w:val="sk-SK"/>
              </w:rPr>
              <w:t>Vydanie výzvy na vyjadrenie záujmu</w:t>
            </w:r>
            <w:r w:rsidR="00AB26B3" w:rsidRPr="00AB26B3">
              <w:rPr>
                <w:noProof/>
                <w:spacing w:val="-6"/>
                <w:lang w:val="sk-SK"/>
              </w:rPr>
              <w:t xml:space="preserve"> o </w:t>
            </w:r>
            <w:r w:rsidRPr="00AB26B3">
              <w:rPr>
                <w:noProof/>
                <w:spacing w:val="-6"/>
                <w:lang w:val="sk-SK"/>
              </w:rPr>
              <w:t>projekty vodohospodárskej infraštruktúry</w:t>
            </w:r>
            <w:r w:rsidR="00AB26B3" w:rsidRPr="00AB26B3">
              <w:rPr>
                <w:noProof/>
                <w:spacing w:val="-6"/>
                <w:lang w:val="sk-SK"/>
              </w:rPr>
              <w:t xml:space="preserve"> s </w:t>
            </w:r>
            <w:r w:rsidRPr="00AB26B3">
              <w:rPr>
                <w:noProof/>
                <w:spacing w:val="-6"/>
                <w:lang w:val="sk-SK"/>
              </w:rPr>
              <w:t>cieľom zahrnúť tieto požiadavky: I) pre novovybudované systémy, aby mali index úniku</w:t>
            </w:r>
            <w:r w:rsidR="00AB26B3" w:rsidRPr="00AB26B3">
              <w:rPr>
                <w:noProof/>
                <w:spacing w:val="-6"/>
                <w:lang w:val="sk-SK"/>
              </w:rPr>
              <w:t xml:space="preserve"> z </w:t>
            </w:r>
            <w:r w:rsidRPr="00AB26B3">
              <w:rPr>
                <w:noProof/>
                <w:spacing w:val="-6"/>
                <w:lang w:val="sk-SK"/>
              </w:rPr>
              <w:t>infraštruktúry (Infrastructure Leakage Index – ILI), ktorý je nižší alebo rovný 1,5 ii) pre obnovovacie činnosti</w:t>
            </w:r>
            <w:r w:rsidR="00AB26B3" w:rsidRPr="00AB26B3">
              <w:rPr>
                <w:noProof/>
                <w:spacing w:val="-6"/>
                <w:lang w:val="sk-SK"/>
              </w:rPr>
              <w:t xml:space="preserve"> s </w:t>
            </w:r>
            <w:r w:rsidRPr="00AB26B3">
              <w:rPr>
                <w:noProof/>
                <w:spacing w:val="-6"/>
                <w:lang w:val="sk-SK"/>
              </w:rPr>
              <w:t>cieľom znížiť únik</w:t>
            </w:r>
            <w:r w:rsidR="00AB26B3" w:rsidRPr="00AB26B3">
              <w:rPr>
                <w:noProof/>
                <w:spacing w:val="-6"/>
                <w:lang w:val="sk-SK"/>
              </w:rPr>
              <w:t xml:space="preserve"> o </w:t>
            </w:r>
            <w:r w:rsidRPr="00AB26B3">
              <w:rPr>
                <w:noProof/>
                <w:spacing w:val="-6"/>
                <w:lang w:val="sk-SK"/>
              </w:rPr>
              <w:t>viac ako 20</w:t>
            </w:r>
            <w:r w:rsidR="00AB26B3" w:rsidRPr="00AB26B3">
              <w:rPr>
                <w:noProof/>
                <w:spacing w:val="-6"/>
                <w:lang w:val="sk-SK"/>
              </w:rPr>
              <w:t> %</w:t>
            </w:r>
            <w:r w:rsidRPr="00AB26B3">
              <w:rPr>
                <w:noProof/>
                <w:spacing w:val="-6"/>
                <w:lang w:val="sk-SK"/>
              </w:rPr>
              <w:t xml:space="preserve"> alebo znížiť priemernú spotrebu energie</w:t>
            </w:r>
            <w:r w:rsidR="00AB26B3" w:rsidRPr="00AB26B3">
              <w:rPr>
                <w:noProof/>
                <w:spacing w:val="-6"/>
                <w:lang w:val="sk-SK"/>
              </w:rPr>
              <w:t xml:space="preserve"> o </w:t>
            </w:r>
            <w:r w:rsidRPr="00AB26B3">
              <w:rPr>
                <w:noProof/>
                <w:spacing w:val="-6"/>
                <w:lang w:val="sk-SK"/>
              </w:rPr>
              <w:t>viac ako 20</w:t>
            </w:r>
            <w:r w:rsidR="00AB26B3" w:rsidRPr="00AB26B3">
              <w:rPr>
                <w:noProof/>
                <w:spacing w:val="-6"/>
                <w:lang w:val="sk-SK"/>
              </w:rPr>
              <w:t> % a </w:t>
            </w:r>
            <w:r w:rsidRPr="00AB26B3">
              <w:rPr>
                <w:noProof/>
                <w:spacing w:val="-6"/>
                <w:lang w:val="sk-SK"/>
              </w:rPr>
              <w:t>iii) pre odsoľovacie zariadenia, ktoré majú byť pripojené</w:t>
            </w:r>
            <w:r w:rsidR="00AB26B3" w:rsidRPr="00AB26B3">
              <w:rPr>
                <w:noProof/>
                <w:spacing w:val="-6"/>
                <w:lang w:val="sk-SK"/>
              </w:rPr>
              <w:t xml:space="preserve"> k </w:t>
            </w:r>
            <w:r w:rsidRPr="00AB26B3">
              <w:rPr>
                <w:noProof/>
                <w:spacing w:val="-6"/>
                <w:lang w:val="sk-SK"/>
              </w:rPr>
              <w:t>obnoviteľným zdrojom energie,</w:t>
            </w:r>
            <w:r w:rsidR="00AB26B3" w:rsidRPr="00AB26B3">
              <w:rPr>
                <w:noProof/>
                <w:spacing w:val="-6"/>
                <w:lang w:val="sk-SK"/>
              </w:rPr>
              <w:t xml:space="preserve"> a </w:t>
            </w:r>
            <w:r w:rsidRPr="00AB26B3">
              <w:rPr>
                <w:noProof/>
                <w:spacing w:val="-6"/>
                <w:lang w:val="sk-SK"/>
              </w:rPr>
              <w:t>aby mali priemernú spotrebu energie, ktorá je nižšia alebo rovná 0,5 kWh.</w:t>
            </w:r>
          </w:p>
        </w:tc>
      </w:tr>
      <w:tr w:rsidR="00302FC1" w:rsidRPr="00AB26B3" w14:paraId="53319FE6" w14:textId="77777777">
        <w:trPr>
          <w:trHeight w:val="313"/>
        </w:trPr>
        <w:tc>
          <w:tcPr>
            <w:tcW w:w="588" w:type="dxa"/>
            <w:shd w:val="clear" w:color="auto" w:fill="C6EFCE"/>
            <w:noWrap/>
          </w:tcPr>
          <w:p w14:paraId="0B1B73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68</w:t>
            </w:r>
          </w:p>
        </w:tc>
        <w:tc>
          <w:tcPr>
            <w:tcW w:w="1680" w:type="dxa"/>
            <w:shd w:val="clear" w:color="auto" w:fill="C6EFCE"/>
            <w:noWrap/>
          </w:tcPr>
          <w:p w14:paraId="37315857" w14:textId="297B4E1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16846_ Infraštruktúra nakladania</w:t>
            </w:r>
            <w:r w:rsidR="00AB26B3" w:rsidRPr="00AB26B3">
              <w:rPr>
                <w:noProof/>
                <w:spacing w:val="-6"/>
                <w:lang w:val="sk-SK"/>
              </w:rPr>
              <w:t xml:space="preserve"> s </w:t>
            </w:r>
            <w:r w:rsidRPr="00AB26B3">
              <w:rPr>
                <w:noProof/>
                <w:spacing w:val="-6"/>
                <w:lang w:val="sk-SK"/>
              </w:rPr>
              <w:t>komunálnymi odpadovými vodami</w:t>
            </w:r>
            <w:r w:rsidR="00AB26B3" w:rsidRPr="00AB26B3">
              <w:rPr>
                <w:noProof/>
                <w:spacing w:val="-6"/>
                <w:lang w:val="sk-SK"/>
              </w:rPr>
              <w:t xml:space="preserve"> a </w:t>
            </w:r>
            <w:r w:rsidRPr="00AB26B3">
              <w:rPr>
                <w:noProof/>
                <w:spacing w:val="-6"/>
                <w:lang w:val="sk-SK"/>
              </w:rPr>
              <w:t>kalmi</w:t>
            </w:r>
            <w:r w:rsidR="00AB26B3" w:rsidRPr="00AB26B3">
              <w:rPr>
                <w:noProof/>
                <w:spacing w:val="-6"/>
                <w:lang w:val="sk-SK"/>
              </w:rPr>
              <w:t xml:space="preserve"> z </w:t>
            </w:r>
            <w:r w:rsidRPr="00AB26B3">
              <w:rPr>
                <w:noProof/>
                <w:spacing w:val="-6"/>
                <w:lang w:val="sk-SK"/>
              </w:rPr>
              <w:t>čistenia odpadových vôd</w:t>
            </w:r>
          </w:p>
        </w:tc>
        <w:tc>
          <w:tcPr>
            <w:tcW w:w="1175" w:type="dxa"/>
            <w:shd w:val="clear" w:color="auto" w:fill="C6EFCE"/>
            <w:noWrap/>
          </w:tcPr>
          <w:p w14:paraId="7B16C6B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02" w:type="dxa"/>
            <w:shd w:val="clear" w:color="auto" w:fill="C6EFCE"/>
            <w:noWrap/>
          </w:tcPr>
          <w:p w14:paraId="33D139E9" w14:textId="1BB0E8D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na projekty týkajúce sa odpadových vôd</w:t>
            </w:r>
          </w:p>
        </w:tc>
        <w:tc>
          <w:tcPr>
            <w:tcW w:w="1778" w:type="dxa"/>
            <w:shd w:val="clear" w:color="auto" w:fill="C6EFCE"/>
            <w:noWrap/>
          </w:tcPr>
          <w:p w14:paraId="7CA76FBD" w14:textId="201B7E5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všetkých zákaziek</w:t>
            </w:r>
          </w:p>
        </w:tc>
        <w:tc>
          <w:tcPr>
            <w:tcW w:w="866" w:type="dxa"/>
            <w:shd w:val="clear" w:color="auto" w:fill="C6EFCE"/>
            <w:noWrap/>
          </w:tcPr>
          <w:p w14:paraId="3E76AC8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69C5B57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tcPr>
          <w:p w14:paraId="60CEC0A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76C202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0BF882F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600" w:type="dxa"/>
            <w:shd w:val="clear" w:color="auto" w:fill="C6EFCE"/>
            <w:noWrap/>
          </w:tcPr>
          <w:p w14:paraId="57C51146" w14:textId="4422222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na projekty nakladania</w:t>
            </w:r>
            <w:r w:rsidR="00AB26B3" w:rsidRPr="00AB26B3">
              <w:rPr>
                <w:noProof/>
                <w:spacing w:val="-6"/>
                <w:lang w:val="sk-SK"/>
              </w:rPr>
              <w:t xml:space="preserve"> s </w:t>
            </w:r>
            <w:r w:rsidRPr="00AB26B3">
              <w:rPr>
                <w:noProof/>
                <w:spacing w:val="-6"/>
                <w:lang w:val="sk-SK"/>
              </w:rPr>
              <w:t>odpadovými vodami</w:t>
            </w:r>
            <w:r w:rsidR="00AB26B3" w:rsidRPr="00AB26B3">
              <w:rPr>
                <w:noProof/>
                <w:spacing w:val="-6"/>
                <w:lang w:val="sk-SK"/>
              </w:rPr>
              <w:t xml:space="preserve"> a </w:t>
            </w:r>
            <w:r w:rsidRPr="00AB26B3">
              <w:rPr>
                <w:noProof/>
                <w:spacing w:val="-6"/>
                <w:lang w:val="sk-SK"/>
              </w:rPr>
              <w:t>kalmi:</w:t>
            </w:r>
          </w:p>
          <w:p w14:paraId="3E349893" w14:textId="1DAA586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Infraštruktúra kanalizačnej siete</w:t>
            </w:r>
            <w:r w:rsidR="00AB26B3" w:rsidRPr="00AB26B3">
              <w:rPr>
                <w:noProof/>
                <w:spacing w:val="-6"/>
                <w:lang w:val="sk-SK"/>
              </w:rPr>
              <w:t xml:space="preserve"> a </w:t>
            </w:r>
            <w:r w:rsidRPr="00AB26B3">
              <w:rPr>
                <w:noProof/>
                <w:spacing w:val="-6"/>
                <w:lang w:val="sk-SK"/>
              </w:rPr>
              <w:t>čistiarne odpadových vôd (ČOV).</w:t>
            </w:r>
          </w:p>
          <w:p w14:paraId="02CE19B2" w14:textId="76E8350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Modernizácia, rozširovanie</w:t>
            </w:r>
            <w:r w:rsidR="00AB26B3" w:rsidRPr="00AB26B3">
              <w:rPr>
                <w:noProof/>
                <w:spacing w:val="-6"/>
                <w:lang w:val="sk-SK"/>
              </w:rPr>
              <w:t xml:space="preserve"> a </w:t>
            </w:r>
            <w:r w:rsidRPr="00AB26B3">
              <w:rPr>
                <w:noProof/>
                <w:spacing w:val="-6"/>
                <w:lang w:val="sk-SK"/>
              </w:rPr>
              <w:t>modernizácia čistiarní odpadových vôd</w:t>
            </w:r>
            <w:r w:rsidR="00AB26B3" w:rsidRPr="00AB26B3">
              <w:rPr>
                <w:noProof/>
                <w:spacing w:val="-6"/>
                <w:lang w:val="sk-SK"/>
              </w:rPr>
              <w:t xml:space="preserve"> a </w:t>
            </w:r>
            <w:r w:rsidRPr="00AB26B3">
              <w:rPr>
                <w:noProof/>
                <w:spacing w:val="-6"/>
                <w:lang w:val="sk-SK"/>
              </w:rPr>
              <w:t>opätovné využívanie upravenej vody.</w:t>
            </w:r>
          </w:p>
          <w:p w14:paraId="37BC706C" w14:textId="09715623" w:rsidR="00302FC1" w:rsidRPr="00AB26B3" w:rsidRDefault="00D64F26">
            <w:pPr>
              <w:pStyle w:val="P68B1DB1-Normal12"/>
              <w:spacing w:after="0" w:line="240" w:lineRule="auto"/>
              <w:rPr>
                <w:rFonts w:eastAsiaTheme="minorEastAsia"/>
                <w:noProof/>
                <w:spacing w:val="-6"/>
                <w:lang w:val="sk-SK"/>
              </w:rPr>
            </w:pPr>
            <w:r w:rsidRPr="00AB26B3">
              <w:rPr>
                <w:noProof/>
                <w:spacing w:val="-6"/>
                <w:lang w:val="sk-SK"/>
              </w:rPr>
              <w:t>3. Zavedenie infraštruktúry na nakladanie</w:t>
            </w:r>
            <w:r w:rsidR="00AB26B3" w:rsidRPr="00AB26B3">
              <w:rPr>
                <w:noProof/>
                <w:spacing w:val="-6"/>
                <w:lang w:val="sk-SK"/>
              </w:rPr>
              <w:t xml:space="preserve"> s </w:t>
            </w:r>
            <w:r w:rsidRPr="00AB26B3">
              <w:rPr>
                <w:noProof/>
                <w:spacing w:val="-6"/>
                <w:lang w:val="sk-SK"/>
              </w:rPr>
              <w:t>kalmi</w:t>
            </w:r>
            <w:r w:rsidR="00AB26B3" w:rsidRPr="00AB26B3">
              <w:rPr>
                <w:noProof/>
                <w:spacing w:val="-6"/>
                <w:lang w:val="sk-SK"/>
              </w:rPr>
              <w:t xml:space="preserve"> z </w:t>
            </w:r>
            <w:r w:rsidRPr="00AB26B3">
              <w:rPr>
                <w:noProof/>
                <w:spacing w:val="-6"/>
                <w:lang w:val="sk-SK"/>
              </w:rPr>
              <w:t>čistiarní odpadových vôd.</w:t>
            </w:r>
          </w:p>
        </w:tc>
      </w:tr>
      <w:tr w:rsidR="00302FC1" w:rsidRPr="00AB26B3" w14:paraId="2601ADC2" w14:textId="77777777">
        <w:trPr>
          <w:trHeight w:val="313"/>
        </w:trPr>
        <w:tc>
          <w:tcPr>
            <w:tcW w:w="588" w:type="dxa"/>
            <w:shd w:val="clear" w:color="auto" w:fill="C6EFCE"/>
            <w:noWrap/>
          </w:tcPr>
          <w:p w14:paraId="31D0220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73</w:t>
            </w:r>
          </w:p>
        </w:tc>
        <w:tc>
          <w:tcPr>
            <w:tcW w:w="1680" w:type="dxa"/>
            <w:shd w:val="clear" w:color="auto" w:fill="C6EFCE"/>
            <w:noWrap/>
          </w:tcPr>
          <w:p w14:paraId="18B660D4" w14:textId="70DA084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16846_ Infraštruktúra nakladania</w:t>
            </w:r>
            <w:r w:rsidR="00AB26B3" w:rsidRPr="00AB26B3">
              <w:rPr>
                <w:noProof/>
                <w:spacing w:val="-6"/>
                <w:lang w:val="sk-SK"/>
              </w:rPr>
              <w:t xml:space="preserve"> s </w:t>
            </w:r>
            <w:r w:rsidRPr="00AB26B3">
              <w:rPr>
                <w:noProof/>
                <w:spacing w:val="-6"/>
                <w:lang w:val="sk-SK"/>
              </w:rPr>
              <w:t>komunálnymi odpadovými vodami</w:t>
            </w:r>
            <w:r w:rsidR="00AB26B3" w:rsidRPr="00AB26B3">
              <w:rPr>
                <w:noProof/>
                <w:spacing w:val="-6"/>
                <w:lang w:val="sk-SK"/>
              </w:rPr>
              <w:t xml:space="preserve"> a </w:t>
            </w:r>
            <w:r w:rsidRPr="00AB26B3">
              <w:rPr>
                <w:noProof/>
                <w:spacing w:val="-6"/>
                <w:lang w:val="sk-SK"/>
              </w:rPr>
              <w:t>kalmi</w:t>
            </w:r>
            <w:r w:rsidR="00AB26B3" w:rsidRPr="00AB26B3">
              <w:rPr>
                <w:noProof/>
                <w:spacing w:val="-6"/>
                <w:lang w:val="sk-SK"/>
              </w:rPr>
              <w:t xml:space="preserve"> z </w:t>
            </w:r>
            <w:r w:rsidRPr="00AB26B3">
              <w:rPr>
                <w:noProof/>
                <w:spacing w:val="-6"/>
                <w:lang w:val="sk-SK"/>
              </w:rPr>
              <w:t>čistenia odpadových vôd</w:t>
            </w:r>
          </w:p>
        </w:tc>
        <w:tc>
          <w:tcPr>
            <w:tcW w:w="1175" w:type="dxa"/>
            <w:shd w:val="clear" w:color="auto" w:fill="C6EFCE"/>
            <w:noWrap/>
          </w:tcPr>
          <w:p w14:paraId="27AD69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02" w:type="dxa"/>
            <w:shd w:val="clear" w:color="auto" w:fill="C6EFCE"/>
            <w:noWrap/>
          </w:tcPr>
          <w:p w14:paraId="42AC8E7A" w14:textId="746D3D8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Výstavba projektov infraštruktúry na nakladanie</w:t>
            </w:r>
            <w:r w:rsidR="00AB26B3" w:rsidRPr="00AB26B3">
              <w:rPr>
                <w:noProof/>
                <w:spacing w:val="-6"/>
                <w:lang w:val="sk-SK"/>
              </w:rPr>
              <w:t xml:space="preserve"> s </w:t>
            </w:r>
            <w:r w:rsidRPr="00AB26B3">
              <w:rPr>
                <w:noProof/>
                <w:spacing w:val="-6"/>
                <w:lang w:val="sk-SK"/>
              </w:rPr>
              <w:t>komunálnymi odpadovými vodami</w:t>
            </w:r>
            <w:r w:rsidR="00AB26B3" w:rsidRPr="00AB26B3">
              <w:rPr>
                <w:noProof/>
                <w:spacing w:val="-6"/>
                <w:lang w:val="sk-SK"/>
              </w:rPr>
              <w:t xml:space="preserve"> a </w:t>
            </w:r>
            <w:r w:rsidRPr="00AB26B3">
              <w:rPr>
                <w:noProof/>
                <w:spacing w:val="-6"/>
                <w:lang w:val="sk-SK"/>
              </w:rPr>
              <w:t>kalmi</w:t>
            </w:r>
          </w:p>
        </w:tc>
        <w:tc>
          <w:tcPr>
            <w:tcW w:w="1778" w:type="dxa"/>
            <w:shd w:val="clear" w:color="auto" w:fill="C6EFCE"/>
            <w:noWrap/>
          </w:tcPr>
          <w:p w14:paraId="70E2B54F" w14:textId="77777777" w:rsidR="00302FC1" w:rsidRPr="00AB26B3" w:rsidRDefault="00D64F26">
            <w:pPr>
              <w:pStyle w:val="P68B1DB1-Normal12"/>
              <w:spacing w:after="0" w:line="240" w:lineRule="auto"/>
              <w:rPr>
                <w:noProof/>
                <w:spacing w:val="-6"/>
                <w:lang w:val="sk-SK"/>
              </w:rPr>
            </w:pPr>
            <w:r w:rsidRPr="00AB26B3">
              <w:rPr>
                <w:noProof/>
                <w:spacing w:val="-6"/>
                <w:lang w:val="sk-SK"/>
              </w:rPr>
              <w:t>70 vybudovaných projektov</w:t>
            </w:r>
          </w:p>
        </w:tc>
        <w:tc>
          <w:tcPr>
            <w:tcW w:w="866" w:type="dxa"/>
            <w:shd w:val="clear" w:color="auto" w:fill="C6EFCE"/>
            <w:noWrap/>
          </w:tcPr>
          <w:p w14:paraId="4452937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EF0B23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tcPr>
          <w:p w14:paraId="62F1F4B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77452F2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342EA08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600" w:type="dxa"/>
            <w:shd w:val="clear" w:color="auto" w:fill="C6EFCE"/>
            <w:noWrap/>
          </w:tcPr>
          <w:p w14:paraId="148A44B2" w14:textId="5AA739ED" w:rsidR="00302FC1" w:rsidRPr="00AB26B3" w:rsidRDefault="00D64F26">
            <w:pPr>
              <w:pStyle w:val="P68B1DB1-Normal28"/>
              <w:spacing w:after="0" w:line="240" w:lineRule="auto"/>
              <w:rPr>
                <w:noProof/>
                <w:spacing w:val="-6"/>
                <w:lang w:val="sk-SK"/>
              </w:rPr>
            </w:pPr>
            <w:r w:rsidRPr="00AB26B3">
              <w:rPr>
                <w:noProof/>
                <w:spacing w:val="-6"/>
                <w:lang w:val="sk-SK"/>
              </w:rPr>
              <w:t>Výstavba 70 projektov</w:t>
            </w:r>
            <w:r w:rsidR="00AB26B3" w:rsidRPr="00AB26B3">
              <w:rPr>
                <w:noProof/>
                <w:spacing w:val="-6"/>
                <w:lang w:val="sk-SK"/>
              </w:rPr>
              <w:t xml:space="preserve"> v </w:t>
            </w:r>
            <w:r w:rsidRPr="00AB26B3">
              <w:rPr>
                <w:noProof/>
                <w:spacing w:val="-6"/>
                <w:lang w:val="sk-SK"/>
              </w:rPr>
              <w:t>oblastiach, ako sú:</w:t>
            </w:r>
          </w:p>
          <w:p w14:paraId="177A120B" w14:textId="69873A19" w:rsidR="00302FC1" w:rsidRPr="00AB26B3" w:rsidRDefault="00D64F26">
            <w:pPr>
              <w:pStyle w:val="P68B1DB1-ListParagraph30"/>
              <w:numPr>
                <w:ilvl w:val="0"/>
                <w:numId w:val="11"/>
              </w:numPr>
              <w:spacing w:after="0" w:line="240" w:lineRule="auto"/>
              <w:rPr>
                <w:noProof/>
                <w:spacing w:val="-6"/>
                <w:lang w:val="sk-SK"/>
              </w:rPr>
            </w:pPr>
            <w:r w:rsidRPr="00AB26B3">
              <w:rPr>
                <w:noProof/>
                <w:spacing w:val="-6"/>
                <w:lang w:val="sk-SK"/>
              </w:rPr>
              <w:t>infraštruktúry kanalizačnej siete, kanalizačné prípojky</w:t>
            </w:r>
            <w:r w:rsidR="00AB26B3" w:rsidRPr="00AB26B3">
              <w:rPr>
                <w:noProof/>
                <w:spacing w:val="-6"/>
                <w:lang w:val="sk-SK"/>
              </w:rPr>
              <w:t xml:space="preserve"> a </w:t>
            </w:r>
            <w:r w:rsidRPr="00AB26B3">
              <w:rPr>
                <w:noProof/>
                <w:spacing w:val="-6"/>
                <w:lang w:val="sk-SK"/>
              </w:rPr>
              <w:t>čistiarne odpadových vôd (ČOV);</w:t>
            </w:r>
          </w:p>
          <w:p w14:paraId="47455C8A" w14:textId="77777777" w:rsidR="00AB26B3" w:rsidRPr="00AB26B3" w:rsidRDefault="00D64F26">
            <w:pPr>
              <w:pStyle w:val="P68B1DB1-ListParagraph30"/>
              <w:numPr>
                <w:ilvl w:val="0"/>
                <w:numId w:val="10"/>
              </w:numPr>
              <w:spacing w:after="0" w:line="240" w:lineRule="auto"/>
              <w:jc w:val="both"/>
              <w:rPr>
                <w:noProof/>
                <w:spacing w:val="-6"/>
                <w:lang w:val="sk-SK"/>
              </w:rPr>
            </w:pPr>
            <w:r w:rsidRPr="00AB26B3">
              <w:rPr>
                <w:noProof/>
                <w:spacing w:val="-6"/>
                <w:lang w:val="sk-SK"/>
              </w:rPr>
              <w:t>modernizácia, rozšírenie</w:t>
            </w:r>
            <w:r w:rsidR="00AB26B3" w:rsidRPr="00AB26B3">
              <w:rPr>
                <w:noProof/>
                <w:spacing w:val="-6"/>
                <w:lang w:val="sk-SK"/>
              </w:rPr>
              <w:t xml:space="preserve"> a </w:t>
            </w:r>
            <w:r w:rsidRPr="00AB26B3">
              <w:rPr>
                <w:noProof/>
                <w:spacing w:val="-6"/>
                <w:lang w:val="sk-SK"/>
              </w:rPr>
              <w:t>modernizácia ČOV</w:t>
            </w:r>
            <w:r w:rsidR="00AB26B3" w:rsidRPr="00AB26B3">
              <w:rPr>
                <w:noProof/>
                <w:spacing w:val="-6"/>
                <w:lang w:val="sk-SK"/>
              </w:rPr>
              <w:t xml:space="preserve"> a </w:t>
            </w:r>
            <w:r w:rsidRPr="00AB26B3">
              <w:rPr>
                <w:noProof/>
                <w:spacing w:val="-6"/>
                <w:lang w:val="sk-SK"/>
              </w:rPr>
              <w:t>opätovné využívanie upravenej vody; podielu</w:t>
            </w:r>
            <w:r w:rsidR="00AB26B3" w:rsidRPr="00AB26B3">
              <w:rPr>
                <w:noProof/>
                <w:spacing w:val="-6"/>
                <w:lang w:val="sk-SK"/>
              </w:rPr>
              <w:t xml:space="preserve"> a</w:t>
            </w:r>
          </w:p>
          <w:p w14:paraId="111C68C4" w14:textId="1567B988" w:rsidR="00AB26B3" w:rsidRPr="00AB26B3" w:rsidRDefault="00D64F26">
            <w:pPr>
              <w:pStyle w:val="P68B1DB1-ListParagraph30"/>
              <w:numPr>
                <w:ilvl w:val="0"/>
                <w:numId w:val="9"/>
              </w:numPr>
              <w:spacing w:after="0" w:line="240" w:lineRule="auto"/>
              <w:jc w:val="both"/>
              <w:rPr>
                <w:noProof/>
                <w:spacing w:val="-6"/>
                <w:lang w:val="sk-SK"/>
              </w:rPr>
            </w:pPr>
            <w:r w:rsidRPr="00AB26B3">
              <w:rPr>
                <w:noProof/>
                <w:spacing w:val="-6"/>
                <w:lang w:val="sk-SK"/>
              </w:rPr>
              <w:t>infraštruktúry na nakladanie</w:t>
            </w:r>
            <w:r w:rsidR="00AB26B3" w:rsidRPr="00AB26B3">
              <w:rPr>
                <w:noProof/>
                <w:spacing w:val="-6"/>
                <w:lang w:val="sk-SK"/>
              </w:rPr>
              <w:t xml:space="preserve"> s </w:t>
            </w:r>
            <w:r w:rsidRPr="00AB26B3">
              <w:rPr>
                <w:noProof/>
                <w:spacing w:val="-6"/>
                <w:lang w:val="sk-SK"/>
              </w:rPr>
              <w:t>kalmi</w:t>
            </w:r>
            <w:r w:rsidR="00AB26B3" w:rsidRPr="00AB26B3">
              <w:rPr>
                <w:noProof/>
                <w:spacing w:val="-6"/>
                <w:lang w:val="sk-SK"/>
              </w:rPr>
              <w:t xml:space="preserve"> z </w:t>
            </w:r>
            <w:r w:rsidRPr="00AB26B3">
              <w:rPr>
                <w:noProof/>
                <w:spacing w:val="-6"/>
                <w:lang w:val="sk-SK"/>
              </w:rPr>
              <w:t>čistiarní odpadových vôd</w:t>
            </w:r>
            <w:r w:rsidR="00AB26B3" w:rsidRPr="00AB26B3">
              <w:rPr>
                <w:noProof/>
                <w:spacing w:val="-6"/>
                <w:lang w:val="sk-SK"/>
              </w:rPr>
              <w:t>.</w:t>
            </w:r>
          </w:p>
          <w:p w14:paraId="189EFAA1" w14:textId="33EC739F" w:rsidR="00302FC1" w:rsidRPr="00AB26B3" w:rsidRDefault="00302FC1">
            <w:pPr>
              <w:spacing w:after="0" w:line="240" w:lineRule="auto"/>
              <w:rPr>
                <w:rFonts w:ascii="Times New Roman" w:eastAsiaTheme="minorEastAsia" w:hAnsi="Times New Roman" w:cs="Times New Roman"/>
                <w:noProof/>
                <w:color w:val="006100"/>
                <w:spacing w:val="-6"/>
                <w:sz w:val="18"/>
                <w:szCs w:val="18"/>
                <w:lang w:val="sk-SK"/>
              </w:rPr>
            </w:pPr>
          </w:p>
        </w:tc>
      </w:tr>
      <w:tr w:rsidR="00302FC1" w:rsidRPr="00AB26B3" w14:paraId="284F9CB6" w14:textId="77777777">
        <w:trPr>
          <w:trHeight w:val="313"/>
        </w:trPr>
        <w:tc>
          <w:tcPr>
            <w:tcW w:w="588" w:type="dxa"/>
            <w:shd w:val="clear" w:color="auto" w:fill="C6EFCE"/>
            <w:noWrap/>
          </w:tcPr>
          <w:p w14:paraId="2973B8F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74</w:t>
            </w:r>
          </w:p>
        </w:tc>
        <w:tc>
          <w:tcPr>
            <w:tcW w:w="1680" w:type="dxa"/>
            <w:shd w:val="clear" w:color="auto" w:fill="C6EFCE"/>
            <w:noWrap/>
          </w:tcPr>
          <w:p w14:paraId="578B3B6F" w14:textId="5E425DB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16850_Infraštruktúra zásobovania pitnou vodou</w:t>
            </w:r>
            <w:r w:rsidR="00AB26B3" w:rsidRPr="00AB26B3">
              <w:rPr>
                <w:noProof/>
                <w:spacing w:val="-6"/>
                <w:lang w:val="sk-SK"/>
              </w:rPr>
              <w:t xml:space="preserve"> a </w:t>
            </w:r>
            <w:r w:rsidRPr="00AB26B3">
              <w:rPr>
                <w:noProof/>
                <w:spacing w:val="-6"/>
                <w:lang w:val="sk-SK"/>
              </w:rPr>
              <w:t>úspora vody</w:t>
            </w:r>
          </w:p>
        </w:tc>
        <w:tc>
          <w:tcPr>
            <w:tcW w:w="1175" w:type="dxa"/>
            <w:shd w:val="clear" w:color="auto" w:fill="C6EFCE"/>
            <w:noWrap/>
          </w:tcPr>
          <w:p w14:paraId="1374068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02" w:type="dxa"/>
            <w:shd w:val="clear" w:color="auto" w:fill="C6EFCE"/>
            <w:noWrap/>
          </w:tcPr>
          <w:p w14:paraId="652AACB9" w14:textId="5D5D7717" w:rsidR="00302FC1" w:rsidRPr="00AB26B3" w:rsidRDefault="00D64F26">
            <w:pPr>
              <w:pStyle w:val="P68B1DB1-Normal12"/>
              <w:spacing w:after="0" w:line="240" w:lineRule="auto"/>
              <w:rPr>
                <w:noProof/>
                <w:spacing w:val="-6"/>
                <w:lang w:val="sk-SK"/>
              </w:rPr>
            </w:pPr>
            <w:r w:rsidRPr="00AB26B3">
              <w:rPr>
                <w:noProof/>
                <w:spacing w:val="-6"/>
                <w:lang w:val="sk-SK"/>
              </w:rPr>
              <w:t>Vykonané projekty vodohospodárskej infraštruktúry</w:t>
            </w:r>
          </w:p>
        </w:tc>
        <w:tc>
          <w:tcPr>
            <w:tcW w:w="1778" w:type="dxa"/>
            <w:shd w:val="clear" w:color="auto" w:fill="C6EFCE"/>
            <w:noWrap/>
          </w:tcPr>
          <w:p w14:paraId="4695FD6E" w14:textId="7DC69CFF" w:rsidR="00302FC1" w:rsidRPr="00AB26B3" w:rsidRDefault="00D64F26">
            <w:pPr>
              <w:pStyle w:val="P68B1DB1-Normal24"/>
              <w:spacing w:after="0" w:line="240" w:lineRule="auto"/>
              <w:rPr>
                <w:noProof/>
                <w:spacing w:val="-6"/>
                <w:lang w:val="sk-SK"/>
              </w:rPr>
            </w:pPr>
            <w:r w:rsidRPr="00AB26B3">
              <w:rPr>
                <w:noProof/>
                <w:spacing w:val="-6"/>
                <w:lang w:val="sk-SK"/>
              </w:rPr>
              <w:t>Najmenej 50 vykonaných projektov</w:t>
            </w:r>
          </w:p>
        </w:tc>
        <w:tc>
          <w:tcPr>
            <w:tcW w:w="866" w:type="dxa"/>
            <w:shd w:val="clear" w:color="auto" w:fill="C6EFCE"/>
            <w:noWrap/>
          </w:tcPr>
          <w:p w14:paraId="032843A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3AB8E7B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tcPr>
          <w:p w14:paraId="629F17B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0C5E11C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0FDD365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600" w:type="dxa"/>
            <w:shd w:val="clear" w:color="auto" w:fill="C6EFCE"/>
            <w:noWrap/>
          </w:tcPr>
          <w:p w14:paraId="0F63FE24" w14:textId="702BEB37" w:rsidR="00AB26B3" w:rsidRPr="00AB26B3" w:rsidRDefault="00D64F26">
            <w:pPr>
              <w:pStyle w:val="P68B1DB1-Normal12"/>
              <w:spacing w:after="0" w:line="240" w:lineRule="auto"/>
              <w:rPr>
                <w:noProof/>
                <w:spacing w:val="-6"/>
                <w:lang w:val="sk-SK"/>
              </w:rPr>
            </w:pPr>
            <w:r w:rsidRPr="00AB26B3">
              <w:rPr>
                <w:noProof/>
                <w:spacing w:val="-6"/>
                <w:lang w:val="sk-SK"/>
              </w:rPr>
              <w:t>Realizácia najmenej 50 projektov infraštruktúry na zásobovanie vodou</w:t>
            </w:r>
            <w:r w:rsidR="00AB26B3" w:rsidRPr="00AB26B3">
              <w:rPr>
                <w:noProof/>
                <w:spacing w:val="-6"/>
                <w:lang w:val="sk-SK"/>
              </w:rPr>
              <w:t xml:space="preserve"> a </w:t>
            </w:r>
            <w:r w:rsidRPr="00AB26B3">
              <w:rPr>
                <w:noProof/>
                <w:spacing w:val="-6"/>
                <w:lang w:val="sk-SK"/>
              </w:rPr>
              <w:t>úsporu vody vrátane</w:t>
            </w:r>
            <w:r w:rsidR="00AB26B3" w:rsidRPr="00AB26B3">
              <w:rPr>
                <w:noProof/>
                <w:spacing w:val="-6"/>
                <w:lang w:val="sk-SK"/>
              </w:rPr>
              <w:t>:</w:t>
            </w:r>
          </w:p>
          <w:p w14:paraId="5F11B28D" w14:textId="6D6720E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 výstavba infraštruktúry na zásobovanie vodou</w:t>
            </w:r>
            <w:r w:rsidR="00AB26B3" w:rsidRPr="00AB26B3">
              <w:rPr>
                <w:noProof/>
                <w:spacing w:val="-6"/>
                <w:lang w:val="sk-SK"/>
              </w:rPr>
              <w:t xml:space="preserve"> v </w:t>
            </w:r>
            <w:r w:rsidRPr="00AB26B3">
              <w:rPr>
                <w:noProof/>
                <w:spacing w:val="-6"/>
                <w:lang w:val="sk-SK"/>
              </w:rPr>
              <w:t>najmenej siedmich oblastiach</w:t>
            </w:r>
            <w:r w:rsidR="00AB26B3" w:rsidRPr="00AB26B3">
              <w:rPr>
                <w:noProof/>
                <w:spacing w:val="-6"/>
                <w:lang w:val="sk-SK"/>
              </w:rPr>
              <w:t xml:space="preserve"> a </w:t>
            </w:r>
            <w:r w:rsidRPr="00AB26B3">
              <w:rPr>
                <w:noProof/>
                <w:spacing w:val="-6"/>
                <w:lang w:val="sk-SK"/>
              </w:rPr>
              <w:t>najmenej troch odsoľovacích zariadeniach</w:t>
            </w:r>
          </w:p>
          <w:p w14:paraId="44FBC58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 inštalácia telemetrie – systémy diaľkového ovládania na zisťovanie únikov vo vodovodných sieťach a</w:t>
            </w:r>
          </w:p>
          <w:p w14:paraId="3EE26818" w14:textId="77777777" w:rsidR="00AB26B3" w:rsidRPr="00AB26B3" w:rsidRDefault="00D64F26">
            <w:pPr>
              <w:pStyle w:val="P68B1DB1-Normal12"/>
              <w:spacing w:after="0" w:line="240" w:lineRule="auto"/>
              <w:rPr>
                <w:noProof/>
                <w:spacing w:val="-6"/>
                <w:lang w:val="sk-SK"/>
              </w:rPr>
            </w:pPr>
            <w:r w:rsidRPr="00AB26B3">
              <w:rPr>
                <w:noProof/>
                <w:spacing w:val="-6"/>
                <w:lang w:val="sk-SK"/>
              </w:rPr>
              <w:t>C) inštalácia digitálnych vodomerov</w:t>
            </w:r>
          </w:p>
          <w:p w14:paraId="444F1118" w14:textId="4AFBF492"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bl>
    <w:p w14:paraId="113BC78A" w14:textId="77777777" w:rsidR="00302FC1" w:rsidRPr="00AB26B3" w:rsidRDefault="00302FC1">
      <w:pPr>
        <w:spacing w:before="120" w:after="120" w:line="240" w:lineRule="auto"/>
        <w:rPr>
          <w:rFonts w:ascii="Times New Roman" w:hAnsi="Times New Roman" w:cs="Times New Roman"/>
          <w:noProof/>
          <w:spacing w:val="-6"/>
          <w:sz w:val="24"/>
          <w:lang w:val="sk-SK"/>
        </w:rPr>
      </w:pPr>
    </w:p>
    <w:p w14:paraId="3D62AF4E" w14:textId="77777777" w:rsidR="00302FC1" w:rsidRPr="00AB26B3" w:rsidRDefault="00D64F26">
      <w:pPr>
        <w:pStyle w:val="P68B1DB1-Normal31"/>
        <w:rPr>
          <w:noProof/>
          <w:spacing w:val="-6"/>
          <w:lang w:val="sk-SK"/>
        </w:rPr>
      </w:pPr>
      <w:r w:rsidRPr="00AB26B3">
        <w:rPr>
          <w:noProof/>
          <w:spacing w:val="-6"/>
          <w:lang w:val="sk-SK"/>
        </w:rPr>
        <w:br w:type="page"/>
      </w:r>
    </w:p>
    <w:p w14:paraId="0DEC29B1" w14:textId="77777777" w:rsidR="00302FC1" w:rsidRPr="00AB26B3" w:rsidRDefault="00D64F26">
      <w:pPr>
        <w:pStyle w:val="P68B1DB1-Normal9"/>
        <w:keepNext/>
        <w:keepLines/>
        <w:spacing w:before="36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7: Projekty civilnej ochrany</w:t>
      </w:r>
    </w:p>
    <w:p w14:paraId="3808236C" w14:textId="77777777" w:rsidR="00302FC1" w:rsidRPr="00AB26B3" w:rsidRDefault="00D64F26">
      <w:pPr>
        <w:pStyle w:val="P68B1DB1-Normal5"/>
        <w:spacing w:before="120" w:after="120" w:line="240" w:lineRule="auto"/>
        <w:rPr>
          <w:rFonts w:cs="Times New Roman"/>
          <w:noProof/>
          <w:spacing w:val="-6"/>
          <w:lang w:val="sk-SK"/>
        </w:rPr>
      </w:pPr>
      <w:r w:rsidRPr="00AB26B3">
        <w:rPr>
          <w:noProof/>
          <w:spacing w:val="-6"/>
          <w:lang w:val="sk-SK"/>
        </w:rPr>
        <w:t>Do tejto skupiny patria tieto opatrenia:</w:t>
      </w:r>
    </w:p>
    <w:p w14:paraId="2B43C1F3" w14:textId="0E662145" w:rsidR="00302FC1" w:rsidRPr="00AB26B3" w:rsidRDefault="00D64F26">
      <w:pPr>
        <w:pStyle w:val="P68B1DB1-ListParagraph32"/>
        <w:numPr>
          <w:ilvl w:val="0"/>
          <w:numId w:val="87"/>
        </w:numPr>
        <w:spacing w:before="120" w:after="120" w:line="240" w:lineRule="auto"/>
        <w:rPr>
          <w:rFonts w:cs="Times New Roman"/>
          <w:noProof/>
          <w:spacing w:val="-6"/>
          <w:lang w:val="sk-SK"/>
        </w:rPr>
      </w:pPr>
      <w:r w:rsidRPr="00AB26B3">
        <w:rPr>
          <w:noProof/>
          <w:spacing w:val="-6"/>
          <w:lang w:val="sk-SK"/>
        </w:rPr>
        <w:t>Letecké prostriedky na krízové riadenie (ID: 16911)</w:t>
      </w:r>
    </w:p>
    <w:p w14:paraId="61744757" w14:textId="75EB571C" w:rsidR="00302FC1" w:rsidRPr="00AB26B3" w:rsidRDefault="00D64F26">
      <w:pPr>
        <w:pStyle w:val="P68B1DB1-ListParagraph32"/>
        <w:numPr>
          <w:ilvl w:val="0"/>
          <w:numId w:val="87"/>
        </w:numPr>
        <w:spacing w:before="120" w:after="120" w:line="240" w:lineRule="auto"/>
        <w:rPr>
          <w:rFonts w:cs="Times New Roman"/>
          <w:noProof/>
          <w:spacing w:val="-6"/>
          <w:lang w:val="sk-SK"/>
        </w:rPr>
      </w:pPr>
      <w:r w:rsidRPr="00AB26B3">
        <w:rPr>
          <w:noProof/>
          <w:spacing w:val="-6"/>
          <w:lang w:val="sk-SK"/>
        </w:rPr>
        <w:t>Riadenie</w:t>
      </w:r>
      <w:r w:rsidR="00AB26B3" w:rsidRPr="00AB26B3">
        <w:rPr>
          <w:noProof/>
          <w:spacing w:val="-6"/>
          <w:lang w:val="sk-SK"/>
        </w:rPr>
        <w:t xml:space="preserve"> a </w:t>
      </w:r>
      <w:r w:rsidRPr="00AB26B3">
        <w:rPr>
          <w:noProof/>
          <w:spacing w:val="-6"/>
          <w:lang w:val="sk-SK"/>
        </w:rPr>
        <w:t>monitorovanie civilnej ochrany (ID: 16910)</w:t>
      </w:r>
    </w:p>
    <w:p w14:paraId="22ABA90B" w14:textId="3CABC37B" w:rsidR="00302FC1" w:rsidRPr="00AB26B3" w:rsidRDefault="00D64F26">
      <w:pPr>
        <w:pStyle w:val="P68B1DB1-ListParagraph32"/>
        <w:numPr>
          <w:ilvl w:val="0"/>
          <w:numId w:val="87"/>
        </w:numPr>
        <w:spacing w:before="120" w:after="120" w:line="240" w:lineRule="auto"/>
        <w:rPr>
          <w:rFonts w:cs="Times New Roman"/>
          <w:noProof/>
          <w:spacing w:val="-6"/>
          <w:lang w:val="sk-SK"/>
        </w:rPr>
      </w:pPr>
      <w:r w:rsidRPr="00AB26B3">
        <w:rPr>
          <w:noProof/>
          <w:spacing w:val="-6"/>
          <w:lang w:val="sk-SK"/>
        </w:rPr>
        <w:t>Vybavenie na boj proti lesným požiarom, ich prevenciu</w:t>
      </w:r>
      <w:r w:rsidR="00AB26B3" w:rsidRPr="00AB26B3">
        <w:rPr>
          <w:noProof/>
          <w:spacing w:val="-6"/>
          <w:lang w:val="sk-SK"/>
        </w:rPr>
        <w:t xml:space="preserve"> a </w:t>
      </w:r>
      <w:r w:rsidRPr="00AB26B3">
        <w:rPr>
          <w:noProof/>
          <w:spacing w:val="-6"/>
          <w:lang w:val="sk-SK"/>
        </w:rPr>
        <w:t>reakciu na ne (ID: 16912)</w:t>
      </w:r>
    </w:p>
    <w:p w14:paraId="2E80CB70" w14:textId="263839DC" w:rsidR="00302FC1" w:rsidRPr="00AB26B3" w:rsidRDefault="00D64F26">
      <w:pPr>
        <w:pStyle w:val="P68B1DB1-ListParagraph32"/>
        <w:numPr>
          <w:ilvl w:val="0"/>
          <w:numId w:val="87"/>
        </w:numPr>
        <w:spacing w:before="120" w:after="120" w:line="240" w:lineRule="auto"/>
        <w:rPr>
          <w:rFonts w:cs="Times New Roman"/>
          <w:noProof/>
          <w:spacing w:val="-6"/>
          <w:lang w:val="sk-SK"/>
        </w:rPr>
      </w:pPr>
      <w:r w:rsidRPr="00AB26B3">
        <w:rPr>
          <w:noProof/>
          <w:spacing w:val="-6"/>
          <w:lang w:val="sk-SK"/>
        </w:rPr>
        <w:t>Zavedenie regionálnych centier civilnej ochrany (PEKEPP) prostredníctvom systémov verejno-súkromných partnerstiev (ID: 16283)</w:t>
      </w:r>
    </w:p>
    <w:p w14:paraId="6465FDF6" w14:textId="60B692CE" w:rsidR="00302FC1" w:rsidRPr="00AB26B3" w:rsidRDefault="00D64F26">
      <w:pPr>
        <w:pStyle w:val="P68B1DB1-ListParagraph32"/>
        <w:numPr>
          <w:ilvl w:val="0"/>
          <w:numId w:val="87"/>
        </w:numPr>
        <w:spacing w:before="120" w:after="120" w:line="240" w:lineRule="auto"/>
        <w:rPr>
          <w:noProof/>
          <w:spacing w:val="-6"/>
          <w:lang w:val="sk-SK"/>
        </w:rPr>
      </w:pPr>
      <w:r w:rsidRPr="00AB26B3">
        <w:rPr>
          <w:noProof/>
          <w:spacing w:val="-6"/>
          <w:lang w:val="sk-SK"/>
        </w:rPr>
        <w:t>Predbežná kontrola seizmickej odolnosti budov (ID: 16983)</w:t>
      </w:r>
    </w:p>
    <w:tbl>
      <w:tblPr>
        <w:tblStyle w:val="TableGrid"/>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575"/>
        <w:gridCol w:w="1680"/>
        <w:gridCol w:w="1143"/>
        <w:gridCol w:w="1277"/>
        <w:gridCol w:w="1320"/>
        <w:gridCol w:w="1200"/>
        <w:gridCol w:w="960"/>
        <w:gridCol w:w="960"/>
        <w:gridCol w:w="960"/>
        <w:gridCol w:w="960"/>
        <w:gridCol w:w="4553"/>
      </w:tblGrid>
      <w:tr w:rsidR="00302FC1" w:rsidRPr="00AB26B3" w14:paraId="222EF9BB" w14:textId="77777777">
        <w:trPr>
          <w:trHeight w:val="612"/>
          <w:tblHeader/>
          <w:jc w:val="center"/>
        </w:trPr>
        <w:tc>
          <w:tcPr>
            <w:tcW w:w="575" w:type="dxa"/>
            <w:vMerge w:val="restart"/>
            <w:shd w:val="clear" w:color="auto" w:fill="BDD7EE"/>
            <w:vAlign w:val="center"/>
            <w:hideMark/>
          </w:tcPr>
          <w:p w14:paraId="37CCAF0B" w14:textId="39B14D5A"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A nasl. Nie.</w:t>
            </w:r>
          </w:p>
        </w:tc>
        <w:tc>
          <w:tcPr>
            <w:tcW w:w="1680" w:type="dxa"/>
            <w:vMerge w:val="restart"/>
            <w:shd w:val="clear" w:color="auto" w:fill="BDD7EE"/>
            <w:vAlign w:val="center"/>
            <w:hideMark/>
          </w:tcPr>
          <w:p w14:paraId="42640952"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43" w:type="dxa"/>
            <w:vMerge w:val="restart"/>
            <w:shd w:val="clear" w:color="auto" w:fill="BDD7EE"/>
            <w:vAlign w:val="center"/>
            <w:hideMark/>
          </w:tcPr>
          <w:p w14:paraId="12C65DD7"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Míľnik/cieľ</w:t>
            </w:r>
          </w:p>
        </w:tc>
        <w:tc>
          <w:tcPr>
            <w:tcW w:w="1277" w:type="dxa"/>
            <w:vMerge w:val="restart"/>
            <w:shd w:val="clear" w:color="auto" w:fill="BDD7EE"/>
            <w:vAlign w:val="center"/>
            <w:hideMark/>
          </w:tcPr>
          <w:p w14:paraId="5F0ACCC8"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Názov</w:t>
            </w:r>
          </w:p>
        </w:tc>
        <w:tc>
          <w:tcPr>
            <w:tcW w:w="1320" w:type="dxa"/>
            <w:vMerge w:val="restart"/>
            <w:shd w:val="clear" w:color="auto" w:fill="BDD7EE"/>
            <w:vAlign w:val="center"/>
            <w:hideMark/>
          </w:tcPr>
          <w:p w14:paraId="3C5F0007" w14:textId="73A3E68F"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120" w:type="dxa"/>
            <w:gridSpan w:val="3"/>
            <w:shd w:val="clear" w:color="auto" w:fill="BDD7EE"/>
            <w:vAlign w:val="center"/>
            <w:hideMark/>
          </w:tcPr>
          <w:p w14:paraId="2390F18C" w14:textId="5303F556" w:rsidR="00302FC1" w:rsidRPr="00AB26B3" w:rsidRDefault="00D64F26">
            <w:pPr>
              <w:pStyle w:val="P68B1DB1-Normal18"/>
              <w:jc w:val="center"/>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 xml:space="preserve">Kvantitatívne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 xml:space="preserve"> (pre ciele)</w:t>
            </w:r>
          </w:p>
        </w:tc>
        <w:tc>
          <w:tcPr>
            <w:tcW w:w="1920" w:type="dxa"/>
            <w:gridSpan w:val="2"/>
            <w:shd w:val="clear" w:color="auto" w:fill="BDD7EE"/>
            <w:vAlign w:val="center"/>
            <w:hideMark/>
          </w:tcPr>
          <w:p w14:paraId="0A8F5C02"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553" w:type="dxa"/>
            <w:vMerge w:val="restart"/>
            <w:shd w:val="clear" w:color="auto" w:fill="BDD7EE"/>
            <w:vAlign w:val="center"/>
            <w:hideMark/>
          </w:tcPr>
          <w:p w14:paraId="38C96B87" w14:textId="083AD24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C6E5913" w14:textId="77777777">
        <w:trPr>
          <w:trHeight w:val="540"/>
          <w:tblHeader/>
          <w:jc w:val="center"/>
        </w:trPr>
        <w:tc>
          <w:tcPr>
            <w:tcW w:w="575" w:type="dxa"/>
            <w:vMerge/>
            <w:vAlign w:val="center"/>
            <w:hideMark/>
          </w:tcPr>
          <w:p w14:paraId="7F2F2CAF" w14:textId="77777777" w:rsidR="00302FC1" w:rsidRPr="00AB26B3" w:rsidRDefault="00302FC1">
            <w:pPr>
              <w:rPr>
                <w:rFonts w:ascii="Times New Roman" w:eastAsia="Times New Roman" w:hAnsi="Times New Roman" w:cs="Times New Roman"/>
                <w:b/>
                <w:bCs/>
                <w:noProof/>
                <w:spacing w:val="-6"/>
                <w:sz w:val="18"/>
                <w:szCs w:val="18"/>
                <w:lang w:val="sk-SK"/>
              </w:rPr>
            </w:pPr>
          </w:p>
        </w:tc>
        <w:tc>
          <w:tcPr>
            <w:tcW w:w="1680" w:type="dxa"/>
            <w:vMerge/>
            <w:vAlign w:val="center"/>
            <w:hideMark/>
          </w:tcPr>
          <w:p w14:paraId="4FD226CA" w14:textId="77777777" w:rsidR="00302FC1" w:rsidRPr="00AB26B3" w:rsidRDefault="00302FC1">
            <w:pPr>
              <w:rPr>
                <w:rFonts w:ascii="Times New Roman" w:eastAsia="Times New Roman" w:hAnsi="Times New Roman" w:cs="Times New Roman"/>
                <w:b/>
                <w:bCs/>
                <w:noProof/>
                <w:spacing w:val="-6"/>
                <w:sz w:val="18"/>
                <w:szCs w:val="18"/>
                <w:lang w:val="sk-SK"/>
              </w:rPr>
            </w:pPr>
          </w:p>
        </w:tc>
        <w:tc>
          <w:tcPr>
            <w:tcW w:w="1143" w:type="dxa"/>
            <w:vMerge/>
            <w:vAlign w:val="center"/>
            <w:hideMark/>
          </w:tcPr>
          <w:p w14:paraId="4C26FEE8" w14:textId="77777777" w:rsidR="00302FC1" w:rsidRPr="00AB26B3" w:rsidRDefault="00302FC1">
            <w:pPr>
              <w:rPr>
                <w:rFonts w:ascii="Times New Roman" w:eastAsia="Times New Roman" w:hAnsi="Times New Roman" w:cs="Times New Roman"/>
                <w:b/>
                <w:bCs/>
                <w:noProof/>
                <w:spacing w:val="-6"/>
                <w:sz w:val="18"/>
                <w:szCs w:val="18"/>
                <w:lang w:val="sk-SK"/>
              </w:rPr>
            </w:pPr>
          </w:p>
        </w:tc>
        <w:tc>
          <w:tcPr>
            <w:tcW w:w="1277" w:type="dxa"/>
            <w:vMerge/>
            <w:vAlign w:val="center"/>
            <w:hideMark/>
          </w:tcPr>
          <w:p w14:paraId="0F0DD6DC" w14:textId="77777777" w:rsidR="00302FC1" w:rsidRPr="00AB26B3" w:rsidRDefault="00302FC1">
            <w:pPr>
              <w:rPr>
                <w:rFonts w:ascii="Times New Roman" w:eastAsia="Times New Roman" w:hAnsi="Times New Roman" w:cs="Times New Roman"/>
                <w:b/>
                <w:bCs/>
                <w:noProof/>
                <w:spacing w:val="-6"/>
                <w:sz w:val="18"/>
                <w:szCs w:val="18"/>
                <w:lang w:val="sk-SK"/>
              </w:rPr>
            </w:pPr>
          </w:p>
        </w:tc>
        <w:tc>
          <w:tcPr>
            <w:tcW w:w="1320" w:type="dxa"/>
            <w:vMerge/>
            <w:vAlign w:val="center"/>
            <w:hideMark/>
          </w:tcPr>
          <w:p w14:paraId="20F881D4" w14:textId="77777777" w:rsidR="00302FC1" w:rsidRPr="00AB26B3" w:rsidRDefault="00302FC1">
            <w:pPr>
              <w:rPr>
                <w:rFonts w:ascii="Times New Roman" w:eastAsia="Times New Roman" w:hAnsi="Times New Roman" w:cs="Times New Roman"/>
                <w:b/>
                <w:bCs/>
                <w:noProof/>
                <w:spacing w:val="-6"/>
                <w:sz w:val="18"/>
                <w:szCs w:val="18"/>
                <w:lang w:val="sk-SK"/>
              </w:rPr>
            </w:pPr>
          </w:p>
        </w:tc>
        <w:tc>
          <w:tcPr>
            <w:tcW w:w="1200" w:type="dxa"/>
            <w:shd w:val="clear" w:color="auto" w:fill="BDD7EE"/>
            <w:vAlign w:val="center"/>
            <w:hideMark/>
          </w:tcPr>
          <w:p w14:paraId="78995590"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Merná jednotka</w:t>
            </w:r>
          </w:p>
        </w:tc>
        <w:tc>
          <w:tcPr>
            <w:tcW w:w="960" w:type="dxa"/>
            <w:shd w:val="clear" w:color="auto" w:fill="BDD7EE"/>
            <w:vAlign w:val="center"/>
            <w:hideMark/>
          </w:tcPr>
          <w:p w14:paraId="2D747451"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 xml:space="preserve">Základná </w:t>
            </w:r>
          </w:p>
        </w:tc>
        <w:tc>
          <w:tcPr>
            <w:tcW w:w="960" w:type="dxa"/>
            <w:shd w:val="clear" w:color="auto" w:fill="BDD7EE"/>
            <w:vAlign w:val="center"/>
            <w:hideMark/>
          </w:tcPr>
          <w:p w14:paraId="679F1CC4"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 xml:space="preserve">Cieľ </w:t>
            </w:r>
          </w:p>
        </w:tc>
        <w:tc>
          <w:tcPr>
            <w:tcW w:w="960" w:type="dxa"/>
            <w:shd w:val="clear" w:color="auto" w:fill="BDD7EE"/>
            <w:vAlign w:val="center"/>
            <w:hideMark/>
          </w:tcPr>
          <w:p w14:paraId="5E1F8722"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Štvrtina</w:t>
            </w:r>
          </w:p>
        </w:tc>
        <w:tc>
          <w:tcPr>
            <w:tcW w:w="960" w:type="dxa"/>
            <w:shd w:val="clear" w:color="auto" w:fill="BDD7EE"/>
            <w:vAlign w:val="center"/>
            <w:hideMark/>
          </w:tcPr>
          <w:p w14:paraId="7A900DD2" w14:textId="77777777" w:rsidR="00302FC1" w:rsidRPr="00AB26B3" w:rsidRDefault="00D64F26">
            <w:pPr>
              <w:pStyle w:val="P68B1DB1-Normal10"/>
              <w:jc w:val="center"/>
              <w:rPr>
                <w:rFonts w:eastAsia="Times New Roman" w:cs="Times New Roman"/>
                <w:bCs/>
                <w:noProof/>
                <w:spacing w:val="-6"/>
                <w:szCs w:val="18"/>
                <w:lang w:val="sk-SK"/>
              </w:rPr>
            </w:pPr>
            <w:r w:rsidRPr="00AB26B3">
              <w:rPr>
                <w:noProof/>
                <w:spacing w:val="-6"/>
                <w:lang w:val="sk-SK"/>
              </w:rPr>
              <w:t>Rok</w:t>
            </w:r>
          </w:p>
        </w:tc>
        <w:tc>
          <w:tcPr>
            <w:tcW w:w="4553" w:type="dxa"/>
            <w:vMerge/>
            <w:vAlign w:val="center"/>
            <w:hideMark/>
          </w:tcPr>
          <w:p w14:paraId="036F35C4" w14:textId="77777777" w:rsidR="00302FC1" w:rsidRPr="00AB26B3" w:rsidRDefault="00302FC1">
            <w:pPr>
              <w:rPr>
                <w:rFonts w:ascii="Times New Roman" w:eastAsia="Times New Roman" w:hAnsi="Times New Roman" w:cs="Times New Roman"/>
                <w:b/>
                <w:bCs/>
                <w:noProof/>
                <w:spacing w:val="-6"/>
                <w:sz w:val="18"/>
                <w:szCs w:val="18"/>
                <w:lang w:val="sk-SK"/>
              </w:rPr>
            </w:pPr>
          </w:p>
        </w:tc>
      </w:tr>
      <w:tr w:rsidR="00302FC1" w:rsidRPr="00AB26B3" w14:paraId="756C813A" w14:textId="77777777">
        <w:trPr>
          <w:trHeight w:val="309"/>
          <w:jc w:val="center"/>
        </w:trPr>
        <w:tc>
          <w:tcPr>
            <w:tcW w:w="575" w:type="dxa"/>
            <w:shd w:val="clear" w:color="auto" w:fill="C6EFCE"/>
            <w:noWrap/>
          </w:tcPr>
          <w:p w14:paraId="105C0293" w14:textId="77777777" w:rsidR="00302FC1" w:rsidRPr="00AB26B3" w:rsidRDefault="00D64F26">
            <w:pPr>
              <w:pStyle w:val="P68B1DB1-Normal12"/>
              <w:rPr>
                <w:rFonts w:eastAsia="Times New Roman"/>
                <w:noProof/>
                <w:spacing w:val="-6"/>
                <w:lang w:val="sk-SK"/>
              </w:rPr>
            </w:pPr>
            <w:r w:rsidRPr="00AB26B3">
              <w:rPr>
                <w:noProof/>
                <w:spacing w:val="-6"/>
                <w:lang w:val="sk-SK"/>
              </w:rPr>
              <w:t>77</w:t>
            </w:r>
          </w:p>
        </w:tc>
        <w:tc>
          <w:tcPr>
            <w:tcW w:w="1680" w:type="dxa"/>
            <w:shd w:val="clear" w:color="auto" w:fill="C6EFCE"/>
            <w:noWrap/>
          </w:tcPr>
          <w:p w14:paraId="34DB7E9F" w14:textId="7D01EB39"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16283_ Zavedenie regionálnych centier civilnej ochrany (PEKEPP) prostredníctvom systémov verejno-súkromných partnerstiev</w:t>
            </w:r>
          </w:p>
        </w:tc>
        <w:tc>
          <w:tcPr>
            <w:tcW w:w="1143" w:type="dxa"/>
            <w:shd w:val="clear" w:color="auto" w:fill="C6EFCE"/>
            <w:noWrap/>
          </w:tcPr>
          <w:p w14:paraId="63955C99"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77" w:type="dxa"/>
            <w:shd w:val="clear" w:color="auto" w:fill="C6EFCE"/>
            <w:noWrap/>
          </w:tcPr>
          <w:p w14:paraId="740E3451" w14:textId="77777777" w:rsidR="00302FC1" w:rsidRPr="00AB26B3" w:rsidRDefault="00D64F26">
            <w:pPr>
              <w:pStyle w:val="P68B1DB1-Normal12"/>
              <w:spacing w:after="0" w:line="240" w:lineRule="auto"/>
              <w:rPr>
                <w:noProof/>
                <w:spacing w:val="-6"/>
                <w:lang w:val="sk-SK"/>
              </w:rPr>
            </w:pPr>
            <w:r w:rsidRPr="00AB26B3">
              <w:rPr>
                <w:noProof/>
                <w:spacing w:val="-6"/>
                <w:lang w:val="sk-SK"/>
              </w:rPr>
              <w:t>Verejná súťaž pre 13 regionálnych centier</w:t>
            </w:r>
          </w:p>
        </w:tc>
        <w:tc>
          <w:tcPr>
            <w:tcW w:w="1320" w:type="dxa"/>
            <w:shd w:val="clear" w:color="auto" w:fill="C6EFCE"/>
            <w:noWrap/>
          </w:tcPr>
          <w:p w14:paraId="5FFA065A" w14:textId="7523540B" w:rsidR="00302FC1" w:rsidRPr="00AB26B3" w:rsidRDefault="00D64F26">
            <w:pPr>
              <w:pStyle w:val="P68B1DB1-Normal12"/>
              <w:spacing w:after="0" w:line="240" w:lineRule="auto"/>
              <w:rPr>
                <w:noProof/>
                <w:spacing w:val="-6"/>
                <w:lang w:val="sk-SK"/>
              </w:rPr>
            </w:pPr>
            <w:r w:rsidRPr="00AB26B3">
              <w:rPr>
                <w:noProof/>
                <w:spacing w:val="-6"/>
                <w:lang w:val="sk-SK"/>
              </w:rPr>
              <w:t>Uverejnenie oznámenia</w:t>
            </w:r>
            <w:r w:rsidR="00AB26B3" w:rsidRPr="00AB26B3">
              <w:rPr>
                <w:noProof/>
                <w:spacing w:val="-6"/>
                <w:lang w:val="sk-SK"/>
              </w:rPr>
              <w:t xml:space="preserve"> o </w:t>
            </w:r>
            <w:r w:rsidRPr="00AB26B3">
              <w:rPr>
                <w:noProof/>
                <w:spacing w:val="-6"/>
                <w:lang w:val="sk-SK"/>
              </w:rPr>
              <w:t>vyhlásení verejného obstarávania</w:t>
            </w:r>
          </w:p>
        </w:tc>
        <w:tc>
          <w:tcPr>
            <w:tcW w:w="1200" w:type="dxa"/>
            <w:shd w:val="clear" w:color="auto" w:fill="C6EFCE"/>
            <w:noWrap/>
          </w:tcPr>
          <w:p w14:paraId="15D29F83"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4C3E1EE2"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0633AA15"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0710A347" w14:textId="77777777" w:rsidR="00302FC1" w:rsidRPr="00AB26B3" w:rsidRDefault="00D64F26">
            <w:pPr>
              <w:pStyle w:val="P68B1DB1-Normal12"/>
              <w:rPr>
                <w:rFonts w:eastAsia="Times New Roman"/>
                <w:noProof/>
                <w:spacing w:val="-6"/>
                <w:lang w:val="sk-SK"/>
              </w:rPr>
            </w:pPr>
            <w:r w:rsidRPr="00AB26B3">
              <w:rPr>
                <w:noProof/>
                <w:spacing w:val="-6"/>
                <w:lang w:val="sk-SK"/>
              </w:rPr>
              <w:t>TRETÍ ŠTVRŤROK</w:t>
            </w:r>
          </w:p>
        </w:tc>
        <w:tc>
          <w:tcPr>
            <w:tcW w:w="960" w:type="dxa"/>
            <w:shd w:val="clear" w:color="auto" w:fill="C6EFCE"/>
            <w:noWrap/>
          </w:tcPr>
          <w:p w14:paraId="24547E63" w14:textId="77777777" w:rsidR="00302FC1" w:rsidRPr="00AB26B3" w:rsidRDefault="00D64F26">
            <w:pPr>
              <w:pStyle w:val="P68B1DB1-Normal12"/>
              <w:rPr>
                <w:rFonts w:eastAsia="Times New Roman"/>
                <w:noProof/>
                <w:spacing w:val="-6"/>
                <w:lang w:val="sk-SK"/>
              </w:rPr>
            </w:pPr>
            <w:r w:rsidRPr="00AB26B3">
              <w:rPr>
                <w:noProof/>
                <w:spacing w:val="-6"/>
                <w:lang w:val="sk-SK"/>
              </w:rPr>
              <w:t>2021</w:t>
            </w:r>
          </w:p>
        </w:tc>
        <w:tc>
          <w:tcPr>
            <w:tcW w:w="4553" w:type="dxa"/>
            <w:shd w:val="clear" w:color="auto" w:fill="C6EFCE"/>
            <w:noWrap/>
          </w:tcPr>
          <w:p w14:paraId="58815A27" w14:textId="551F4008" w:rsidR="00302FC1" w:rsidRPr="00AB26B3" w:rsidRDefault="00D64F26">
            <w:pPr>
              <w:pStyle w:val="P68B1DB1-Normal12"/>
              <w:rPr>
                <w:rFonts w:eastAsia="Times New Roman"/>
                <w:noProof/>
                <w:spacing w:val="-6"/>
                <w:lang w:val="sk-SK"/>
              </w:rPr>
            </w:pPr>
            <w:r w:rsidRPr="00AB26B3">
              <w:rPr>
                <w:noProof/>
                <w:spacing w:val="-6"/>
                <w:lang w:val="sk-SK"/>
              </w:rPr>
              <w:t>Uverejnenie oznámenia</w:t>
            </w:r>
            <w:r w:rsidR="00AB26B3" w:rsidRPr="00AB26B3">
              <w:rPr>
                <w:noProof/>
                <w:spacing w:val="-6"/>
                <w:lang w:val="sk-SK"/>
              </w:rPr>
              <w:t xml:space="preserve"> o </w:t>
            </w:r>
            <w:r w:rsidRPr="00AB26B3">
              <w:rPr>
                <w:noProof/>
                <w:spacing w:val="-6"/>
                <w:lang w:val="sk-SK"/>
              </w:rPr>
              <w:t>vyhlásení verejného obstarávania na výstavbu 13 regionálnych centier civilnej ochrany.</w:t>
            </w:r>
          </w:p>
        </w:tc>
      </w:tr>
      <w:tr w:rsidR="00302FC1" w:rsidRPr="00AB26B3" w14:paraId="70FB0CD9" w14:textId="77777777">
        <w:trPr>
          <w:trHeight w:val="309"/>
          <w:jc w:val="center"/>
        </w:trPr>
        <w:tc>
          <w:tcPr>
            <w:tcW w:w="575" w:type="dxa"/>
            <w:shd w:val="clear" w:color="auto" w:fill="C6EFCE"/>
            <w:noWrap/>
          </w:tcPr>
          <w:p w14:paraId="5EA67FF6" w14:textId="77777777" w:rsidR="00302FC1" w:rsidRPr="00AB26B3" w:rsidRDefault="00D64F26">
            <w:pPr>
              <w:pStyle w:val="P68B1DB1-Normal12"/>
              <w:rPr>
                <w:rFonts w:eastAsia="Times New Roman"/>
                <w:noProof/>
                <w:spacing w:val="-6"/>
                <w:lang w:val="sk-SK"/>
              </w:rPr>
            </w:pPr>
            <w:r w:rsidRPr="00AB26B3">
              <w:rPr>
                <w:noProof/>
                <w:spacing w:val="-6"/>
                <w:lang w:val="sk-SK"/>
              </w:rPr>
              <w:t>78</w:t>
            </w:r>
          </w:p>
        </w:tc>
        <w:tc>
          <w:tcPr>
            <w:tcW w:w="1680" w:type="dxa"/>
            <w:shd w:val="clear" w:color="auto" w:fill="C6EFCE"/>
            <w:noWrap/>
          </w:tcPr>
          <w:p w14:paraId="3487DDCE" w14:textId="74C3557B"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16910_Systém monitorovania</w:t>
            </w:r>
            <w:r w:rsidR="00AB26B3" w:rsidRPr="00AB26B3">
              <w:rPr>
                <w:noProof/>
                <w:spacing w:val="-6"/>
                <w:lang w:val="sk-SK"/>
              </w:rPr>
              <w:t xml:space="preserve"> a </w:t>
            </w:r>
            <w:r w:rsidRPr="00AB26B3">
              <w:rPr>
                <w:noProof/>
                <w:spacing w:val="-6"/>
                <w:lang w:val="sk-SK"/>
              </w:rPr>
              <w:t>riadenia</w:t>
            </w:r>
          </w:p>
        </w:tc>
        <w:tc>
          <w:tcPr>
            <w:tcW w:w="1143" w:type="dxa"/>
            <w:shd w:val="clear" w:color="auto" w:fill="C6EFCE"/>
            <w:noWrap/>
          </w:tcPr>
          <w:p w14:paraId="5B54EEB7"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77" w:type="dxa"/>
            <w:shd w:val="clear" w:color="auto" w:fill="C6EFCE"/>
            <w:noWrap/>
          </w:tcPr>
          <w:p w14:paraId="6456DC3D" w14:textId="77777777" w:rsidR="00302FC1" w:rsidRPr="00AB26B3" w:rsidRDefault="00D64F26">
            <w:pPr>
              <w:pStyle w:val="P68B1DB1-Normal12"/>
              <w:spacing w:after="0" w:line="240" w:lineRule="auto"/>
              <w:rPr>
                <w:noProof/>
                <w:spacing w:val="-6"/>
                <w:lang w:val="sk-SK"/>
              </w:rPr>
            </w:pPr>
            <w:r w:rsidRPr="00AB26B3">
              <w:rPr>
                <w:noProof/>
                <w:spacing w:val="-6"/>
                <w:lang w:val="sk-SK"/>
              </w:rPr>
              <w:t>Zmluva na GPS</w:t>
            </w:r>
          </w:p>
        </w:tc>
        <w:tc>
          <w:tcPr>
            <w:tcW w:w="1320" w:type="dxa"/>
            <w:shd w:val="clear" w:color="auto" w:fill="C6EFCE"/>
            <w:noWrap/>
          </w:tcPr>
          <w:p w14:paraId="734BF05E" w14:textId="305E8452" w:rsidR="00302FC1"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 xml:space="preserve">zadaní zákaziek </w:t>
            </w:r>
          </w:p>
        </w:tc>
        <w:tc>
          <w:tcPr>
            <w:tcW w:w="1200" w:type="dxa"/>
            <w:shd w:val="clear" w:color="auto" w:fill="C6EFCE"/>
            <w:noWrap/>
          </w:tcPr>
          <w:p w14:paraId="435128AE"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1B926FA8"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5BD24EB4"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2E2244F4" w14:textId="77777777" w:rsidR="00302FC1" w:rsidRPr="00AB26B3" w:rsidRDefault="00D64F26">
            <w:pPr>
              <w:pStyle w:val="P68B1DB1-Normal12"/>
              <w:rPr>
                <w:rFonts w:eastAsia="Times New Roman"/>
                <w:noProof/>
                <w:spacing w:val="-6"/>
                <w:lang w:val="sk-SK"/>
              </w:rPr>
            </w:pPr>
            <w:r w:rsidRPr="00AB26B3">
              <w:rPr>
                <w:noProof/>
                <w:spacing w:val="-6"/>
                <w:lang w:val="sk-SK"/>
              </w:rPr>
              <w:t>ŠTVRTÝ ŠTVRŤROK</w:t>
            </w:r>
          </w:p>
        </w:tc>
        <w:tc>
          <w:tcPr>
            <w:tcW w:w="960" w:type="dxa"/>
            <w:shd w:val="clear" w:color="auto" w:fill="C6EFCE"/>
            <w:noWrap/>
          </w:tcPr>
          <w:p w14:paraId="73BC1E41" w14:textId="77777777" w:rsidR="00302FC1" w:rsidRPr="00AB26B3" w:rsidRDefault="00D64F26">
            <w:pPr>
              <w:pStyle w:val="P68B1DB1-Normal12"/>
              <w:rPr>
                <w:rFonts w:eastAsia="Times New Roman"/>
                <w:noProof/>
                <w:spacing w:val="-6"/>
                <w:lang w:val="sk-SK"/>
              </w:rPr>
            </w:pPr>
            <w:r w:rsidRPr="00AB26B3">
              <w:rPr>
                <w:noProof/>
                <w:spacing w:val="-6"/>
                <w:lang w:val="sk-SK"/>
              </w:rPr>
              <w:t>2022</w:t>
            </w:r>
          </w:p>
        </w:tc>
        <w:tc>
          <w:tcPr>
            <w:tcW w:w="4553" w:type="dxa"/>
            <w:shd w:val="clear" w:color="auto" w:fill="C6EFCE"/>
            <w:noWrap/>
          </w:tcPr>
          <w:p w14:paraId="12E186BF" w14:textId="6F45E694" w:rsidR="00302FC1" w:rsidRPr="00AB26B3" w:rsidRDefault="00D64F26">
            <w:pPr>
              <w:pStyle w:val="P68B1DB1-Normal12"/>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pre monitorovací systém GPS</w:t>
            </w:r>
            <w:r w:rsidR="00AB26B3" w:rsidRPr="00AB26B3">
              <w:rPr>
                <w:noProof/>
                <w:spacing w:val="-6"/>
                <w:lang w:val="sk-SK"/>
              </w:rPr>
              <w:t xml:space="preserve"> a </w:t>
            </w:r>
            <w:r w:rsidRPr="00AB26B3">
              <w:rPr>
                <w:noProof/>
                <w:spacing w:val="-6"/>
                <w:lang w:val="sk-SK"/>
              </w:rPr>
              <w:t xml:space="preserve">systém včasného varovania. </w:t>
            </w:r>
          </w:p>
        </w:tc>
      </w:tr>
      <w:tr w:rsidR="00302FC1" w:rsidRPr="00AB26B3" w14:paraId="400A713C" w14:textId="77777777">
        <w:trPr>
          <w:trHeight w:val="309"/>
          <w:jc w:val="center"/>
        </w:trPr>
        <w:tc>
          <w:tcPr>
            <w:tcW w:w="575" w:type="dxa"/>
            <w:shd w:val="clear" w:color="auto" w:fill="C6EFCE"/>
            <w:noWrap/>
          </w:tcPr>
          <w:p w14:paraId="6A28DB43" w14:textId="77777777" w:rsidR="00302FC1" w:rsidRPr="00AB26B3" w:rsidRDefault="00D64F26">
            <w:pPr>
              <w:pStyle w:val="P68B1DB1-Normal12"/>
              <w:rPr>
                <w:rFonts w:eastAsia="Times New Roman"/>
                <w:noProof/>
                <w:spacing w:val="-6"/>
                <w:lang w:val="sk-SK"/>
              </w:rPr>
            </w:pPr>
            <w:r w:rsidRPr="00AB26B3">
              <w:rPr>
                <w:noProof/>
                <w:spacing w:val="-6"/>
                <w:lang w:val="sk-SK"/>
              </w:rPr>
              <w:t>79</w:t>
            </w:r>
          </w:p>
        </w:tc>
        <w:tc>
          <w:tcPr>
            <w:tcW w:w="1680" w:type="dxa"/>
            <w:shd w:val="clear" w:color="auto" w:fill="C6EFCE"/>
            <w:noWrap/>
          </w:tcPr>
          <w:p w14:paraId="3C70920D" w14:textId="3E09FC4C"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16911_Letecké prostriedky krízového riadenia</w:t>
            </w:r>
          </w:p>
        </w:tc>
        <w:tc>
          <w:tcPr>
            <w:tcW w:w="1143" w:type="dxa"/>
            <w:shd w:val="clear" w:color="auto" w:fill="C6EFCE"/>
            <w:noWrap/>
          </w:tcPr>
          <w:p w14:paraId="459FC81A"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77" w:type="dxa"/>
            <w:shd w:val="clear" w:color="auto" w:fill="C6EFCE"/>
            <w:noWrap/>
          </w:tcPr>
          <w:p w14:paraId="1DCC5CF2" w14:textId="77777777" w:rsidR="00302FC1" w:rsidRPr="00AB26B3" w:rsidRDefault="00D64F26">
            <w:pPr>
              <w:pStyle w:val="P68B1DB1-Normal12"/>
              <w:spacing w:after="0" w:line="240" w:lineRule="auto"/>
              <w:rPr>
                <w:noProof/>
                <w:spacing w:val="-6"/>
                <w:lang w:val="sk-SK"/>
              </w:rPr>
            </w:pPr>
            <w:r w:rsidRPr="00AB26B3">
              <w:rPr>
                <w:noProof/>
                <w:spacing w:val="-6"/>
                <w:lang w:val="sk-SK"/>
              </w:rPr>
              <w:t>Nákup dvoch stredne veľkých hasičských vrtuľníkov</w:t>
            </w:r>
          </w:p>
        </w:tc>
        <w:tc>
          <w:tcPr>
            <w:tcW w:w="1320" w:type="dxa"/>
            <w:shd w:val="clear" w:color="auto" w:fill="C6EFCE"/>
            <w:noWrap/>
          </w:tcPr>
          <w:p w14:paraId="44167F0A" w14:textId="6D6D9981" w:rsidR="00302FC1"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 xml:space="preserve">zadaní zákaziek </w:t>
            </w:r>
          </w:p>
        </w:tc>
        <w:tc>
          <w:tcPr>
            <w:tcW w:w="1200" w:type="dxa"/>
            <w:shd w:val="clear" w:color="auto" w:fill="C6EFCE"/>
            <w:noWrap/>
          </w:tcPr>
          <w:p w14:paraId="2E147548"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61E40C0B"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04AEE761"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44EF1E7F" w14:textId="77777777" w:rsidR="00302FC1" w:rsidRPr="00AB26B3" w:rsidRDefault="00D64F26">
            <w:pPr>
              <w:pStyle w:val="P68B1DB1-Normal12"/>
              <w:rPr>
                <w:rFonts w:eastAsia="Times New Roman"/>
                <w:noProof/>
                <w:spacing w:val="-6"/>
                <w:lang w:val="sk-SK"/>
              </w:rPr>
            </w:pPr>
            <w:r w:rsidRPr="00AB26B3">
              <w:rPr>
                <w:noProof/>
                <w:spacing w:val="-6"/>
                <w:lang w:val="sk-SK"/>
              </w:rPr>
              <w:t>ŠTVRTÝ ŠTVRŤROK</w:t>
            </w:r>
          </w:p>
        </w:tc>
        <w:tc>
          <w:tcPr>
            <w:tcW w:w="960" w:type="dxa"/>
            <w:shd w:val="clear" w:color="auto" w:fill="C6EFCE"/>
            <w:noWrap/>
          </w:tcPr>
          <w:p w14:paraId="2471D910" w14:textId="77777777" w:rsidR="00302FC1" w:rsidRPr="00AB26B3" w:rsidRDefault="00D64F26">
            <w:pPr>
              <w:pStyle w:val="P68B1DB1-Normal12"/>
              <w:rPr>
                <w:rFonts w:eastAsia="Times New Roman"/>
                <w:noProof/>
                <w:spacing w:val="-6"/>
                <w:lang w:val="sk-SK"/>
              </w:rPr>
            </w:pPr>
            <w:r w:rsidRPr="00AB26B3">
              <w:rPr>
                <w:noProof/>
                <w:spacing w:val="-6"/>
                <w:lang w:val="sk-SK"/>
              </w:rPr>
              <w:t>2023</w:t>
            </w:r>
          </w:p>
        </w:tc>
        <w:tc>
          <w:tcPr>
            <w:tcW w:w="4553" w:type="dxa"/>
            <w:shd w:val="clear" w:color="auto" w:fill="C6EFCE"/>
            <w:noWrap/>
          </w:tcPr>
          <w:p w14:paraId="3EA0F602" w14:textId="259DA9C9" w:rsidR="00302FC1" w:rsidRPr="00AB26B3" w:rsidRDefault="00D64F26">
            <w:pPr>
              <w:pStyle w:val="P68B1DB1-Normal12"/>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na nákup dvoch stredne veľkých hasičských vrtuľníkov pre potreby civilnej ochrany</w:t>
            </w:r>
            <w:r w:rsidR="00AB26B3" w:rsidRPr="00AB26B3">
              <w:rPr>
                <w:noProof/>
                <w:spacing w:val="-6"/>
                <w:lang w:val="sk-SK"/>
              </w:rPr>
              <w:t xml:space="preserve"> a </w:t>
            </w:r>
            <w:r w:rsidRPr="00AB26B3">
              <w:rPr>
                <w:noProof/>
                <w:spacing w:val="-6"/>
                <w:lang w:val="sk-SK"/>
              </w:rPr>
              <w:t>hasenia požiarov.</w:t>
            </w:r>
          </w:p>
        </w:tc>
      </w:tr>
      <w:tr w:rsidR="00302FC1" w:rsidRPr="00AB26B3" w14:paraId="09B81650" w14:textId="77777777">
        <w:trPr>
          <w:trHeight w:val="309"/>
          <w:jc w:val="center"/>
        </w:trPr>
        <w:tc>
          <w:tcPr>
            <w:tcW w:w="575" w:type="dxa"/>
            <w:shd w:val="clear" w:color="auto" w:fill="C6EFCE"/>
            <w:noWrap/>
          </w:tcPr>
          <w:p w14:paraId="6BA6E1B6" w14:textId="77777777" w:rsidR="00302FC1" w:rsidRPr="00AB26B3" w:rsidRDefault="00D64F26">
            <w:pPr>
              <w:pStyle w:val="P68B1DB1-Normal12"/>
              <w:rPr>
                <w:rFonts w:eastAsia="Times New Roman"/>
                <w:noProof/>
                <w:spacing w:val="-6"/>
                <w:lang w:val="sk-SK"/>
              </w:rPr>
            </w:pPr>
            <w:r w:rsidRPr="00AB26B3">
              <w:rPr>
                <w:noProof/>
                <w:spacing w:val="-6"/>
                <w:lang w:val="sk-SK"/>
              </w:rPr>
              <w:t>81</w:t>
            </w:r>
          </w:p>
        </w:tc>
        <w:tc>
          <w:tcPr>
            <w:tcW w:w="1680" w:type="dxa"/>
            <w:shd w:val="clear" w:color="auto" w:fill="C6EFCE"/>
            <w:noWrap/>
          </w:tcPr>
          <w:p w14:paraId="0A8D4632" w14:textId="41946B34"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16910_ Riadenie</w:t>
            </w:r>
            <w:r w:rsidR="00AB26B3" w:rsidRPr="00AB26B3">
              <w:rPr>
                <w:noProof/>
                <w:spacing w:val="-6"/>
                <w:lang w:val="sk-SK"/>
              </w:rPr>
              <w:t xml:space="preserve"> a </w:t>
            </w:r>
            <w:r w:rsidRPr="00AB26B3">
              <w:rPr>
                <w:noProof/>
                <w:spacing w:val="-6"/>
                <w:lang w:val="sk-SK"/>
              </w:rPr>
              <w:t xml:space="preserve">monitorovanie civilnej ochrany  </w:t>
            </w:r>
          </w:p>
        </w:tc>
        <w:tc>
          <w:tcPr>
            <w:tcW w:w="1143" w:type="dxa"/>
            <w:shd w:val="clear" w:color="auto" w:fill="C6EFCE"/>
            <w:noWrap/>
          </w:tcPr>
          <w:p w14:paraId="68CAB2D2"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77" w:type="dxa"/>
            <w:shd w:val="clear" w:color="auto" w:fill="C6EFCE"/>
            <w:noWrap/>
          </w:tcPr>
          <w:p w14:paraId="433B0725" w14:textId="6468528E" w:rsidR="00302FC1" w:rsidRPr="00AB26B3" w:rsidRDefault="00D64F26">
            <w:pPr>
              <w:pStyle w:val="P68B1DB1-Normal12"/>
              <w:spacing w:after="0" w:line="240" w:lineRule="auto"/>
              <w:rPr>
                <w:noProof/>
                <w:spacing w:val="-6"/>
                <w:lang w:val="sk-SK"/>
              </w:rPr>
            </w:pPr>
            <w:r w:rsidRPr="00AB26B3">
              <w:rPr>
                <w:noProof/>
                <w:spacing w:val="-6"/>
                <w:lang w:val="sk-SK"/>
              </w:rPr>
              <w:t>Ukončenie riadenia</w:t>
            </w:r>
            <w:r w:rsidR="00AB26B3" w:rsidRPr="00AB26B3">
              <w:rPr>
                <w:noProof/>
                <w:spacing w:val="-6"/>
                <w:lang w:val="sk-SK"/>
              </w:rPr>
              <w:t xml:space="preserve"> a </w:t>
            </w:r>
            <w:r w:rsidRPr="00AB26B3">
              <w:rPr>
                <w:noProof/>
                <w:spacing w:val="-6"/>
                <w:lang w:val="sk-SK"/>
              </w:rPr>
              <w:t xml:space="preserve">monitorovania civilnej ochrany </w:t>
            </w:r>
          </w:p>
        </w:tc>
        <w:tc>
          <w:tcPr>
            <w:tcW w:w="1320" w:type="dxa"/>
            <w:shd w:val="clear" w:color="auto" w:fill="C6EFCE"/>
            <w:noWrap/>
          </w:tcPr>
          <w:p w14:paraId="4A8DDCA6" w14:textId="6A90E81F" w:rsidR="00302FC1" w:rsidRPr="00AB26B3" w:rsidRDefault="00D64F26">
            <w:pPr>
              <w:pStyle w:val="P68B1DB1-Normal12"/>
              <w:spacing w:after="0" w:line="240" w:lineRule="auto"/>
              <w:rPr>
                <w:noProof/>
                <w:spacing w:val="-6"/>
                <w:lang w:val="sk-SK"/>
              </w:rPr>
            </w:pPr>
            <w:r w:rsidRPr="00AB26B3">
              <w:rPr>
                <w:noProof/>
                <w:spacing w:val="-6"/>
                <w:lang w:val="sk-SK"/>
              </w:rPr>
              <w:t>Dodanie</w:t>
            </w:r>
            <w:r w:rsidR="00AB26B3" w:rsidRPr="00AB26B3">
              <w:rPr>
                <w:noProof/>
                <w:spacing w:val="-6"/>
                <w:lang w:val="sk-SK"/>
              </w:rPr>
              <w:t xml:space="preserve"> a </w:t>
            </w:r>
            <w:r w:rsidRPr="00AB26B3">
              <w:rPr>
                <w:noProof/>
                <w:spacing w:val="-6"/>
                <w:lang w:val="sk-SK"/>
              </w:rPr>
              <w:t>inštalácia zariadenia</w:t>
            </w:r>
            <w:r w:rsidR="00AB26B3" w:rsidRPr="00AB26B3">
              <w:rPr>
                <w:noProof/>
                <w:spacing w:val="-6"/>
                <w:lang w:val="sk-SK"/>
              </w:rPr>
              <w:t xml:space="preserve"> a </w:t>
            </w:r>
            <w:r w:rsidRPr="00AB26B3">
              <w:rPr>
                <w:noProof/>
                <w:spacing w:val="-6"/>
                <w:lang w:val="sk-SK"/>
              </w:rPr>
              <w:t>stavebné</w:t>
            </w:r>
            <w:r w:rsidR="00AB26B3" w:rsidRPr="00AB26B3">
              <w:rPr>
                <w:noProof/>
                <w:spacing w:val="-6"/>
                <w:lang w:val="sk-SK"/>
              </w:rPr>
              <w:t xml:space="preserve"> a </w:t>
            </w:r>
            <w:r w:rsidRPr="00AB26B3">
              <w:rPr>
                <w:noProof/>
                <w:spacing w:val="-6"/>
                <w:lang w:val="sk-SK"/>
              </w:rPr>
              <w:t>renovačné práce vo vopred vymedzených budovách</w:t>
            </w:r>
          </w:p>
        </w:tc>
        <w:tc>
          <w:tcPr>
            <w:tcW w:w="1200" w:type="dxa"/>
            <w:shd w:val="clear" w:color="auto" w:fill="C6EFCE"/>
            <w:noWrap/>
          </w:tcPr>
          <w:p w14:paraId="3F56ADB6"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7B52FE0C"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39E917E2"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3E4606F4" w14:textId="77777777" w:rsidR="00302FC1" w:rsidRPr="00AB26B3" w:rsidRDefault="00D64F26">
            <w:pPr>
              <w:pStyle w:val="P68B1DB1-Normal12"/>
              <w:rPr>
                <w:rFonts w:eastAsia="Times New Roman"/>
                <w:noProof/>
                <w:spacing w:val="-6"/>
                <w:lang w:val="sk-SK"/>
              </w:rPr>
            </w:pPr>
            <w:r w:rsidRPr="00AB26B3">
              <w:rPr>
                <w:noProof/>
                <w:spacing w:val="-6"/>
                <w:lang w:val="sk-SK"/>
              </w:rPr>
              <w:t>ŠTVRTÝ ŠTVRŤROK</w:t>
            </w:r>
          </w:p>
        </w:tc>
        <w:tc>
          <w:tcPr>
            <w:tcW w:w="960" w:type="dxa"/>
            <w:shd w:val="clear" w:color="auto" w:fill="C6EFCE"/>
            <w:noWrap/>
          </w:tcPr>
          <w:p w14:paraId="1F858DEB" w14:textId="77777777" w:rsidR="00302FC1" w:rsidRPr="00AB26B3" w:rsidRDefault="00D64F26">
            <w:pPr>
              <w:pStyle w:val="P68B1DB1-Normal12"/>
              <w:rPr>
                <w:rFonts w:eastAsia="Times New Roman"/>
                <w:noProof/>
                <w:spacing w:val="-6"/>
                <w:lang w:val="sk-SK"/>
              </w:rPr>
            </w:pPr>
            <w:r w:rsidRPr="00AB26B3">
              <w:rPr>
                <w:noProof/>
                <w:spacing w:val="-6"/>
                <w:lang w:val="sk-SK"/>
              </w:rPr>
              <w:t>2025</w:t>
            </w:r>
          </w:p>
        </w:tc>
        <w:tc>
          <w:tcPr>
            <w:tcW w:w="4553" w:type="dxa"/>
            <w:shd w:val="clear" w:color="auto" w:fill="C6EFCE"/>
            <w:noWrap/>
          </w:tcPr>
          <w:p w14:paraId="2548C1DE" w14:textId="4CC36F08" w:rsidR="00302FC1" w:rsidRPr="00AB26B3" w:rsidRDefault="00D64F26">
            <w:pPr>
              <w:pStyle w:val="P68B1DB1-Normal12"/>
              <w:numPr>
                <w:ilvl w:val="0"/>
                <w:numId w:val="12"/>
              </w:numPr>
              <w:spacing w:before="120" w:after="0" w:line="259" w:lineRule="auto"/>
              <w:contextualSpacing/>
              <w:jc w:val="both"/>
              <w:rPr>
                <w:rFonts w:eastAsia="Times New Roman"/>
                <w:noProof/>
                <w:spacing w:val="-6"/>
                <w:lang w:val="sk-SK"/>
              </w:rPr>
            </w:pPr>
            <w:r w:rsidRPr="00AB26B3">
              <w:rPr>
                <w:noProof/>
                <w:spacing w:val="-6"/>
                <w:lang w:val="sk-SK"/>
              </w:rPr>
              <w:t>Dodanie systému riadenia flotily GPS pre požiarne vozidlá, vozidlá civilnej ochrany regiónov</w:t>
            </w:r>
            <w:r w:rsidR="00AB26B3" w:rsidRPr="00AB26B3">
              <w:rPr>
                <w:noProof/>
                <w:spacing w:val="-6"/>
                <w:lang w:val="sk-SK"/>
              </w:rPr>
              <w:t xml:space="preserve"> a </w:t>
            </w:r>
            <w:r w:rsidRPr="00AB26B3">
              <w:rPr>
                <w:noProof/>
                <w:spacing w:val="-6"/>
                <w:lang w:val="sk-SK"/>
              </w:rPr>
              <w:t>obcí. Modernizácia informačného systému „zapájať“;</w:t>
            </w:r>
          </w:p>
          <w:p w14:paraId="73422169" w14:textId="77777777" w:rsidR="00302FC1" w:rsidRPr="00AB26B3" w:rsidRDefault="00D64F26">
            <w:pPr>
              <w:pStyle w:val="P68B1DB1-Normal12"/>
              <w:numPr>
                <w:ilvl w:val="0"/>
                <w:numId w:val="12"/>
              </w:numPr>
              <w:spacing w:before="120" w:after="0" w:line="259" w:lineRule="auto"/>
              <w:contextualSpacing/>
              <w:jc w:val="both"/>
              <w:rPr>
                <w:rFonts w:eastAsia="Times New Roman"/>
                <w:noProof/>
                <w:spacing w:val="-6"/>
                <w:lang w:val="sk-SK"/>
              </w:rPr>
            </w:pPr>
            <w:r w:rsidRPr="00AB26B3">
              <w:rPr>
                <w:noProof/>
                <w:spacing w:val="-6"/>
                <w:lang w:val="sk-SK"/>
              </w:rPr>
              <w:t>Dodanie meteorologických staníc na včasné varovanie pred prírodnými katastrofami;</w:t>
            </w:r>
          </w:p>
          <w:p w14:paraId="4B08A916" w14:textId="67A42F33" w:rsidR="00302FC1" w:rsidRPr="00AB26B3" w:rsidRDefault="00D64F26">
            <w:pPr>
              <w:pStyle w:val="P68B1DB1-Normal12"/>
              <w:numPr>
                <w:ilvl w:val="0"/>
                <w:numId w:val="12"/>
              </w:numPr>
              <w:spacing w:before="120" w:after="0" w:line="259" w:lineRule="auto"/>
              <w:contextualSpacing/>
              <w:jc w:val="both"/>
              <w:rPr>
                <w:rFonts w:eastAsia="Times New Roman"/>
                <w:noProof/>
                <w:spacing w:val="-6"/>
                <w:lang w:val="sk-SK"/>
              </w:rPr>
            </w:pPr>
            <w:r w:rsidRPr="00AB26B3">
              <w:rPr>
                <w:noProof/>
                <w:spacing w:val="-6"/>
                <w:lang w:val="sk-SK"/>
              </w:rPr>
              <w:t>Dodanie staníc tiesňovej komunikácie</w:t>
            </w:r>
            <w:r w:rsidR="00AB26B3" w:rsidRPr="00AB26B3">
              <w:rPr>
                <w:noProof/>
                <w:spacing w:val="-6"/>
                <w:lang w:val="sk-SK"/>
              </w:rPr>
              <w:t xml:space="preserve"> a </w:t>
            </w:r>
            <w:r w:rsidRPr="00AB26B3">
              <w:rPr>
                <w:noProof/>
                <w:spacing w:val="-6"/>
                <w:lang w:val="sk-SK"/>
              </w:rPr>
              <w:t>poskytovanie klimatických údajov</w:t>
            </w:r>
            <w:r w:rsidR="00AB26B3" w:rsidRPr="00AB26B3">
              <w:rPr>
                <w:noProof/>
                <w:spacing w:val="-6"/>
                <w:lang w:val="sk-SK"/>
              </w:rPr>
              <w:t xml:space="preserve"> v </w:t>
            </w:r>
            <w:r w:rsidRPr="00AB26B3">
              <w:rPr>
                <w:noProof/>
                <w:spacing w:val="-6"/>
                <w:lang w:val="sk-SK"/>
              </w:rPr>
              <w:t>oblastiach záujmu (radary);</w:t>
            </w:r>
          </w:p>
          <w:p w14:paraId="264B9938" w14:textId="59BFA26F" w:rsidR="00302FC1" w:rsidRPr="00AB26B3" w:rsidRDefault="00D64F26">
            <w:pPr>
              <w:pStyle w:val="P68B1DB1-Normal24"/>
              <w:numPr>
                <w:ilvl w:val="0"/>
                <w:numId w:val="12"/>
              </w:numPr>
              <w:spacing w:before="120" w:after="0" w:line="259" w:lineRule="auto"/>
              <w:contextualSpacing/>
              <w:jc w:val="both"/>
              <w:rPr>
                <w:noProof/>
                <w:spacing w:val="-6"/>
                <w:lang w:val="sk-SK"/>
              </w:rPr>
            </w:pPr>
            <w:r w:rsidRPr="00AB26B3">
              <w:rPr>
                <w:noProof/>
                <w:spacing w:val="-6"/>
                <w:lang w:val="sk-SK"/>
              </w:rPr>
              <w:t>Stavebné práce vykonané</w:t>
            </w:r>
            <w:r w:rsidR="00AB26B3" w:rsidRPr="00AB26B3">
              <w:rPr>
                <w:noProof/>
                <w:spacing w:val="-6"/>
                <w:lang w:val="sk-SK"/>
              </w:rPr>
              <w:t xml:space="preserve"> v </w:t>
            </w:r>
            <w:r w:rsidRPr="00AB26B3">
              <w:rPr>
                <w:noProof/>
                <w:spacing w:val="-6"/>
                <w:lang w:val="sk-SK"/>
              </w:rPr>
              <w:t>budovách Faros</w:t>
            </w:r>
            <w:r w:rsidR="00AB26B3" w:rsidRPr="00AB26B3">
              <w:rPr>
                <w:noProof/>
                <w:spacing w:val="-6"/>
                <w:lang w:val="sk-SK"/>
              </w:rPr>
              <w:t xml:space="preserve"> a </w:t>
            </w:r>
            <w:r w:rsidRPr="00AB26B3">
              <w:rPr>
                <w:noProof/>
                <w:spacing w:val="-6"/>
                <w:lang w:val="sk-SK"/>
              </w:rPr>
              <w:t>Atlantas pre potreby národného mechanizmu zvládania katastrof</w:t>
            </w:r>
            <w:r w:rsidR="00AB26B3" w:rsidRPr="00AB26B3">
              <w:rPr>
                <w:noProof/>
                <w:spacing w:val="-6"/>
                <w:lang w:val="sk-SK"/>
              </w:rPr>
              <w:t xml:space="preserve"> a </w:t>
            </w:r>
            <w:r w:rsidRPr="00AB26B3">
              <w:rPr>
                <w:noProof/>
                <w:spacing w:val="-6"/>
                <w:lang w:val="sk-SK"/>
              </w:rPr>
              <w:t>reakcie na riziká;</w:t>
            </w:r>
          </w:p>
          <w:p w14:paraId="3D41C638" w14:textId="3F9FF810" w:rsidR="00302FC1" w:rsidRPr="00AB26B3" w:rsidRDefault="00D64F26">
            <w:pPr>
              <w:pStyle w:val="P68B1DB1-Normal24"/>
              <w:numPr>
                <w:ilvl w:val="0"/>
                <w:numId w:val="12"/>
              </w:numPr>
              <w:spacing w:before="120" w:after="0" w:line="259" w:lineRule="auto"/>
              <w:contextualSpacing/>
              <w:jc w:val="both"/>
              <w:rPr>
                <w:noProof/>
                <w:spacing w:val="-6"/>
                <w:lang w:val="sk-SK"/>
              </w:rPr>
            </w:pPr>
            <w:r w:rsidRPr="00AB26B3">
              <w:rPr>
                <w:noProof/>
                <w:spacing w:val="-6"/>
                <w:lang w:val="sk-SK"/>
              </w:rPr>
              <w:t>Renovácia budov vzdelávacích inštitúcií civilnej ochrany</w:t>
            </w:r>
            <w:r w:rsidR="00AB26B3" w:rsidRPr="00AB26B3">
              <w:rPr>
                <w:noProof/>
                <w:spacing w:val="-6"/>
                <w:lang w:val="sk-SK"/>
              </w:rPr>
              <w:t xml:space="preserve"> a </w:t>
            </w:r>
            <w:r w:rsidRPr="00AB26B3">
              <w:rPr>
                <w:noProof/>
                <w:spacing w:val="-6"/>
                <w:lang w:val="sk-SK"/>
              </w:rPr>
              <w:t>dodanie</w:t>
            </w:r>
            <w:r w:rsidR="00AB26B3" w:rsidRPr="00AB26B3">
              <w:rPr>
                <w:noProof/>
                <w:spacing w:val="-6"/>
                <w:lang w:val="sk-SK"/>
              </w:rPr>
              <w:t xml:space="preserve"> a </w:t>
            </w:r>
            <w:r w:rsidRPr="00AB26B3">
              <w:rPr>
                <w:noProof/>
                <w:spacing w:val="-6"/>
                <w:lang w:val="sk-SK"/>
              </w:rPr>
              <w:t>inštalácia vybavenia;</w:t>
            </w:r>
          </w:p>
          <w:p w14:paraId="12E1A645" w14:textId="48290572" w:rsidR="00AB26B3" w:rsidRPr="00AB26B3" w:rsidRDefault="00D64F26">
            <w:pPr>
              <w:pStyle w:val="P68B1DB1-Normal24"/>
              <w:numPr>
                <w:ilvl w:val="0"/>
                <w:numId w:val="12"/>
              </w:numPr>
              <w:spacing w:before="120" w:after="0" w:line="259" w:lineRule="auto"/>
              <w:contextualSpacing/>
              <w:jc w:val="both"/>
              <w:rPr>
                <w:noProof/>
                <w:spacing w:val="-6"/>
                <w:lang w:val="sk-SK"/>
              </w:rPr>
            </w:pPr>
            <w:r w:rsidRPr="00AB26B3">
              <w:rPr>
                <w:noProof/>
                <w:spacing w:val="-6"/>
                <w:lang w:val="sk-SK"/>
              </w:rPr>
              <w:t>Dodanie troch lietadiel ako riadiacich</w:t>
            </w:r>
            <w:r w:rsidR="00AB26B3" w:rsidRPr="00AB26B3">
              <w:rPr>
                <w:noProof/>
                <w:spacing w:val="-6"/>
                <w:lang w:val="sk-SK"/>
              </w:rPr>
              <w:t xml:space="preserve"> a </w:t>
            </w:r>
            <w:r w:rsidRPr="00AB26B3">
              <w:rPr>
                <w:noProof/>
                <w:spacing w:val="-6"/>
                <w:lang w:val="sk-SK"/>
              </w:rPr>
              <w:t>riadiacich stredísk leteckého dozoru</w:t>
            </w:r>
            <w:r w:rsidR="00AB26B3" w:rsidRPr="00AB26B3">
              <w:rPr>
                <w:noProof/>
                <w:spacing w:val="-6"/>
                <w:lang w:val="sk-SK"/>
              </w:rPr>
              <w:t>.</w:t>
            </w:r>
          </w:p>
          <w:p w14:paraId="7E9DE070" w14:textId="12844D38" w:rsidR="00302FC1" w:rsidRPr="00AB26B3" w:rsidRDefault="00D64F26">
            <w:pPr>
              <w:pStyle w:val="P68B1DB1-Normal24"/>
              <w:numPr>
                <w:ilvl w:val="0"/>
                <w:numId w:val="12"/>
              </w:numPr>
              <w:spacing w:before="120" w:after="0" w:line="259" w:lineRule="auto"/>
              <w:contextualSpacing/>
              <w:jc w:val="both"/>
              <w:rPr>
                <w:noProof/>
                <w:spacing w:val="-6"/>
                <w:lang w:val="sk-SK"/>
              </w:rPr>
            </w:pPr>
            <w:r w:rsidRPr="00AB26B3">
              <w:rPr>
                <w:noProof/>
                <w:spacing w:val="-6"/>
                <w:lang w:val="sk-SK"/>
              </w:rPr>
              <w:t>Poskytovanie mobilných administratívnych</w:t>
            </w:r>
            <w:r w:rsidR="00AB26B3" w:rsidRPr="00AB26B3">
              <w:rPr>
                <w:noProof/>
                <w:spacing w:val="-6"/>
                <w:lang w:val="sk-SK"/>
              </w:rPr>
              <w:t xml:space="preserve"> a </w:t>
            </w:r>
            <w:r w:rsidRPr="00AB26B3">
              <w:rPr>
                <w:noProof/>
                <w:spacing w:val="-6"/>
                <w:lang w:val="sk-SK"/>
              </w:rPr>
              <w:t>kontrolných stredísk na mieste</w:t>
            </w:r>
            <w:r w:rsidR="00AB26B3" w:rsidRPr="00AB26B3">
              <w:rPr>
                <w:noProof/>
                <w:spacing w:val="-6"/>
                <w:lang w:val="sk-SK"/>
              </w:rPr>
              <w:t xml:space="preserve"> v </w:t>
            </w:r>
            <w:r w:rsidRPr="00AB26B3">
              <w:rPr>
                <w:noProof/>
                <w:spacing w:val="-6"/>
                <w:lang w:val="sk-SK"/>
              </w:rPr>
              <w:t>13 regiónoch.</w:t>
            </w:r>
          </w:p>
        </w:tc>
      </w:tr>
      <w:tr w:rsidR="00302FC1" w:rsidRPr="00AB26B3" w14:paraId="15332B18" w14:textId="77777777">
        <w:trPr>
          <w:trHeight w:val="309"/>
          <w:jc w:val="center"/>
        </w:trPr>
        <w:tc>
          <w:tcPr>
            <w:tcW w:w="575" w:type="dxa"/>
            <w:shd w:val="clear" w:color="auto" w:fill="C6EFCE"/>
            <w:noWrap/>
          </w:tcPr>
          <w:p w14:paraId="763CA4A5" w14:textId="77777777" w:rsidR="00302FC1" w:rsidRPr="00AB26B3" w:rsidRDefault="00D64F26">
            <w:pPr>
              <w:pStyle w:val="P68B1DB1-Normal12"/>
              <w:rPr>
                <w:rFonts w:eastAsia="Times New Roman"/>
                <w:noProof/>
                <w:spacing w:val="-6"/>
                <w:lang w:val="sk-SK"/>
              </w:rPr>
            </w:pPr>
            <w:r w:rsidRPr="00AB26B3">
              <w:rPr>
                <w:noProof/>
                <w:spacing w:val="-6"/>
                <w:lang w:val="sk-SK"/>
              </w:rPr>
              <w:t>82</w:t>
            </w:r>
          </w:p>
        </w:tc>
        <w:tc>
          <w:tcPr>
            <w:tcW w:w="1680" w:type="dxa"/>
            <w:shd w:val="clear" w:color="auto" w:fill="C6EFCE"/>
            <w:noWrap/>
          </w:tcPr>
          <w:p w14:paraId="0F8546E1" w14:textId="3E85C81D"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16911_Letecké prostriedky krízového riadenia</w:t>
            </w:r>
          </w:p>
        </w:tc>
        <w:tc>
          <w:tcPr>
            <w:tcW w:w="1143" w:type="dxa"/>
            <w:shd w:val="clear" w:color="auto" w:fill="C6EFCE"/>
            <w:noWrap/>
          </w:tcPr>
          <w:p w14:paraId="06FCDFD0"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77" w:type="dxa"/>
            <w:shd w:val="clear" w:color="auto" w:fill="C6EFCE"/>
            <w:noWrap/>
          </w:tcPr>
          <w:p w14:paraId="2E22D946" w14:textId="77777777" w:rsidR="00302FC1" w:rsidRPr="00AB26B3" w:rsidRDefault="00D64F26">
            <w:pPr>
              <w:pStyle w:val="P68B1DB1-Normal12"/>
              <w:spacing w:after="0" w:line="240" w:lineRule="auto"/>
              <w:rPr>
                <w:noProof/>
                <w:spacing w:val="-6"/>
                <w:lang w:val="sk-SK"/>
              </w:rPr>
            </w:pPr>
            <w:r w:rsidRPr="00AB26B3">
              <w:rPr>
                <w:noProof/>
                <w:spacing w:val="-6"/>
                <w:lang w:val="sk-SK"/>
              </w:rPr>
              <w:t>Dokončenie projektu leteckých prostriedkov na krízové riadenie</w:t>
            </w:r>
          </w:p>
        </w:tc>
        <w:tc>
          <w:tcPr>
            <w:tcW w:w="1320" w:type="dxa"/>
            <w:shd w:val="clear" w:color="auto" w:fill="C6EFCE"/>
            <w:noWrap/>
          </w:tcPr>
          <w:p w14:paraId="09F61A70" w14:textId="77777777" w:rsidR="00302FC1" w:rsidRPr="00AB26B3" w:rsidRDefault="00D64F26">
            <w:pPr>
              <w:pStyle w:val="P68B1DB1-Normal12"/>
              <w:spacing w:after="0" w:line="240" w:lineRule="auto"/>
              <w:rPr>
                <w:noProof/>
                <w:spacing w:val="-6"/>
                <w:lang w:val="sk-SK"/>
              </w:rPr>
            </w:pPr>
            <w:r w:rsidRPr="00AB26B3">
              <w:rPr>
                <w:noProof/>
                <w:spacing w:val="-6"/>
                <w:lang w:val="sk-SK"/>
              </w:rPr>
              <w:t>Poskytnuté letecké prostriedky na krízové riadenie</w:t>
            </w:r>
          </w:p>
        </w:tc>
        <w:tc>
          <w:tcPr>
            <w:tcW w:w="1200" w:type="dxa"/>
            <w:shd w:val="clear" w:color="auto" w:fill="C6EFCE"/>
            <w:noWrap/>
          </w:tcPr>
          <w:p w14:paraId="41610385"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41D0CE12"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027E70B2"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47B5FC35" w14:textId="77777777" w:rsidR="00302FC1" w:rsidRPr="00AB26B3" w:rsidRDefault="00D64F26">
            <w:pPr>
              <w:pStyle w:val="P68B1DB1-Normal12"/>
              <w:rPr>
                <w:rFonts w:eastAsia="Times New Roman"/>
                <w:noProof/>
                <w:spacing w:val="-6"/>
                <w:lang w:val="sk-SK"/>
              </w:rPr>
            </w:pPr>
            <w:r w:rsidRPr="00AB26B3">
              <w:rPr>
                <w:noProof/>
                <w:spacing w:val="-6"/>
                <w:lang w:val="sk-SK"/>
              </w:rPr>
              <w:t>ŠTVRTÝ ŠTVRŤROK</w:t>
            </w:r>
          </w:p>
        </w:tc>
        <w:tc>
          <w:tcPr>
            <w:tcW w:w="960" w:type="dxa"/>
            <w:shd w:val="clear" w:color="auto" w:fill="C6EFCE"/>
            <w:noWrap/>
          </w:tcPr>
          <w:p w14:paraId="2B996928" w14:textId="77777777" w:rsidR="00302FC1" w:rsidRPr="00AB26B3" w:rsidRDefault="00D64F26">
            <w:pPr>
              <w:pStyle w:val="P68B1DB1-Normal12"/>
              <w:rPr>
                <w:rFonts w:eastAsia="Times New Roman"/>
                <w:noProof/>
                <w:spacing w:val="-6"/>
                <w:lang w:val="sk-SK"/>
              </w:rPr>
            </w:pPr>
            <w:r w:rsidRPr="00AB26B3">
              <w:rPr>
                <w:noProof/>
                <w:spacing w:val="-6"/>
                <w:lang w:val="sk-SK"/>
              </w:rPr>
              <w:t>2025</w:t>
            </w:r>
          </w:p>
        </w:tc>
        <w:tc>
          <w:tcPr>
            <w:tcW w:w="4553" w:type="dxa"/>
            <w:shd w:val="clear" w:color="auto" w:fill="C6EFCE"/>
            <w:noWrap/>
          </w:tcPr>
          <w:p w14:paraId="3763DD3A" w14:textId="1A0DFA3A" w:rsidR="00302FC1" w:rsidRPr="00AB26B3" w:rsidRDefault="00D64F26">
            <w:pPr>
              <w:pStyle w:val="P68B1DB1-Normal24"/>
              <w:tabs>
                <w:tab w:val="center" w:pos="2168"/>
              </w:tabs>
              <w:rPr>
                <w:noProof/>
                <w:spacing w:val="-6"/>
                <w:lang w:val="sk-SK"/>
              </w:rPr>
            </w:pPr>
            <w:r w:rsidRPr="00AB26B3">
              <w:rPr>
                <w:noProof/>
                <w:spacing w:val="-6"/>
                <w:lang w:val="sk-SK"/>
              </w:rPr>
              <w:t>Dodanie:</w:t>
            </w:r>
            <w:r w:rsidRPr="00AB26B3">
              <w:rPr>
                <w:noProof/>
                <w:spacing w:val="-6"/>
                <w:lang w:val="sk-SK"/>
              </w:rPr>
              <w:tab/>
            </w:r>
          </w:p>
          <w:p w14:paraId="0D2ACEAB" w14:textId="77777777" w:rsidR="00302FC1" w:rsidRPr="00AB26B3" w:rsidRDefault="00D64F26">
            <w:pPr>
              <w:pStyle w:val="P68B1DB1-Normal12"/>
              <w:numPr>
                <w:ilvl w:val="0"/>
                <w:numId w:val="13"/>
              </w:numPr>
              <w:spacing w:before="120" w:after="0" w:line="259" w:lineRule="auto"/>
              <w:contextualSpacing/>
              <w:jc w:val="both"/>
              <w:rPr>
                <w:rFonts w:eastAsia="Times New Roman"/>
                <w:noProof/>
                <w:spacing w:val="-6"/>
                <w:lang w:val="sk-SK"/>
              </w:rPr>
            </w:pPr>
            <w:r w:rsidRPr="00AB26B3">
              <w:rPr>
                <w:noProof/>
                <w:spacing w:val="-6"/>
                <w:lang w:val="sk-SK"/>
              </w:rPr>
              <w:t>2 stredné – veľké úžitkové vrtuľníky na lekárske použitie;</w:t>
            </w:r>
          </w:p>
          <w:p w14:paraId="3E472C5F" w14:textId="77777777" w:rsidR="00302FC1" w:rsidRPr="00AB26B3" w:rsidRDefault="00D64F26">
            <w:pPr>
              <w:pStyle w:val="P68B1DB1-Normal12"/>
              <w:numPr>
                <w:ilvl w:val="0"/>
                <w:numId w:val="13"/>
              </w:numPr>
              <w:spacing w:before="120" w:after="0" w:line="259" w:lineRule="auto"/>
              <w:contextualSpacing/>
              <w:jc w:val="both"/>
              <w:rPr>
                <w:rFonts w:eastAsia="Times New Roman"/>
                <w:noProof/>
                <w:spacing w:val="-6"/>
                <w:lang w:val="sk-SK"/>
              </w:rPr>
            </w:pPr>
            <w:r w:rsidRPr="00AB26B3">
              <w:rPr>
                <w:noProof/>
                <w:spacing w:val="-6"/>
                <w:lang w:val="sk-SK"/>
              </w:rPr>
              <w:t>2 stredne veľké hasičské vrtuľníky;</w:t>
            </w:r>
          </w:p>
          <w:p w14:paraId="4B7DFF78" w14:textId="6826D834" w:rsidR="00302FC1" w:rsidRPr="00AB26B3" w:rsidRDefault="00D64F26">
            <w:pPr>
              <w:pStyle w:val="P68B1DB1-Normal12"/>
              <w:numPr>
                <w:ilvl w:val="0"/>
                <w:numId w:val="13"/>
              </w:numPr>
              <w:spacing w:before="120" w:after="0" w:line="259" w:lineRule="auto"/>
              <w:contextualSpacing/>
              <w:jc w:val="both"/>
              <w:rPr>
                <w:rFonts w:eastAsia="Times New Roman"/>
                <w:noProof/>
                <w:spacing w:val="-6"/>
                <w:lang w:val="sk-SK"/>
              </w:rPr>
            </w:pPr>
            <w:r w:rsidRPr="00AB26B3">
              <w:rPr>
                <w:noProof/>
                <w:spacing w:val="-6"/>
                <w:lang w:val="sk-SK"/>
              </w:rPr>
              <w:t>1 helikoptéra na prepravu tímu GSRP pre riadenie incidentov.</w:t>
            </w:r>
          </w:p>
          <w:p w14:paraId="62C11BE6" w14:textId="77777777" w:rsidR="00302FC1" w:rsidRPr="00AB26B3" w:rsidRDefault="00302FC1">
            <w:pPr>
              <w:spacing w:before="120" w:after="0" w:line="259" w:lineRule="auto"/>
              <w:contextualSpacing/>
              <w:jc w:val="both"/>
              <w:rPr>
                <w:rFonts w:ascii="Times New Roman" w:eastAsia="Times New Roman" w:hAnsi="Times New Roman" w:cs="Times New Roman"/>
                <w:noProof/>
                <w:color w:val="006100"/>
                <w:spacing w:val="-6"/>
                <w:sz w:val="18"/>
                <w:szCs w:val="18"/>
                <w:lang w:val="sk-SK"/>
              </w:rPr>
            </w:pPr>
          </w:p>
          <w:p w14:paraId="3BBE78F5" w14:textId="45604081" w:rsidR="00302FC1" w:rsidRPr="00AB26B3" w:rsidRDefault="00D64F26">
            <w:pPr>
              <w:pStyle w:val="P68B1DB1-Normal24"/>
              <w:spacing w:before="120" w:after="0" w:line="259" w:lineRule="auto"/>
              <w:contextualSpacing/>
              <w:jc w:val="both"/>
              <w:rPr>
                <w:noProof/>
                <w:spacing w:val="-6"/>
                <w:lang w:val="sk-SK"/>
              </w:rPr>
            </w:pPr>
            <w:r w:rsidRPr="00AB26B3">
              <w:rPr>
                <w:noProof/>
                <w:spacing w:val="-6"/>
                <w:lang w:val="sk-SK"/>
              </w:rPr>
              <w:t>Všetky lietadlá na špeciálne účely musia predstavovať najlepšie dostupné environmentálne vlastnosti vo svojej triede.</w:t>
            </w:r>
          </w:p>
        </w:tc>
      </w:tr>
      <w:tr w:rsidR="00302FC1" w:rsidRPr="00AB26B3" w14:paraId="6F418D7D" w14:textId="77777777">
        <w:trPr>
          <w:trHeight w:val="309"/>
          <w:jc w:val="center"/>
        </w:trPr>
        <w:tc>
          <w:tcPr>
            <w:tcW w:w="575" w:type="dxa"/>
            <w:shd w:val="clear" w:color="auto" w:fill="C6EFCE"/>
            <w:noWrap/>
          </w:tcPr>
          <w:p w14:paraId="6708F442" w14:textId="77777777" w:rsidR="00302FC1" w:rsidRPr="00AB26B3" w:rsidRDefault="00D64F26">
            <w:pPr>
              <w:pStyle w:val="P68B1DB1-Normal12"/>
              <w:rPr>
                <w:rFonts w:eastAsia="Times New Roman"/>
                <w:noProof/>
                <w:spacing w:val="-6"/>
                <w:lang w:val="sk-SK"/>
              </w:rPr>
            </w:pPr>
            <w:r w:rsidRPr="00AB26B3">
              <w:rPr>
                <w:noProof/>
                <w:spacing w:val="-6"/>
                <w:lang w:val="sk-SK"/>
              </w:rPr>
              <w:t>83</w:t>
            </w:r>
          </w:p>
        </w:tc>
        <w:tc>
          <w:tcPr>
            <w:tcW w:w="1680" w:type="dxa"/>
            <w:shd w:val="clear" w:color="auto" w:fill="C6EFCE"/>
            <w:noWrap/>
          </w:tcPr>
          <w:p w14:paraId="5D8F7F30" w14:textId="45B8D082"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16912_Zariadenie na hasenie požiarov, prevenciu</w:t>
            </w:r>
            <w:r w:rsidR="00AB26B3" w:rsidRPr="00AB26B3">
              <w:rPr>
                <w:noProof/>
                <w:spacing w:val="-6"/>
                <w:lang w:val="sk-SK"/>
              </w:rPr>
              <w:t xml:space="preserve"> a </w:t>
            </w:r>
            <w:r w:rsidRPr="00AB26B3">
              <w:rPr>
                <w:noProof/>
                <w:spacing w:val="-6"/>
                <w:lang w:val="sk-SK"/>
              </w:rPr>
              <w:t>reakciu</w:t>
            </w:r>
          </w:p>
        </w:tc>
        <w:tc>
          <w:tcPr>
            <w:tcW w:w="1143" w:type="dxa"/>
            <w:shd w:val="clear" w:color="auto" w:fill="C6EFCE"/>
            <w:noWrap/>
          </w:tcPr>
          <w:p w14:paraId="650F2DE6"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77" w:type="dxa"/>
            <w:shd w:val="clear" w:color="auto" w:fill="C6EFCE"/>
            <w:noWrap/>
          </w:tcPr>
          <w:p w14:paraId="1260CC1D" w14:textId="77777777" w:rsidR="00302FC1" w:rsidRPr="00AB26B3" w:rsidRDefault="00D64F26">
            <w:pPr>
              <w:pStyle w:val="P68B1DB1-Normal12"/>
              <w:spacing w:after="0" w:line="240" w:lineRule="auto"/>
              <w:rPr>
                <w:noProof/>
                <w:spacing w:val="-6"/>
                <w:lang w:val="sk-SK"/>
              </w:rPr>
            </w:pPr>
            <w:r w:rsidRPr="00AB26B3">
              <w:rPr>
                <w:noProof/>
                <w:spacing w:val="-6"/>
                <w:lang w:val="sk-SK"/>
              </w:rPr>
              <w:t>Dokončenie vybavenia na boj proti lesom</w:t>
            </w:r>
          </w:p>
        </w:tc>
        <w:tc>
          <w:tcPr>
            <w:tcW w:w="1320" w:type="dxa"/>
            <w:shd w:val="clear" w:color="auto" w:fill="C6EFCE"/>
            <w:noWrap/>
          </w:tcPr>
          <w:p w14:paraId="26833C2B" w14:textId="21A4AB07" w:rsidR="00302FC1" w:rsidRPr="00AB26B3" w:rsidRDefault="00D64F26">
            <w:pPr>
              <w:pStyle w:val="P68B1DB1-Normal12"/>
              <w:spacing w:after="0" w:line="240" w:lineRule="auto"/>
              <w:rPr>
                <w:noProof/>
                <w:spacing w:val="-6"/>
                <w:lang w:val="sk-SK"/>
              </w:rPr>
            </w:pPr>
            <w:r w:rsidRPr="00AB26B3">
              <w:rPr>
                <w:noProof/>
                <w:spacing w:val="-6"/>
                <w:lang w:val="sk-SK"/>
              </w:rPr>
              <w:t>Dodávka protipožiarneho</w:t>
            </w:r>
            <w:r w:rsidR="00AB26B3" w:rsidRPr="00AB26B3">
              <w:rPr>
                <w:noProof/>
                <w:spacing w:val="-6"/>
                <w:lang w:val="sk-SK"/>
              </w:rPr>
              <w:t xml:space="preserve"> a </w:t>
            </w:r>
            <w:r w:rsidRPr="00AB26B3">
              <w:rPr>
                <w:noProof/>
                <w:spacing w:val="-6"/>
                <w:lang w:val="sk-SK"/>
              </w:rPr>
              <w:t>reakčného vybavenia</w:t>
            </w:r>
          </w:p>
        </w:tc>
        <w:tc>
          <w:tcPr>
            <w:tcW w:w="1200" w:type="dxa"/>
            <w:shd w:val="clear" w:color="auto" w:fill="C6EFCE"/>
            <w:noWrap/>
          </w:tcPr>
          <w:p w14:paraId="13A809FA"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309372D2"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23A8A234"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17637C69" w14:textId="77777777" w:rsidR="00302FC1" w:rsidRPr="00AB26B3" w:rsidRDefault="00D64F26">
            <w:pPr>
              <w:pStyle w:val="P68B1DB1-Normal12"/>
              <w:rPr>
                <w:rFonts w:eastAsia="Times New Roman"/>
                <w:noProof/>
                <w:spacing w:val="-6"/>
                <w:lang w:val="sk-SK"/>
              </w:rPr>
            </w:pPr>
            <w:r w:rsidRPr="00AB26B3">
              <w:rPr>
                <w:noProof/>
                <w:spacing w:val="-6"/>
                <w:lang w:val="sk-SK"/>
              </w:rPr>
              <w:t>ŠTVRTÝ ŠTVRŤROK</w:t>
            </w:r>
          </w:p>
        </w:tc>
        <w:tc>
          <w:tcPr>
            <w:tcW w:w="960" w:type="dxa"/>
            <w:shd w:val="clear" w:color="auto" w:fill="C6EFCE"/>
            <w:noWrap/>
          </w:tcPr>
          <w:p w14:paraId="5EA8819D" w14:textId="77777777" w:rsidR="00302FC1" w:rsidRPr="00AB26B3" w:rsidRDefault="00D64F26">
            <w:pPr>
              <w:pStyle w:val="P68B1DB1-Normal12"/>
              <w:rPr>
                <w:rFonts w:eastAsia="Times New Roman"/>
                <w:noProof/>
                <w:spacing w:val="-6"/>
                <w:lang w:val="sk-SK"/>
              </w:rPr>
            </w:pPr>
            <w:r w:rsidRPr="00AB26B3">
              <w:rPr>
                <w:noProof/>
                <w:spacing w:val="-6"/>
                <w:lang w:val="sk-SK"/>
              </w:rPr>
              <w:t>2025</w:t>
            </w:r>
          </w:p>
        </w:tc>
        <w:tc>
          <w:tcPr>
            <w:tcW w:w="4553" w:type="dxa"/>
            <w:shd w:val="clear" w:color="auto" w:fill="C6EFCE"/>
            <w:noWrap/>
          </w:tcPr>
          <w:p w14:paraId="01814A17" w14:textId="77777777" w:rsidR="00302FC1" w:rsidRPr="00AB26B3" w:rsidRDefault="00D64F26">
            <w:pPr>
              <w:pStyle w:val="P68B1DB1-Normal24"/>
              <w:rPr>
                <w:noProof/>
                <w:spacing w:val="-6"/>
                <w:lang w:val="sk-SK"/>
              </w:rPr>
            </w:pPr>
            <w:r w:rsidRPr="00AB26B3">
              <w:rPr>
                <w:noProof/>
                <w:spacing w:val="-6"/>
                <w:lang w:val="sk-SK"/>
              </w:rPr>
              <w:t>Dodanie:</w:t>
            </w:r>
          </w:p>
          <w:p w14:paraId="580416F7" w14:textId="064553C5" w:rsidR="00302FC1" w:rsidRPr="00AB26B3" w:rsidRDefault="00D64F26">
            <w:pPr>
              <w:pStyle w:val="P68B1DB1-Normal12"/>
              <w:numPr>
                <w:ilvl w:val="0"/>
                <w:numId w:val="14"/>
              </w:numPr>
              <w:spacing w:before="120" w:after="0" w:line="259" w:lineRule="auto"/>
              <w:contextualSpacing/>
              <w:jc w:val="both"/>
              <w:rPr>
                <w:rFonts w:eastAsia="Times New Roman"/>
                <w:noProof/>
                <w:spacing w:val="-6"/>
                <w:lang w:val="sk-SK"/>
              </w:rPr>
            </w:pPr>
            <w:r w:rsidRPr="00AB26B3">
              <w:rPr>
                <w:noProof/>
                <w:spacing w:val="-6"/>
                <w:lang w:val="sk-SK"/>
              </w:rPr>
              <w:t>požiarne motory</w:t>
            </w:r>
            <w:r w:rsidR="00AB26B3" w:rsidRPr="00AB26B3">
              <w:rPr>
                <w:noProof/>
                <w:spacing w:val="-6"/>
                <w:lang w:val="sk-SK"/>
              </w:rPr>
              <w:t xml:space="preserve"> a </w:t>
            </w:r>
            <w:r w:rsidRPr="00AB26B3">
              <w:rPr>
                <w:noProof/>
                <w:spacing w:val="-6"/>
                <w:lang w:val="sk-SK"/>
              </w:rPr>
              <w:t>iné zásahové vozidlá</w:t>
            </w:r>
            <w:r w:rsidR="00AB26B3" w:rsidRPr="00AB26B3">
              <w:rPr>
                <w:noProof/>
                <w:spacing w:val="-6"/>
                <w:lang w:val="sk-SK"/>
              </w:rPr>
              <w:t xml:space="preserve"> a </w:t>
            </w:r>
            <w:r w:rsidRPr="00AB26B3">
              <w:rPr>
                <w:noProof/>
                <w:spacing w:val="-6"/>
                <w:lang w:val="sk-SK"/>
              </w:rPr>
              <w:t>vybavenie;</w:t>
            </w:r>
          </w:p>
          <w:p w14:paraId="2FF1EDEE" w14:textId="77777777" w:rsidR="00302FC1" w:rsidRPr="00AB26B3" w:rsidRDefault="00D64F26">
            <w:pPr>
              <w:pStyle w:val="P68B1DB1-Normal12"/>
              <w:numPr>
                <w:ilvl w:val="0"/>
                <w:numId w:val="14"/>
              </w:numPr>
              <w:spacing w:before="120" w:after="0" w:line="259" w:lineRule="auto"/>
              <w:contextualSpacing/>
              <w:jc w:val="both"/>
              <w:rPr>
                <w:rFonts w:eastAsia="Times New Roman"/>
                <w:noProof/>
                <w:spacing w:val="-6"/>
                <w:lang w:val="sk-SK"/>
              </w:rPr>
            </w:pPr>
            <w:r w:rsidRPr="00AB26B3">
              <w:rPr>
                <w:noProof/>
                <w:spacing w:val="-6"/>
                <w:lang w:val="sk-SK"/>
              </w:rPr>
              <w:t xml:space="preserve">stlačiteľné prenosné mosty. </w:t>
            </w:r>
          </w:p>
        </w:tc>
      </w:tr>
      <w:tr w:rsidR="00302FC1" w:rsidRPr="00AB26B3" w14:paraId="2753495E" w14:textId="77777777">
        <w:trPr>
          <w:trHeight w:val="309"/>
          <w:jc w:val="center"/>
        </w:trPr>
        <w:tc>
          <w:tcPr>
            <w:tcW w:w="575" w:type="dxa"/>
            <w:shd w:val="clear" w:color="auto" w:fill="C6EFCE"/>
            <w:noWrap/>
          </w:tcPr>
          <w:p w14:paraId="40DDDFEF" w14:textId="77777777" w:rsidR="00302FC1" w:rsidRPr="00AB26B3" w:rsidRDefault="00D64F26">
            <w:pPr>
              <w:pStyle w:val="P68B1DB1-Normal12"/>
              <w:rPr>
                <w:rFonts w:eastAsia="Times New Roman"/>
                <w:noProof/>
                <w:spacing w:val="-6"/>
                <w:lang w:val="sk-SK"/>
              </w:rPr>
            </w:pPr>
            <w:r w:rsidRPr="00AB26B3">
              <w:rPr>
                <w:noProof/>
                <w:spacing w:val="-6"/>
                <w:lang w:val="sk-SK"/>
              </w:rPr>
              <w:t>332</w:t>
            </w:r>
          </w:p>
        </w:tc>
        <w:tc>
          <w:tcPr>
            <w:tcW w:w="1680" w:type="dxa"/>
            <w:shd w:val="clear" w:color="auto" w:fill="C6EFCE"/>
            <w:noWrap/>
          </w:tcPr>
          <w:p w14:paraId="1AE4A07A" w14:textId="4781A14B"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16983_Predbežná kontrola seizmickej odolnosti budov</w:t>
            </w:r>
          </w:p>
        </w:tc>
        <w:tc>
          <w:tcPr>
            <w:tcW w:w="1143" w:type="dxa"/>
            <w:shd w:val="clear" w:color="auto" w:fill="C6EFCE"/>
            <w:noWrap/>
          </w:tcPr>
          <w:p w14:paraId="4FED3B31"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77" w:type="dxa"/>
            <w:shd w:val="clear" w:color="auto" w:fill="C6EFCE"/>
            <w:noWrap/>
          </w:tcPr>
          <w:p w14:paraId="5B049C98" w14:textId="77777777" w:rsidR="00302FC1" w:rsidRPr="00AB26B3" w:rsidRDefault="00D64F26">
            <w:pPr>
              <w:pStyle w:val="P68B1DB1-Normal12"/>
              <w:spacing w:after="0" w:line="240" w:lineRule="auto"/>
              <w:rPr>
                <w:noProof/>
                <w:spacing w:val="-6"/>
                <w:lang w:val="sk-SK"/>
              </w:rPr>
            </w:pPr>
            <w:r w:rsidRPr="00AB26B3">
              <w:rPr>
                <w:noProof/>
                <w:spacing w:val="-6"/>
                <w:lang w:val="sk-SK"/>
              </w:rPr>
              <w:t>Ukončenie predbežných seizmických inšpekcií</w:t>
            </w:r>
          </w:p>
        </w:tc>
        <w:tc>
          <w:tcPr>
            <w:tcW w:w="1320" w:type="dxa"/>
            <w:shd w:val="clear" w:color="auto" w:fill="C6EFCE"/>
            <w:noWrap/>
          </w:tcPr>
          <w:p w14:paraId="02916B8C"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vykonané predbežné rýchle vizuálne inšpekcie (RVI) </w:t>
            </w:r>
          </w:p>
        </w:tc>
        <w:tc>
          <w:tcPr>
            <w:tcW w:w="1200" w:type="dxa"/>
            <w:shd w:val="clear" w:color="auto" w:fill="C6EFCE"/>
            <w:noWrap/>
          </w:tcPr>
          <w:p w14:paraId="1FD793DB"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2C5002AB"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148316E4"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0411E839" w14:textId="77777777" w:rsidR="00302FC1" w:rsidRPr="00AB26B3" w:rsidRDefault="00D64F26">
            <w:pPr>
              <w:pStyle w:val="P68B1DB1-Normal12"/>
              <w:rPr>
                <w:rFonts w:eastAsia="Times New Roman"/>
                <w:noProof/>
                <w:spacing w:val="-6"/>
                <w:lang w:val="sk-SK"/>
              </w:rPr>
            </w:pPr>
            <w:r w:rsidRPr="00AB26B3">
              <w:rPr>
                <w:noProof/>
                <w:spacing w:val="-6"/>
                <w:lang w:val="sk-SK"/>
              </w:rPr>
              <w:t>ŠTVRŤROK</w:t>
            </w:r>
          </w:p>
        </w:tc>
        <w:tc>
          <w:tcPr>
            <w:tcW w:w="960" w:type="dxa"/>
            <w:shd w:val="clear" w:color="auto" w:fill="C6EFCE"/>
            <w:noWrap/>
          </w:tcPr>
          <w:p w14:paraId="3E067972" w14:textId="77777777" w:rsidR="00302FC1" w:rsidRPr="00AB26B3" w:rsidRDefault="00D64F26">
            <w:pPr>
              <w:pStyle w:val="P68B1DB1-Normal12"/>
              <w:rPr>
                <w:rFonts w:eastAsia="Times New Roman"/>
                <w:noProof/>
                <w:spacing w:val="-6"/>
                <w:lang w:val="sk-SK"/>
              </w:rPr>
            </w:pPr>
            <w:r w:rsidRPr="00AB26B3">
              <w:rPr>
                <w:noProof/>
                <w:spacing w:val="-6"/>
                <w:lang w:val="sk-SK"/>
              </w:rPr>
              <w:t>2025</w:t>
            </w:r>
          </w:p>
        </w:tc>
        <w:tc>
          <w:tcPr>
            <w:tcW w:w="4553" w:type="dxa"/>
            <w:shd w:val="clear" w:color="auto" w:fill="C6EFCE"/>
            <w:noWrap/>
          </w:tcPr>
          <w:p w14:paraId="196DE0BC" w14:textId="1CF89A8E" w:rsidR="00302FC1" w:rsidRPr="00AB26B3" w:rsidRDefault="00D64F26">
            <w:pPr>
              <w:pStyle w:val="P68B1DB1-Normal12"/>
              <w:rPr>
                <w:noProof/>
                <w:spacing w:val="-6"/>
                <w:lang w:val="sk-SK"/>
              </w:rPr>
            </w:pPr>
            <w:r w:rsidRPr="00AB26B3">
              <w:rPr>
                <w:noProof/>
                <w:spacing w:val="-6"/>
                <w:lang w:val="sk-SK"/>
              </w:rPr>
              <w:t>predbežné rýchle vizuálne inšpekcie vykonané</w:t>
            </w:r>
            <w:r w:rsidR="00AB26B3" w:rsidRPr="00AB26B3">
              <w:rPr>
                <w:noProof/>
                <w:spacing w:val="-6"/>
                <w:lang w:val="sk-SK"/>
              </w:rPr>
              <w:t xml:space="preserve"> v </w:t>
            </w:r>
            <w:r w:rsidRPr="00AB26B3">
              <w:rPr>
                <w:noProof/>
                <w:spacing w:val="-6"/>
                <w:lang w:val="sk-SK"/>
              </w:rPr>
              <w:t>21970 budovách</w:t>
            </w:r>
          </w:p>
        </w:tc>
      </w:tr>
      <w:tr w:rsidR="00302FC1" w:rsidRPr="00AB26B3" w14:paraId="488A39AF" w14:textId="77777777">
        <w:trPr>
          <w:trHeight w:val="309"/>
          <w:jc w:val="center"/>
        </w:trPr>
        <w:tc>
          <w:tcPr>
            <w:tcW w:w="575" w:type="dxa"/>
            <w:shd w:val="clear" w:color="auto" w:fill="C6EFCE"/>
            <w:noWrap/>
          </w:tcPr>
          <w:p w14:paraId="4132500C" w14:textId="35DF40A2" w:rsidR="00302FC1" w:rsidRPr="00AB26B3" w:rsidRDefault="00D64F26">
            <w:pPr>
              <w:pStyle w:val="P68B1DB1-Normal12"/>
              <w:rPr>
                <w:noProof/>
                <w:spacing w:val="-6"/>
                <w:lang w:val="sk-SK"/>
              </w:rPr>
            </w:pPr>
            <w:r w:rsidRPr="00AB26B3">
              <w:rPr>
                <w:noProof/>
                <w:spacing w:val="-6"/>
                <w:lang w:val="sk-SK"/>
              </w:rPr>
              <w:t>385</w:t>
            </w:r>
          </w:p>
        </w:tc>
        <w:tc>
          <w:tcPr>
            <w:tcW w:w="1680" w:type="dxa"/>
            <w:shd w:val="clear" w:color="auto" w:fill="C6EFCE"/>
            <w:noWrap/>
          </w:tcPr>
          <w:p w14:paraId="4235BF57" w14:textId="0031E6E6"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16404_ Rozvojový program pre miestnu samosprávu „Antonis Tritsis“</w:t>
            </w:r>
          </w:p>
        </w:tc>
        <w:tc>
          <w:tcPr>
            <w:tcW w:w="1143" w:type="dxa"/>
            <w:shd w:val="clear" w:color="auto" w:fill="C6EFCE"/>
            <w:noWrap/>
          </w:tcPr>
          <w:p w14:paraId="22FA446C" w14:textId="77777777" w:rsidR="00302FC1" w:rsidRPr="00AB26B3" w:rsidRDefault="00D64F26">
            <w:pPr>
              <w:pStyle w:val="P68B1DB1-Normal12"/>
              <w:rPr>
                <w:noProof/>
                <w:spacing w:val="-6"/>
                <w:lang w:val="sk-SK"/>
              </w:rPr>
            </w:pPr>
            <w:r w:rsidRPr="00AB26B3">
              <w:rPr>
                <w:noProof/>
                <w:spacing w:val="-6"/>
                <w:lang w:val="sk-SK"/>
              </w:rPr>
              <w:t>Míľnik</w:t>
            </w:r>
          </w:p>
        </w:tc>
        <w:tc>
          <w:tcPr>
            <w:tcW w:w="1277" w:type="dxa"/>
            <w:shd w:val="clear" w:color="auto" w:fill="C6EFCE"/>
            <w:noWrap/>
          </w:tcPr>
          <w:p w14:paraId="761FB893" w14:textId="77777777" w:rsidR="00302FC1" w:rsidRPr="00AB26B3" w:rsidRDefault="00D64F26">
            <w:pPr>
              <w:pStyle w:val="P68B1DB1-Normal12"/>
              <w:spacing w:after="0" w:line="240" w:lineRule="auto"/>
              <w:rPr>
                <w:noProof/>
                <w:spacing w:val="-6"/>
                <w:lang w:val="sk-SK"/>
              </w:rPr>
            </w:pPr>
            <w:r w:rsidRPr="00AB26B3">
              <w:rPr>
                <w:noProof/>
                <w:spacing w:val="-6"/>
                <w:lang w:val="sk-SK"/>
              </w:rPr>
              <w:t>Rozvojový program pre miestnu samosprávu „Antonis Tritsis“</w:t>
            </w:r>
          </w:p>
        </w:tc>
        <w:tc>
          <w:tcPr>
            <w:tcW w:w="1320" w:type="dxa"/>
            <w:shd w:val="clear" w:color="auto" w:fill="C6EFCE"/>
            <w:noWrap/>
          </w:tcPr>
          <w:p w14:paraId="39F8DB56" w14:textId="3246FC92" w:rsidR="00302FC1" w:rsidRPr="00AB26B3" w:rsidRDefault="00D64F26">
            <w:pPr>
              <w:pStyle w:val="P68B1DB1-Normal12"/>
              <w:spacing w:after="0" w:line="240" w:lineRule="auto"/>
              <w:rPr>
                <w:noProof/>
                <w:spacing w:val="-6"/>
                <w:lang w:val="sk-SK"/>
              </w:rPr>
            </w:pPr>
            <w:r w:rsidRPr="00AB26B3">
              <w:rPr>
                <w:noProof/>
                <w:spacing w:val="-6"/>
                <w:lang w:val="sk-SK"/>
              </w:rPr>
              <w:t>Realizácia 39 projektov</w:t>
            </w:r>
            <w:r w:rsidR="00AB26B3" w:rsidRPr="00AB26B3">
              <w:rPr>
                <w:noProof/>
                <w:spacing w:val="-6"/>
                <w:lang w:val="sk-SK"/>
              </w:rPr>
              <w:t xml:space="preserve"> v </w:t>
            </w:r>
            <w:r w:rsidRPr="00AB26B3">
              <w:rPr>
                <w:noProof/>
                <w:spacing w:val="-6"/>
                <w:lang w:val="sk-SK"/>
              </w:rPr>
              <w:t>rámci programu Antonis Tritsis</w:t>
            </w:r>
          </w:p>
        </w:tc>
        <w:tc>
          <w:tcPr>
            <w:tcW w:w="1200" w:type="dxa"/>
            <w:shd w:val="clear" w:color="auto" w:fill="C6EFCE"/>
            <w:noWrap/>
          </w:tcPr>
          <w:p w14:paraId="1B033681"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654EB88B"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180AA9DB"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6C22E59C" w14:textId="3EAB28B5" w:rsidR="00302FC1" w:rsidRPr="00AB26B3" w:rsidRDefault="00D64F26">
            <w:pPr>
              <w:pStyle w:val="P68B1DB1-Normal12"/>
              <w:rPr>
                <w:noProof/>
                <w:spacing w:val="-6"/>
                <w:lang w:val="sk-SK"/>
              </w:rPr>
            </w:pPr>
            <w:r w:rsidRPr="00AB26B3">
              <w:rPr>
                <w:noProof/>
                <w:spacing w:val="-6"/>
                <w:lang w:val="sk-SK"/>
              </w:rPr>
              <w:t>ŠTVRŤROK</w:t>
            </w:r>
          </w:p>
        </w:tc>
        <w:tc>
          <w:tcPr>
            <w:tcW w:w="960" w:type="dxa"/>
            <w:shd w:val="clear" w:color="auto" w:fill="C6EFCE"/>
            <w:noWrap/>
          </w:tcPr>
          <w:p w14:paraId="11CF9493" w14:textId="1895A65B" w:rsidR="00302FC1" w:rsidRPr="00AB26B3" w:rsidRDefault="00D64F26">
            <w:pPr>
              <w:pStyle w:val="P68B1DB1-Normal12"/>
              <w:rPr>
                <w:noProof/>
                <w:spacing w:val="-6"/>
                <w:lang w:val="sk-SK"/>
              </w:rPr>
            </w:pPr>
            <w:r w:rsidRPr="00AB26B3">
              <w:rPr>
                <w:noProof/>
                <w:spacing w:val="-6"/>
                <w:lang w:val="sk-SK"/>
              </w:rPr>
              <w:t>2025</w:t>
            </w:r>
          </w:p>
        </w:tc>
        <w:tc>
          <w:tcPr>
            <w:tcW w:w="4553" w:type="dxa"/>
            <w:shd w:val="clear" w:color="auto" w:fill="C6EFCE"/>
            <w:noWrap/>
          </w:tcPr>
          <w:p w14:paraId="63838B77" w14:textId="00FF9C25" w:rsidR="00302FC1" w:rsidRPr="00AB26B3" w:rsidRDefault="00D64F26">
            <w:pPr>
              <w:rPr>
                <w:rFonts w:ascii="Times New Roman" w:hAnsi="Times New Roman" w:cs="Times New Roman"/>
                <w:noProof/>
                <w:color w:val="006100"/>
                <w:spacing w:val="-6"/>
                <w:sz w:val="18"/>
                <w:szCs w:val="18"/>
                <w:lang w:val="sk-SK"/>
              </w:rPr>
            </w:pPr>
            <w:r w:rsidRPr="00AB26B3">
              <w:rPr>
                <w:rFonts w:ascii="Times New Roman" w:hAnsi="Times New Roman" w:cs="Times New Roman"/>
                <w:noProof/>
                <w:color w:val="006100"/>
                <w:spacing w:val="-6"/>
                <w:sz w:val="18"/>
                <w:szCs w:val="18"/>
                <w:lang w:val="sk-SK"/>
              </w:rPr>
              <w:t>Realizácia 39 projektov</w:t>
            </w:r>
            <w:r w:rsidR="00AB26B3" w:rsidRPr="00AB26B3">
              <w:rPr>
                <w:rFonts w:ascii="Times New Roman" w:hAnsi="Times New Roman" w:cs="Times New Roman"/>
                <w:noProof/>
                <w:color w:val="006100"/>
                <w:spacing w:val="-6"/>
                <w:sz w:val="18"/>
                <w:szCs w:val="18"/>
                <w:lang w:val="sk-SK"/>
              </w:rPr>
              <w:t xml:space="preserve"> v </w:t>
            </w:r>
            <w:r w:rsidRPr="00AB26B3">
              <w:rPr>
                <w:rFonts w:ascii="Times New Roman" w:hAnsi="Times New Roman" w:cs="Times New Roman"/>
                <w:noProof/>
                <w:color w:val="006100"/>
                <w:spacing w:val="-6"/>
                <w:sz w:val="18"/>
                <w:szCs w:val="18"/>
                <w:lang w:val="sk-SK"/>
              </w:rPr>
              <w:t>rámci programu Antonis Tritsis</w:t>
            </w:r>
            <w:r w:rsidRPr="00AB26B3">
              <w:rPr>
                <w:rStyle w:val="FootnoteReference"/>
                <w:rFonts w:ascii="Times New Roman" w:hAnsi="Times New Roman" w:cs="Times New Roman"/>
                <w:noProof/>
                <w:color w:val="006100"/>
                <w:spacing w:val="-6"/>
                <w:sz w:val="18"/>
                <w:szCs w:val="18"/>
                <w:lang w:val="sk-SK"/>
              </w:rPr>
              <w:footnoteReference w:id="3"/>
            </w:r>
          </w:p>
        </w:tc>
      </w:tr>
      <w:tr w:rsidR="00302FC1" w:rsidRPr="00AB26B3" w14:paraId="0693AD1D" w14:textId="77777777">
        <w:trPr>
          <w:trHeight w:val="300"/>
          <w:jc w:val="center"/>
        </w:trPr>
        <w:tc>
          <w:tcPr>
            <w:tcW w:w="575" w:type="dxa"/>
            <w:shd w:val="clear" w:color="auto" w:fill="C6EFCE"/>
            <w:noWrap/>
          </w:tcPr>
          <w:p w14:paraId="79D3C62A" w14:textId="50BF6077" w:rsidR="00302FC1" w:rsidRPr="00AB26B3" w:rsidRDefault="00D64F26">
            <w:pPr>
              <w:pStyle w:val="P68B1DB1-Normal12"/>
              <w:rPr>
                <w:noProof/>
                <w:spacing w:val="-6"/>
                <w:lang w:val="sk-SK"/>
              </w:rPr>
            </w:pPr>
            <w:r w:rsidRPr="00AB26B3">
              <w:rPr>
                <w:noProof/>
                <w:spacing w:val="-6"/>
                <w:lang w:val="sk-SK"/>
              </w:rPr>
              <w:t>386</w:t>
            </w:r>
          </w:p>
        </w:tc>
        <w:tc>
          <w:tcPr>
            <w:tcW w:w="1680" w:type="dxa"/>
            <w:shd w:val="clear" w:color="auto" w:fill="C6EFCE"/>
            <w:noWrap/>
          </w:tcPr>
          <w:p w14:paraId="4C66200F" w14:textId="12212A02" w:rsidR="00302FC1" w:rsidRPr="00AB26B3" w:rsidRDefault="00D64F26">
            <w:pPr>
              <w:pStyle w:val="P68B1DB1-Normal12"/>
              <w:spacing w:after="0" w:line="240" w:lineRule="auto"/>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16404_ Rozvojový program pre miestnu samosprávu „Antonis Tritsis“</w:t>
            </w:r>
          </w:p>
        </w:tc>
        <w:tc>
          <w:tcPr>
            <w:tcW w:w="1143" w:type="dxa"/>
            <w:shd w:val="clear" w:color="auto" w:fill="C6EFCE"/>
            <w:noWrap/>
          </w:tcPr>
          <w:p w14:paraId="04E8C162" w14:textId="77777777" w:rsidR="00302FC1" w:rsidRPr="00AB26B3" w:rsidRDefault="00D64F26">
            <w:pPr>
              <w:pStyle w:val="P68B1DB1-Normal12"/>
              <w:rPr>
                <w:noProof/>
                <w:spacing w:val="-6"/>
                <w:lang w:val="sk-SK"/>
              </w:rPr>
            </w:pPr>
            <w:r w:rsidRPr="00AB26B3">
              <w:rPr>
                <w:noProof/>
                <w:spacing w:val="-6"/>
                <w:lang w:val="sk-SK"/>
              </w:rPr>
              <w:t>Míľnik</w:t>
            </w:r>
          </w:p>
        </w:tc>
        <w:tc>
          <w:tcPr>
            <w:tcW w:w="1277" w:type="dxa"/>
            <w:shd w:val="clear" w:color="auto" w:fill="C6EFCE"/>
            <w:noWrap/>
          </w:tcPr>
          <w:p w14:paraId="704F8F96" w14:textId="77777777" w:rsidR="00302FC1" w:rsidRPr="00AB26B3" w:rsidRDefault="00D64F26">
            <w:pPr>
              <w:pStyle w:val="P68B1DB1-Normal12"/>
              <w:spacing w:after="0" w:line="240" w:lineRule="auto"/>
              <w:rPr>
                <w:noProof/>
                <w:spacing w:val="-6"/>
                <w:lang w:val="sk-SK"/>
              </w:rPr>
            </w:pPr>
            <w:r w:rsidRPr="00AB26B3">
              <w:rPr>
                <w:noProof/>
                <w:spacing w:val="-6"/>
                <w:lang w:val="sk-SK"/>
              </w:rPr>
              <w:t>Rozvojový program pre miestnu samosprávu „Antonis Tritsis“</w:t>
            </w:r>
          </w:p>
        </w:tc>
        <w:tc>
          <w:tcPr>
            <w:tcW w:w="1320" w:type="dxa"/>
            <w:shd w:val="clear" w:color="auto" w:fill="C6EFCE"/>
            <w:noWrap/>
          </w:tcPr>
          <w:p w14:paraId="4EFE15D5" w14:textId="05FC6C6A" w:rsidR="00302FC1" w:rsidRPr="00AB26B3" w:rsidRDefault="00D64F26">
            <w:pPr>
              <w:pStyle w:val="P68B1DB1-Normal12"/>
              <w:spacing w:after="0" w:line="240" w:lineRule="auto"/>
              <w:rPr>
                <w:noProof/>
                <w:spacing w:val="-6"/>
                <w:lang w:val="sk-SK"/>
              </w:rPr>
            </w:pPr>
            <w:r w:rsidRPr="00AB26B3">
              <w:rPr>
                <w:noProof/>
                <w:spacing w:val="-6"/>
                <w:lang w:val="sk-SK"/>
              </w:rPr>
              <w:t>Realizácia 44 projektov</w:t>
            </w:r>
            <w:r w:rsidR="00AB26B3" w:rsidRPr="00AB26B3">
              <w:rPr>
                <w:noProof/>
                <w:spacing w:val="-6"/>
                <w:lang w:val="sk-SK"/>
              </w:rPr>
              <w:t xml:space="preserve"> v </w:t>
            </w:r>
            <w:r w:rsidRPr="00AB26B3">
              <w:rPr>
                <w:noProof/>
                <w:spacing w:val="-6"/>
                <w:lang w:val="sk-SK"/>
              </w:rPr>
              <w:t>rámci programu Antonis Tritsis</w:t>
            </w:r>
          </w:p>
        </w:tc>
        <w:tc>
          <w:tcPr>
            <w:tcW w:w="1200" w:type="dxa"/>
            <w:shd w:val="clear" w:color="auto" w:fill="C6EFCE"/>
            <w:noWrap/>
          </w:tcPr>
          <w:p w14:paraId="04987A4D"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6898A15B"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4273018A" w14:textId="77777777" w:rsidR="00302FC1" w:rsidRPr="00AB26B3" w:rsidRDefault="00302FC1">
            <w:pPr>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510EF109" w14:textId="001C4697" w:rsidR="00302FC1" w:rsidRPr="00AB26B3" w:rsidRDefault="00D64F26">
            <w:pPr>
              <w:pStyle w:val="P68B1DB1-Normal12"/>
              <w:rPr>
                <w:noProof/>
                <w:spacing w:val="-6"/>
                <w:lang w:val="sk-SK"/>
              </w:rPr>
            </w:pPr>
            <w:r w:rsidRPr="00AB26B3">
              <w:rPr>
                <w:noProof/>
                <w:spacing w:val="-6"/>
                <w:lang w:val="sk-SK"/>
              </w:rPr>
              <w:t>ŠTVRTÝ ŠTVRŤROK</w:t>
            </w:r>
          </w:p>
        </w:tc>
        <w:tc>
          <w:tcPr>
            <w:tcW w:w="960" w:type="dxa"/>
            <w:shd w:val="clear" w:color="auto" w:fill="C6EFCE"/>
            <w:noWrap/>
          </w:tcPr>
          <w:p w14:paraId="4541C14F" w14:textId="2139A50D" w:rsidR="00302FC1" w:rsidRPr="00AB26B3" w:rsidRDefault="00D64F26">
            <w:pPr>
              <w:pStyle w:val="P68B1DB1-Normal12"/>
              <w:rPr>
                <w:noProof/>
                <w:spacing w:val="-6"/>
                <w:lang w:val="sk-SK"/>
              </w:rPr>
            </w:pPr>
            <w:r w:rsidRPr="00AB26B3">
              <w:rPr>
                <w:noProof/>
                <w:spacing w:val="-6"/>
                <w:lang w:val="sk-SK"/>
              </w:rPr>
              <w:t>2025</w:t>
            </w:r>
          </w:p>
        </w:tc>
        <w:tc>
          <w:tcPr>
            <w:tcW w:w="4553" w:type="dxa"/>
            <w:shd w:val="clear" w:color="auto" w:fill="C6EFCE"/>
            <w:noWrap/>
          </w:tcPr>
          <w:p w14:paraId="06A1C1C7" w14:textId="55A26217" w:rsidR="00302FC1" w:rsidRPr="00AB26B3" w:rsidRDefault="00D64F26">
            <w:pPr>
              <w:pStyle w:val="P68B1DB1-Normal12"/>
              <w:rPr>
                <w:rFonts w:eastAsia="Aptos"/>
                <w:noProof/>
                <w:color w:val="000000" w:themeColor="text1"/>
                <w:spacing w:val="-6"/>
                <w:lang w:val="sk-SK"/>
              </w:rPr>
            </w:pPr>
            <w:r w:rsidRPr="00AB26B3">
              <w:rPr>
                <w:noProof/>
                <w:spacing w:val="-6"/>
                <w:lang w:val="sk-SK"/>
              </w:rPr>
              <w:t>Realizácia 44 projektov</w:t>
            </w:r>
            <w:r w:rsidR="00AB26B3" w:rsidRPr="00AB26B3">
              <w:rPr>
                <w:noProof/>
                <w:spacing w:val="-6"/>
                <w:lang w:val="sk-SK"/>
              </w:rPr>
              <w:t xml:space="preserve"> v </w:t>
            </w:r>
            <w:r w:rsidRPr="00AB26B3">
              <w:rPr>
                <w:noProof/>
                <w:spacing w:val="-6"/>
                <w:lang w:val="sk-SK"/>
              </w:rPr>
              <w:t>rámci programu Antonis Tritsis</w:t>
            </w:r>
          </w:p>
        </w:tc>
      </w:tr>
    </w:tbl>
    <w:p w14:paraId="6A64DF64" w14:textId="0E1A0300" w:rsidR="00302FC1" w:rsidRPr="00AB26B3" w:rsidRDefault="00D64F26">
      <w:pPr>
        <w:spacing w:before="120" w:after="120" w:line="240" w:lineRule="auto"/>
        <w:rPr>
          <w:rFonts w:ascii="Times New Roman" w:hAnsi="Times New Roman" w:cs="Times New Roman"/>
          <w:noProof/>
          <w:spacing w:val="-6"/>
          <w:sz w:val="24"/>
          <w:lang w:val="sk-SK"/>
        </w:rPr>
        <w:sectPr w:rsidR="00302FC1" w:rsidRPr="00AB26B3" w:rsidSect="00315FC0">
          <w:headerReference w:type="even" r:id="rId98"/>
          <w:headerReference w:type="default" r:id="rId99"/>
          <w:footerReference w:type="even" r:id="rId100"/>
          <w:footerReference w:type="default" r:id="rId101"/>
          <w:headerReference w:type="first" r:id="rId102"/>
          <w:footerReference w:type="first" r:id="rId103"/>
          <w:pgSz w:w="16839" w:h="11907" w:orient="landscape"/>
          <w:pgMar w:top="720" w:right="720" w:bottom="720" w:left="720" w:header="709" w:footer="709" w:gutter="0"/>
          <w:cols w:space="720"/>
          <w:docGrid w:linePitch="360"/>
        </w:sectPr>
      </w:pPr>
      <w:r w:rsidRPr="00AB26B3">
        <w:rPr>
          <w:rFonts w:ascii="Times New Roman" w:hAnsi="Times New Roman"/>
          <w:noProof/>
          <w:spacing w:val="-6"/>
          <w:lang w:val="sk-SK"/>
        </w:rPr>
        <w:tab/>
      </w:r>
    </w:p>
    <w:p w14:paraId="7C530F9E" w14:textId="77777777" w:rsidR="00302FC1" w:rsidRPr="00AB26B3" w:rsidRDefault="00D64F26">
      <w:pPr>
        <w:pStyle w:val="P68B1DB1-ListParagraph3"/>
        <w:numPr>
          <w:ilvl w:val="0"/>
          <w:numId w:val="16"/>
        </w:numPr>
        <w:spacing w:before="120" w:after="120" w:line="240" w:lineRule="auto"/>
        <w:jc w:val="both"/>
        <w:outlineLvl w:val="3"/>
        <w:rPr>
          <w:rFonts w:cs="Times New Roman"/>
          <w:bCs/>
          <w:noProof/>
          <w:spacing w:val="-6"/>
          <w:lang w:val="sk-SK"/>
        </w:rPr>
      </w:pPr>
      <w:r w:rsidRPr="00AB26B3">
        <w:rPr>
          <w:noProof/>
          <w:spacing w:val="-6"/>
          <w:lang w:val="sk-SK"/>
        </w:rPr>
        <w:t>ZLOŽKA 2.1: PRIPOJIŤ</w:t>
      </w:r>
    </w:p>
    <w:p w14:paraId="198B17D6" w14:textId="042AF5C3"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 xml:space="preserve">Tento komponent </w:t>
      </w:r>
      <w:r w:rsidRPr="00AB26B3">
        <w:rPr>
          <w:noProof/>
          <w:color w:val="000000"/>
          <w:spacing w:val="-6"/>
          <w:lang w:val="sk-SK"/>
        </w:rPr>
        <w:t>gréckeho plánu obnovy</w:t>
      </w:r>
      <w:r w:rsidR="00AB26B3" w:rsidRPr="00AB26B3">
        <w:rPr>
          <w:noProof/>
          <w:color w:val="000000"/>
          <w:spacing w:val="-6"/>
          <w:lang w:val="sk-SK"/>
        </w:rPr>
        <w:t xml:space="preserve"> a </w:t>
      </w:r>
      <w:r w:rsidRPr="00AB26B3">
        <w:rPr>
          <w:noProof/>
          <w:color w:val="000000"/>
          <w:spacing w:val="-6"/>
          <w:lang w:val="sk-SK"/>
        </w:rPr>
        <w:t>odolnosti</w:t>
      </w:r>
      <w:r w:rsidRPr="00AB26B3">
        <w:rPr>
          <w:noProof/>
          <w:spacing w:val="-6"/>
          <w:lang w:val="sk-SK"/>
        </w:rPr>
        <w:t xml:space="preserve"> obsahuje opatrenia, ktorých cieľom je podporiť</w:t>
      </w:r>
      <w:r w:rsidR="00AB26B3" w:rsidRPr="00AB26B3">
        <w:rPr>
          <w:noProof/>
          <w:spacing w:val="-6"/>
          <w:lang w:val="sk-SK"/>
        </w:rPr>
        <w:t xml:space="preserve"> a </w:t>
      </w:r>
      <w:r w:rsidRPr="00AB26B3">
        <w:rPr>
          <w:noProof/>
          <w:spacing w:val="-6"/>
          <w:lang w:val="sk-SK"/>
        </w:rPr>
        <w:t>uľahčiť rozsiahle zavádzanie sietí</w:t>
      </w:r>
      <w:r w:rsidR="00AB26B3" w:rsidRPr="00AB26B3">
        <w:rPr>
          <w:noProof/>
          <w:spacing w:val="-6"/>
          <w:lang w:val="sk-SK"/>
        </w:rPr>
        <w:t xml:space="preserve"> s </w:t>
      </w:r>
      <w:r w:rsidRPr="00AB26B3">
        <w:rPr>
          <w:noProof/>
          <w:spacing w:val="-6"/>
          <w:lang w:val="sk-SK"/>
        </w:rPr>
        <w:t>veľmi vysokou kapacitou vrátane 5G</w:t>
      </w:r>
      <w:r w:rsidR="00AB26B3" w:rsidRPr="00AB26B3">
        <w:rPr>
          <w:noProof/>
          <w:spacing w:val="-6"/>
          <w:lang w:val="sk-SK"/>
        </w:rPr>
        <w:t xml:space="preserve"> a </w:t>
      </w:r>
      <w:r w:rsidRPr="00AB26B3">
        <w:rPr>
          <w:noProof/>
          <w:spacing w:val="-6"/>
          <w:lang w:val="sk-SK"/>
        </w:rPr>
        <w:t>optických vlákien</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cieľmi EÚ</w:t>
      </w:r>
      <w:r w:rsidR="00AB26B3" w:rsidRPr="00AB26B3">
        <w:rPr>
          <w:noProof/>
          <w:spacing w:val="-6"/>
          <w:lang w:val="sk-SK"/>
        </w:rPr>
        <w:t xml:space="preserve"> v </w:t>
      </w:r>
      <w:r w:rsidRPr="00AB26B3">
        <w:rPr>
          <w:noProof/>
          <w:spacing w:val="-6"/>
          <w:lang w:val="sk-SK"/>
        </w:rPr>
        <w:t>oblasti 5G</w:t>
      </w:r>
      <w:r w:rsidR="00AB26B3" w:rsidRPr="00AB26B3">
        <w:rPr>
          <w:noProof/>
          <w:spacing w:val="-6"/>
          <w:lang w:val="sk-SK"/>
        </w:rPr>
        <w:t xml:space="preserve"> a </w:t>
      </w:r>
      <w:r w:rsidRPr="00AB26B3">
        <w:rPr>
          <w:noProof/>
          <w:spacing w:val="-6"/>
          <w:lang w:val="sk-SK"/>
        </w:rPr>
        <w:t>gigabitového pripojenia do roku 2025</w:t>
      </w:r>
      <w:r w:rsidR="00AB26B3" w:rsidRPr="00AB26B3">
        <w:rPr>
          <w:noProof/>
          <w:spacing w:val="-6"/>
          <w:lang w:val="sk-SK"/>
        </w:rPr>
        <w:t xml:space="preserve"> a </w:t>
      </w:r>
      <w:r w:rsidRPr="00AB26B3">
        <w:rPr>
          <w:noProof/>
          <w:spacing w:val="-6"/>
          <w:lang w:val="sk-SK"/>
        </w:rPr>
        <w:t>rozvoj konštelácie malých satelitov. Investície zahrnuté</w:t>
      </w:r>
      <w:r w:rsidR="00AB26B3" w:rsidRPr="00AB26B3">
        <w:rPr>
          <w:noProof/>
          <w:spacing w:val="-6"/>
          <w:lang w:val="sk-SK"/>
        </w:rPr>
        <w:t xml:space="preserve"> v </w:t>
      </w:r>
      <w:r w:rsidRPr="00AB26B3">
        <w:rPr>
          <w:noProof/>
          <w:spacing w:val="-6"/>
          <w:lang w:val="sk-SK"/>
        </w:rPr>
        <w:t>tomto komponente sa týkajú inštalácie infraštruktúry optických vlákien</w:t>
      </w:r>
      <w:r w:rsidR="00AB26B3" w:rsidRPr="00AB26B3">
        <w:rPr>
          <w:noProof/>
          <w:spacing w:val="-6"/>
          <w:lang w:val="sk-SK"/>
        </w:rPr>
        <w:t xml:space="preserve"> v </w:t>
      </w:r>
      <w:r w:rsidRPr="00AB26B3">
        <w:rPr>
          <w:noProof/>
          <w:spacing w:val="-6"/>
          <w:lang w:val="sk-SK"/>
        </w:rPr>
        <w:t>budovách</w:t>
      </w:r>
      <w:r w:rsidR="00AB26B3" w:rsidRPr="00AB26B3">
        <w:rPr>
          <w:noProof/>
          <w:spacing w:val="-6"/>
          <w:lang w:val="sk-SK"/>
        </w:rPr>
        <w:t xml:space="preserve"> a </w:t>
      </w:r>
      <w:r w:rsidRPr="00AB26B3">
        <w:rPr>
          <w:noProof/>
          <w:spacing w:val="-6"/>
          <w:lang w:val="sk-SK"/>
        </w:rPr>
        <w:t>využívania vesmírnych technológií</w:t>
      </w:r>
      <w:r w:rsidR="00AB26B3" w:rsidRPr="00AB26B3">
        <w:rPr>
          <w:noProof/>
          <w:spacing w:val="-6"/>
          <w:lang w:val="sk-SK"/>
        </w:rPr>
        <w:t xml:space="preserve"> a </w:t>
      </w:r>
      <w:r w:rsidRPr="00AB26B3">
        <w:rPr>
          <w:noProof/>
          <w:spacing w:val="-6"/>
          <w:lang w:val="sk-SK"/>
        </w:rPr>
        <w:t>aplikácií prostredníctvom vývoja konštelácie malých satelitov, ktorá podporuje služby bezpečnej konektivity</w:t>
      </w:r>
      <w:r w:rsidR="00AB26B3" w:rsidRPr="00AB26B3">
        <w:rPr>
          <w:noProof/>
          <w:spacing w:val="-6"/>
          <w:lang w:val="sk-SK"/>
        </w:rPr>
        <w:t xml:space="preserve"> v </w:t>
      </w:r>
      <w:r w:rsidRPr="00AB26B3">
        <w:rPr>
          <w:noProof/>
          <w:spacing w:val="-6"/>
          <w:lang w:val="sk-SK"/>
        </w:rPr>
        <w:t>spojení</w:t>
      </w:r>
      <w:r w:rsidR="00AB26B3" w:rsidRPr="00AB26B3">
        <w:rPr>
          <w:noProof/>
          <w:spacing w:val="-6"/>
          <w:lang w:val="sk-SK"/>
        </w:rPr>
        <w:t xml:space="preserve"> s </w:t>
      </w:r>
      <w:r w:rsidRPr="00AB26B3">
        <w:rPr>
          <w:noProof/>
          <w:spacing w:val="-6"/>
          <w:lang w:val="sk-SK"/>
        </w:rPr>
        <w:t>viacúčelovými aplikáciami na pozorovanie Zeme. Reformami zahrnutými do tohto komponentu sa vytvára rámec na uľahčenie prechodu na rýchle širokopásmové pripojenie</w:t>
      </w:r>
      <w:r w:rsidR="00AB26B3" w:rsidRPr="00AB26B3">
        <w:rPr>
          <w:noProof/>
          <w:spacing w:val="-6"/>
          <w:lang w:val="sk-SK"/>
        </w:rPr>
        <w:t xml:space="preserve"> a </w:t>
      </w:r>
      <w:r w:rsidRPr="00AB26B3">
        <w:rPr>
          <w:noProof/>
          <w:spacing w:val="-6"/>
          <w:lang w:val="sk-SK"/>
        </w:rPr>
        <w:t>prechodu na technológiu 5G.</w:t>
      </w:r>
    </w:p>
    <w:p w14:paraId="081E34E7" w14:textId="682C8DC9"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Všetky navrhované investície</w:t>
      </w:r>
      <w:r w:rsidR="00AB26B3" w:rsidRPr="00AB26B3">
        <w:rPr>
          <w:noProof/>
          <w:spacing w:val="-6"/>
          <w:lang w:val="sk-SK"/>
        </w:rPr>
        <w:t xml:space="preserve"> a </w:t>
      </w:r>
      <w:r w:rsidRPr="00AB26B3">
        <w:rPr>
          <w:noProof/>
          <w:spacing w:val="-6"/>
          <w:lang w:val="sk-SK"/>
        </w:rPr>
        <w:t>reformy riešia výzvy vyplývajúce</w:t>
      </w:r>
      <w:r w:rsidR="00AB26B3" w:rsidRPr="00AB26B3">
        <w:rPr>
          <w:noProof/>
          <w:spacing w:val="-6"/>
          <w:lang w:val="sk-SK"/>
        </w:rPr>
        <w:t xml:space="preserve"> z </w:t>
      </w:r>
      <w:r w:rsidRPr="00AB26B3">
        <w:rPr>
          <w:noProof/>
          <w:spacing w:val="-6"/>
          <w:lang w:val="sk-SK"/>
        </w:rPr>
        <w:t>rastúcej potreby prepojenosti</w:t>
      </w:r>
      <w:r w:rsidR="00AB26B3" w:rsidRPr="00AB26B3">
        <w:rPr>
          <w:noProof/>
          <w:spacing w:val="-6"/>
          <w:lang w:val="sk-SK"/>
        </w:rPr>
        <w:t xml:space="preserve"> a </w:t>
      </w:r>
      <w:r w:rsidRPr="00AB26B3">
        <w:rPr>
          <w:noProof/>
          <w:spacing w:val="-6"/>
          <w:lang w:val="sk-SK"/>
        </w:rPr>
        <w:t>pozorovania Zeme</w:t>
      </w:r>
      <w:r w:rsidR="00AB26B3" w:rsidRPr="00AB26B3">
        <w:rPr>
          <w:noProof/>
          <w:spacing w:val="-6"/>
          <w:lang w:val="sk-SK"/>
        </w:rPr>
        <w:t xml:space="preserve"> a </w:t>
      </w:r>
      <w:r w:rsidRPr="00AB26B3">
        <w:rPr>
          <w:noProof/>
          <w:spacing w:val="-6"/>
          <w:lang w:val="sk-SK"/>
        </w:rPr>
        <w:t xml:space="preserve">dohľadu nad ňou. Opatreniami sa podporuje riešenie </w:t>
      </w:r>
      <w:r w:rsidRPr="00AB26B3">
        <w:rPr>
          <w:i/>
          <w:noProof/>
          <w:color w:val="000000" w:themeColor="text1"/>
          <w:spacing w:val="-6"/>
          <w:lang w:val="sk-SK"/>
        </w:rPr>
        <w:t xml:space="preserve">odporúčania pre Grécko týkajúceho </w:t>
      </w:r>
      <w:r w:rsidRPr="00AB26B3">
        <w:rPr>
          <w:noProof/>
          <w:spacing w:val="-6"/>
          <w:lang w:val="sk-SK"/>
        </w:rPr>
        <w:t>sa verejných</w:t>
      </w:r>
      <w:r w:rsidR="00AB26B3" w:rsidRPr="00AB26B3">
        <w:rPr>
          <w:noProof/>
          <w:spacing w:val="-6"/>
          <w:lang w:val="sk-SK"/>
        </w:rPr>
        <w:t xml:space="preserve"> a </w:t>
      </w:r>
      <w:r w:rsidRPr="00AB26B3">
        <w:rPr>
          <w:noProof/>
          <w:spacing w:val="-6"/>
          <w:lang w:val="sk-SK"/>
        </w:rPr>
        <w:t>súkromných investícií (</w:t>
      </w:r>
      <w:r w:rsidRPr="00AB26B3">
        <w:rPr>
          <w:i/>
          <w:noProof/>
          <w:color w:val="000000" w:themeColor="text1"/>
          <w:spacing w:val="-6"/>
          <w:lang w:val="sk-SK"/>
        </w:rPr>
        <w:t xml:space="preserve">odporúčanie pre Grécko </w:t>
      </w:r>
      <w:r w:rsidR="00AB26B3" w:rsidRPr="00AB26B3">
        <w:rPr>
          <w:i/>
          <w:noProof/>
          <w:color w:val="000000" w:themeColor="text1"/>
          <w:spacing w:val="-6"/>
          <w:lang w:val="sk-SK"/>
        </w:rPr>
        <w:t>č. </w:t>
      </w:r>
      <w:r w:rsidRPr="00AB26B3">
        <w:rPr>
          <w:i/>
          <w:noProof/>
          <w:color w:val="000000" w:themeColor="text1"/>
          <w:spacing w:val="-6"/>
          <w:lang w:val="sk-SK"/>
        </w:rPr>
        <w:t xml:space="preserve">3 </w:t>
      </w:r>
      <w:r w:rsidRPr="00AB26B3">
        <w:rPr>
          <w:noProof/>
          <w:spacing w:val="-6"/>
          <w:lang w:val="sk-SK"/>
        </w:rPr>
        <w:t>2020),</w:t>
      </w:r>
      <w:r w:rsidR="00AB26B3" w:rsidRPr="00AB26B3">
        <w:rPr>
          <w:noProof/>
          <w:spacing w:val="-6"/>
          <w:lang w:val="sk-SK"/>
        </w:rPr>
        <w:t xml:space="preserve"> v </w:t>
      </w:r>
      <w:r w:rsidRPr="00AB26B3">
        <w:rPr>
          <w:noProof/>
          <w:spacing w:val="-6"/>
          <w:lang w:val="sk-SK"/>
        </w:rPr>
        <w:t>ktorom sa Grécko vyzýva, aby zameralo investície na digitálnu transformáciu,</w:t>
      </w:r>
      <w:r w:rsidR="00AB26B3" w:rsidRPr="00AB26B3">
        <w:rPr>
          <w:noProof/>
          <w:spacing w:val="-6"/>
          <w:lang w:val="sk-SK"/>
        </w:rPr>
        <w:t xml:space="preserve"> a </w:t>
      </w:r>
      <w:r w:rsidRPr="00AB26B3">
        <w:rPr>
          <w:noProof/>
          <w:spacing w:val="-6"/>
          <w:lang w:val="sk-SK"/>
        </w:rPr>
        <w:t>najmä na digitálnu infraštruktúru</w:t>
      </w:r>
      <w:r w:rsidR="00AB26B3" w:rsidRPr="00AB26B3">
        <w:rPr>
          <w:noProof/>
          <w:spacing w:val="-6"/>
          <w:lang w:val="sk-SK"/>
        </w:rPr>
        <w:t xml:space="preserve"> s </w:t>
      </w:r>
      <w:r w:rsidRPr="00AB26B3">
        <w:rPr>
          <w:noProof/>
          <w:spacing w:val="-6"/>
          <w:lang w:val="sk-SK"/>
        </w:rPr>
        <w:t>veľmi vysokou kapacitou. Takisto účinne reagujú na digitálnu transformáciu a/alebo výzvy, ktoré</w:t>
      </w:r>
      <w:r w:rsidR="00AB26B3" w:rsidRPr="00AB26B3">
        <w:rPr>
          <w:noProof/>
          <w:spacing w:val="-6"/>
          <w:lang w:val="sk-SK"/>
        </w:rPr>
        <w:t xml:space="preserve"> z </w:t>
      </w:r>
      <w:r w:rsidRPr="00AB26B3">
        <w:rPr>
          <w:noProof/>
          <w:spacing w:val="-6"/>
          <w:lang w:val="sk-SK"/>
        </w:rPr>
        <w:t>nej vyplývajú, keďže sa očakáva, že významne prispejú</w:t>
      </w:r>
      <w:r w:rsidR="00AB26B3" w:rsidRPr="00AB26B3">
        <w:rPr>
          <w:noProof/>
          <w:spacing w:val="-6"/>
          <w:lang w:val="sk-SK"/>
        </w:rPr>
        <w:t xml:space="preserve"> k </w:t>
      </w:r>
      <w:r w:rsidRPr="00AB26B3">
        <w:rPr>
          <w:noProof/>
          <w:spacing w:val="-6"/>
          <w:lang w:val="sk-SK"/>
        </w:rPr>
        <w:t>zlepšeniu vysokorýchlostného pripojenia</w:t>
      </w:r>
      <w:r w:rsidR="00AB26B3" w:rsidRPr="00AB26B3">
        <w:rPr>
          <w:noProof/>
          <w:spacing w:val="-6"/>
          <w:lang w:val="sk-SK"/>
        </w:rPr>
        <w:t xml:space="preserve"> v </w:t>
      </w:r>
      <w:r w:rsidRPr="00AB26B3">
        <w:rPr>
          <w:noProof/>
          <w:spacing w:val="-6"/>
          <w:lang w:val="sk-SK"/>
        </w:rPr>
        <w:t>Grécku.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09E03253" w14:textId="37D0BEAC" w:rsidR="00302FC1" w:rsidRPr="00AB26B3" w:rsidRDefault="00D64F26">
      <w:pPr>
        <w:pStyle w:val="P68B1DB1-Normal6"/>
        <w:spacing w:before="120" w:after="120" w:line="240" w:lineRule="auto"/>
        <w:jc w:val="both"/>
        <w:rPr>
          <w:rFonts w:cs="Times New Roman"/>
          <w:i/>
          <w:noProof/>
          <w:color w:val="4F81BD"/>
          <w:spacing w:val="-6"/>
          <w:lang w:val="sk-SK"/>
        </w:rPr>
      </w:pPr>
      <w:r w:rsidRPr="00AB26B3">
        <w:rPr>
          <w:noProof/>
          <w:spacing w:val="-6"/>
          <w:lang w:val="sk-SK"/>
        </w:rPr>
        <w:t>E.1.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78F75AAA"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Malé satelity (identifikačné číslo opatrenia: 16855)</w:t>
      </w:r>
    </w:p>
    <w:p w14:paraId="445E14A8" w14:textId="0D20D66F"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investície je vypustenie</w:t>
      </w:r>
      <w:r w:rsidR="00AB26B3" w:rsidRPr="00AB26B3">
        <w:rPr>
          <w:noProof/>
          <w:spacing w:val="-6"/>
          <w:lang w:val="sk-SK"/>
        </w:rPr>
        <w:t xml:space="preserve"> a </w:t>
      </w:r>
      <w:r w:rsidRPr="00AB26B3">
        <w:rPr>
          <w:noProof/>
          <w:spacing w:val="-6"/>
          <w:lang w:val="sk-SK"/>
        </w:rPr>
        <w:t>umiestnenie konštelácie malých satelitov na obežnú dráhu. Investícia pozostáva zo sústavy malých satelitov zameraných na podporu služieb konektivity, ako aj aplikácií na pozorovanie Zeme na mapovanie, lodnú dopravu, presné poľnohospodárstvo, priestorové plánovanie</w:t>
      </w:r>
      <w:r w:rsidR="00AB26B3" w:rsidRPr="00AB26B3">
        <w:rPr>
          <w:noProof/>
          <w:spacing w:val="-6"/>
          <w:lang w:val="sk-SK"/>
        </w:rPr>
        <w:t xml:space="preserve"> a </w:t>
      </w:r>
      <w:r w:rsidRPr="00AB26B3">
        <w:rPr>
          <w:noProof/>
          <w:spacing w:val="-6"/>
          <w:lang w:val="sk-SK"/>
        </w:rPr>
        <w:t>iné.</w:t>
      </w:r>
    </w:p>
    <w:p w14:paraId="684B5642" w14:textId="77777777" w:rsidR="00302FC1" w:rsidRPr="00AB26B3" w:rsidRDefault="00D64F26">
      <w:pPr>
        <w:pStyle w:val="P68B1DB1-Normal5"/>
        <w:spacing w:before="120" w:after="120" w:line="240" w:lineRule="auto"/>
        <w:jc w:val="both"/>
        <w:rPr>
          <w:rFonts w:cs="Times New Roman"/>
          <w:noProof/>
          <w:spacing w:val="-6"/>
          <w:szCs w:val="24"/>
          <w:lang w:val="sk-SK"/>
        </w:rPr>
      </w:pPr>
      <w:r w:rsidRPr="00AB26B3">
        <w:rPr>
          <w:b/>
          <w:noProof/>
          <w:spacing w:val="-6"/>
          <w:lang w:val="sk-SK"/>
        </w:rPr>
        <w:t>Reforma:</w:t>
      </w:r>
      <w:r w:rsidRPr="00AB26B3">
        <w:rPr>
          <w:noProof/>
          <w:spacing w:val="-6"/>
          <w:lang w:val="sk-SK"/>
        </w:rPr>
        <w:t xml:space="preserve"> Prechod na technológiu 5G, uľahčenie rozvoja inovačných služieb na diaľku (identifikačné číslo opatrenia: 16844)</w:t>
      </w:r>
    </w:p>
    <w:p w14:paraId="2D390B07" w14:textId="044EDE21" w:rsidR="00302FC1" w:rsidRPr="00AB26B3" w:rsidRDefault="00D64F26">
      <w:pPr>
        <w:spacing w:before="120" w:after="120" w:line="240" w:lineRule="auto"/>
        <w:jc w:val="both"/>
        <w:rPr>
          <w:rFonts w:ascii="Times New Roman" w:hAnsi="Times New Roman" w:cs="Times New Roman"/>
          <w:noProof/>
          <w:spacing w:val="-6"/>
          <w:sz w:val="24"/>
          <w:szCs w:val="24"/>
          <w:lang w:val="sk-SK"/>
        </w:rPr>
      </w:pPr>
      <w:r w:rsidRPr="00AB26B3">
        <w:rPr>
          <w:rFonts w:ascii="Times New Roman" w:hAnsi="Times New Roman"/>
          <w:noProof/>
          <w:spacing w:val="-6"/>
          <w:sz w:val="24"/>
          <w:szCs w:val="24"/>
          <w:lang w:val="sk-SK"/>
        </w:rPr>
        <w:t>Cieľom tejto reformy je vytvoriť základ pre prechod na technológiu 5G. Reformy zahŕňajú nadobudnutie účinnosti nového regulačného</w:t>
      </w:r>
      <w:r w:rsidR="00AB26B3" w:rsidRPr="00AB26B3">
        <w:rPr>
          <w:rFonts w:ascii="Times New Roman" w:hAnsi="Times New Roman"/>
          <w:noProof/>
          <w:spacing w:val="-6"/>
          <w:sz w:val="24"/>
          <w:szCs w:val="24"/>
          <w:lang w:val="sk-SK"/>
        </w:rPr>
        <w:t xml:space="preserve"> a </w:t>
      </w:r>
      <w:r w:rsidRPr="00AB26B3">
        <w:rPr>
          <w:rFonts w:ascii="Times New Roman" w:hAnsi="Times New Roman"/>
          <w:noProof/>
          <w:spacing w:val="-6"/>
          <w:sz w:val="24"/>
          <w:szCs w:val="24"/>
          <w:lang w:val="sk-SK"/>
        </w:rPr>
        <w:t>legislatívneho rámca</w:t>
      </w:r>
      <w:r w:rsidRPr="00AB26B3">
        <w:rPr>
          <w:rFonts w:ascii="Times New Roman" w:hAnsi="Times New Roman"/>
          <w:noProof/>
          <w:spacing w:val="-6"/>
          <w:lang w:val="sk-SK"/>
        </w:rPr>
        <w:t xml:space="preserve"> </w:t>
      </w:r>
      <w:r w:rsidRPr="00AB26B3">
        <w:rPr>
          <w:rFonts w:ascii="Times New Roman" w:hAnsi="Times New Roman"/>
          <w:noProof/>
          <w:spacing w:val="-6"/>
          <w:sz w:val="24"/>
          <w:szCs w:val="24"/>
          <w:lang w:val="sk-SK"/>
        </w:rPr>
        <w:t>pre prechod na 5G.</w:t>
      </w:r>
    </w:p>
    <w:p w14:paraId="0068D859" w14:textId="4AA19F61"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 xml:space="preserve">Reforma: </w:t>
      </w:r>
      <w:r w:rsidRPr="00AB26B3">
        <w:rPr>
          <w:noProof/>
          <w:spacing w:val="-6"/>
          <w:lang w:val="sk-SK"/>
        </w:rPr>
        <w:t>Prechod na gigabitové širokopásmové pripojenie – prechod na gigabitové širokopásmové pripojenie</w:t>
      </w:r>
      <w:r w:rsidR="00AB26B3" w:rsidRPr="00AB26B3">
        <w:rPr>
          <w:noProof/>
          <w:spacing w:val="-6"/>
          <w:lang w:val="sk-SK"/>
        </w:rPr>
        <w:t xml:space="preserve"> a </w:t>
      </w:r>
      <w:r w:rsidRPr="00AB26B3">
        <w:rPr>
          <w:noProof/>
          <w:spacing w:val="-6"/>
          <w:lang w:val="sk-SK"/>
        </w:rPr>
        <w:t>posilnenie gigabitového širokopásmového dopytu (opatrenie ID: 16857)</w:t>
      </w:r>
    </w:p>
    <w:p w14:paraId="514088C6" w14:textId="50C72534" w:rsidR="00302FC1" w:rsidRPr="00AB26B3" w:rsidRDefault="00D64F26">
      <w:pPr>
        <w:pStyle w:val="P68B1DB1-Normal7"/>
        <w:spacing w:before="120" w:after="120" w:line="240" w:lineRule="auto"/>
        <w:jc w:val="both"/>
        <w:rPr>
          <w:noProof/>
          <w:spacing w:val="-6"/>
          <w:lang w:val="sk-SK"/>
        </w:rPr>
      </w:pPr>
      <w:r w:rsidRPr="00AB26B3">
        <w:rPr>
          <w:noProof/>
          <w:spacing w:val="-6"/>
          <w:lang w:val="sk-SK"/>
        </w:rPr>
        <w:t>Táto reforma pozostáva</w:t>
      </w:r>
      <w:r w:rsidR="00AB26B3" w:rsidRPr="00AB26B3">
        <w:rPr>
          <w:noProof/>
          <w:spacing w:val="-6"/>
          <w:lang w:val="sk-SK"/>
        </w:rPr>
        <w:t xml:space="preserve"> z </w:t>
      </w:r>
      <w:r w:rsidRPr="00AB26B3">
        <w:rPr>
          <w:noProof/>
          <w:spacing w:val="-6"/>
          <w:lang w:val="sk-SK"/>
        </w:rPr>
        <w:t>nadobudnutia účinnosti právneho rámca pre prechod na pripojenia</w:t>
      </w:r>
      <w:r w:rsidR="00AB26B3" w:rsidRPr="00AB26B3">
        <w:rPr>
          <w:noProof/>
          <w:spacing w:val="-6"/>
          <w:lang w:val="sk-SK"/>
        </w:rPr>
        <w:t xml:space="preserve"> k </w:t>
      </w:r>
      <w:r w:rsidRPr="00AB26B3">
        <w:rPr>
          <w:noProof/>
          <w:spacing w:val="-6"/>
          <w:lang w:val="sk-SK"/>
        </w:rPr>
        <w:t>sieti</w:t>
      </w:r>
      <w:r w:rsidR="00AB26B3" w:rsidRPr="00AB26B3">
        <w:rPr>
          <w:noProof/>
          <w:spacing w:val="-6"/>
          <w:lang w:val="sk-SK"/>
        </w:rPr>
        <w:t xml:space="preserve"> s </w:t>
      </w:r>
      <w:r w:rsidRPr="00AB26B3">
        <w:rPr>
          <w:noProof/>
          <w:spacing w:val="-6"/>
          <w:lang w:val="sk-SK"/>
        </w:rPr>
        <w:t>veľmi vysokou kapacitou prostredníctvom inštalácie optických vlákien</w:t>
      </w:r>
      <w:r w:rsidR="00AB26B3" w:rsidRPr="00AB26B3">
        <w:rPr>
          <w:noProof/>
          <w:spacing w:val="-6"/>
          <w:lang w:val="sk-SK"/>
        </w:rPr>
        <w:t xml:space="preserve"> a </w:t>
      </w:r>
      <w:r w:rsidRPr="00AB26B3">
        <w:rPr>
          <w:noProof/>
          <w:spacing w:val="-6"/>
          <w:lang w:val="sk-SK"/>
        </w:rPr>
        <w:t>sprievodného vybavenia</w:t>
      </w:r>
      <w:r w:rsidR="00AB26B3" w:rsidRPr="00AB26B3">
        <w:rPr>
          <w:noProof/>
          <w:spacing w:val="-6"/>
          <w:lang w:val="sk-SK"/>
        </w:rPr>
        <w:t xml:space="preserve"> v </w:t>
      </w:r>
      <w:r w:rsidRPr="00AB26B3">
        <w:rPr>
          <w:noProof/>
          <w:spacing w:val="-6"/>
          <w:lang w:val="sk-SK"/>
        </w:rPr>
        <w:t>budovách, ako aj podmorských káblov</w:t>
      </w:r>
      <w:r w:rsidR="00AB26B3" w:rsidRPr="00AB26B3">
        <w:rPr>
          <w:noProof/>
          <w:spacing w:val="-6"/>
          <w:lang w:val="sk-SK"/>
        </w:rPr>
        <w:t xml:space="preserve"> v </w:t>
      </w:r>
      <w:r w:rsidRPr="00AB26B3">
        <w:rPr>
          <w:noProof/>
          <w:spacing w:val="-6"/>
          <w:lang w:val="sk-SK"/>
        </w:rPr>
        <w:t>prípade gréckych ostrovov, čo umožní väčšie pokrytie gigabitovými širokopásmovými pripojeniami.</w:t>
      </w:r>
      <w:r w:rsidR="00AB26B3" w:rsidRPr="00AB26B3">
        <w:rPr>
          <w:noProof/>
          <w:spacing w:val="-6"/>
          <w:lang w:val="sk-SK"/>
        </w:rPr>
        <w:t xml:space="preserve"> V </w:t>
      </w:r>
      <w:r w:rsidRPr="00AB26B3">
        <w:rPr>
          <w:noProof/>
          <w:spacing w:val="-6"/>
          <w:lang w:val="sk-SK"/>
        </w:rPr>
        <w:t>právnom rámci sa vymedzia technické špecifikácie</w:t>
      </w:r>
      <w:r w:rsidR="00AB26B3" w:rsidRPr="00AB26B3">
        <w:rPr>
          <w:noProof/>
          <w:spacing w:val="-6"/>
          <w:lang w:val="sk-SK"/>
        </w:rPr>
        <w:t xml:space="preserve"> a </w:t>
      </w:r>
      <w:r w:rsidRPr="00AB26B3">
        <w:rPr>
          <w:noProof/>
          <w:spacing w:val="-6"/>
          <w:lang w:val="sk-SK"/>
        </w:rPr>
        <w:t>príslušné pravidlá</w:t>
      </w:r>
      <w:r w:rsidR="00AB26B3" w:rsidRPr="00AB26B3">
        <w:rPr>
          <w:noProof/>
          <w:spacing w:val="-6"/>
          <w:lang w:val="sk-SK"/>
        </w:rPr>
        <w:t xml:space="preserve"> a </w:t>
      </w:r>
      <w:r w:rsidRPr="00AB26B3">
        <w:rPr>
          <w:noProof/>
          <w:spacing w:val="-6"/>
          <w:lang w:val="sk-SK"/>
        </w:rPr>
        <w:t>postupy zavádzania širokopásmovej infraštruktúry</w:t>
      </w:r>
      <w:r w:rsidR="00AB26B3" w:rsidRPr="00AB26B3">
        <w:rPr>
          <w:noProof/>
          <w:spacing w:val="-6"/>
          <w:lang w:val="sk-SK"/>
        </w:rPr>
        <w:t xml:space="preserve"> v </w:t>
      </w:r>
      <w:r w:rsidRPr="00AB26B3">
        <w:rPr>
          <w:noProof/>
          <w:spacing w:val="-6"/>
          <w:lang w:val="sk-SK"/>
        </w:rPr>
        <w:t>budove, ktorá je schopná poskytovať koncovým používateľom gigabitové pripojenie. Implementácia tejto reformy sa dokončí do 30</w:t>
      </w:r>
      <w:r w:rsidR="00AB26B3" w:rsidRPr="00AB26B3">
        <w:rPr>
          <w:noProof/>
          <w:spacing w:val="-6"/>
          <w:lang w:val="sk-SK"/>
        </w:rPr>
        <w:t>. júna</w:t>
      </w:r>
      <w:r w:rsidRPr="00AB26B3">
        <w:rPr>
          <w:noProof/>
          <w:spacing w:val="-6"/>
          <w:lang w:val="sk-SK"/>
        </w:rPr>
        <w:t xml:space="preserve"> 2024.</w:t>
      </w:r>
    </w:p>
    <w:p w14:paraId="33CC07D9" w14:textId="59B676B1"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Infraštruktúra optických vlákien</w:t>
      </w:r>
      <w:r w:rsidR="00AB26B3" w:rsidRPr="00AB26B3">
        <w:rPr>
          <w:noProof/>
          <w:spacing w:val="-6"/>
          <w:lang w:val="sk-SK"/>
        </w:rPr>
        <w:t xml:space="preserve"> v </w:t>
      </w:r>
      <w:r w:rsidRPr="00AB26B3">
        <w:rPr>
          <w:noProof/>
          <w:spacing w:val="-6"/>
          <w:lang w:val="sk-SK"/>
        </w:rPr>
        <w:t>budovách (opatrenie ID: 16818)</w:t>
      </w:r>
    </w:p>
    <w:p w14:paraId="6E63B3A9" w14:textId="7F110590"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Cieľom tejto investície je podporiť inštaláciu infraštruktúry optických vlákien</w:t>
      </w:r>
      <w:r w:rsidR="00AB26B3" w:rsidRPr="00AB26B3">
        <w:rPr>
          <w:noProof/>
          <w:spacing w:val="-6"/>
          <w:lang w:val="sk-SK"/>
        </w:rPr>
        <w:t xml:space="preserve"> v </w:t>
      </w:r>
      <w:r w:rsidRPr="00AB26B3">
        <w:rPr>
          <w:noProof/>
          <w:spacing w:val="-6"/>
          <w:lang w:val="sk-SK"/>
        </w:rPr>
        <w:t>obytných</w:t>
      </w:r>
      <w:r w:rsidR="00AB26B3" w:rsidRPr="00AB26B3">
        <w:rPr>
          <w:noProof/>
          <w:spacing w:val="-6"/>
          <w:lang w:val="sk-SK"/>
        </w:rPr>
        <w:t xml:space="preserve"> a </w:t>
      </w:r>
      <w:r w:rsidRPr="00AB26B3">
        <w:rPr>
          <w:noProof/>
          <w:spacing w:val="-6"/>
          <w:lang w:val="sk-SK"/>
        </w:rPr>
        <w:t>komerčných budovách</w:t>
      </w:r>
      <w:r w:rsidR="00AB26B3" w:rsidRPr="00AB26B3">
        <w:rPr>
          <w:noProof/>
          <w:spacing w:val="-6"/>
          <w:lang w:val="sk-SK"/>
        </w:rPr>
        <w:t xml:space="preserve"> a </w:t>
      </w:r>
      <w:r w:rsidRPr="00AB26B3">
        <w:rPr>
          <w:noProof/>
          <w:spacing w:val="-6"/>
          <w:lang w:val="sk-SK"/>
        </w:rPr>
        <w:t>obydliach</w:t>
      </w:r>
      <w:r w:rsidR="00AB26B3" w:rsidRPr="00AB26B3">
        <w:rPr>
          <w:noProof/>
          <w:spacing w:val="-6"/>
          <w:lang w:val="sk-SK"/>
        </w:rPr>
        <w:t xml:space="preserve"> a </w:t>
      </w:r>
      <w:r w:rsidRPr="00AB26B3">
        <w:rPr>
          <w:noProof/>
          <w:spacing w:val="-6"/>
          <w:lang w:val="sk-SK"/>
        </w:rPr>
        <w:t>pripojenie koncových používateľov</w:t>
      </w:r>
      <w:r w:rsidR="00AB26B3" w:rsidRPr="00AB26B3">
        <w:rPr>
          <w:noProof/>
          <w:spacing w:val="-6"/>
          <w:lang w:val="sk-SK"/>
        </w:rPr>
        <w:t xml:space="preserve"> k </w:t>
      </w:r>
      <w:r w:rsidRPr="00AB26B3">
        <w:rPr>
          <w:noProof/>
          <w:spacing w:val="-6"/>
          <w:lang w:val="sk-SK"/>
        </w:rPr>
        <w:t>sieťam</w:t>
      </w:r>
      <w:r w:rsidR="00AB26B3" w:rsidRPr="00AB26B3">
        <w:rPr>
          <w:noProof/>
          <w:spacing w:val="-6"/>
          <w:lang w:val="sk-SK"/>
        </w:rPr>
        <w:t xml:space="preserve"> s </w:t>
      </w:r>
      <w:r w:rsidRPr="00AB26B3">
        <w:rPr>
          <w:noProof/>
          <w:spacing w:val="-6"/>
          <w:lang w:val="sk-SK"/>
        </w:rPr>
        <w:t>veľmi vysokou kapacitou. Investícia zahŕňa systémy dotácií na dopyt (poukazov), ktorými sa dotujú a) náklady na vnútornú kabeláž</w:t>
      </w:r>
      <w:r w:rsidR="00AB26B3" w:rsidRPr="00AB26B3">
        <w:rPr>
          <w:noProof/>
          <w:spacing w:val="-6"/>
          <w:lang w:val="sk-SK"/>
        </w:rPr>
        <w:t xml:space="preserve"> a </w:t>
      </w:r>
      <w:r w:rsidRPr="00AB26B3">
        <w:rPr>
          <w:noProof/>
          <w:spacing w:val="-6"/>
          <w:lang w:val="sk-SK"/>
        </w:rPr>
        <w:t>b) poplatky za pripojenie (jednorazový zriaďovací poplatok za širokopásmové služby)</w:t>
      </w:r>
      <w:r w:rsidR="00AB26B3" w:rsidRPr="00AB26B3">
        <w:rPr>
          <w:noProof/>
          <w:spacing w:val="-6"/>
          <w:lang w:val="sk-SK"/>
        </w:rPr>
        <w:t>.</w:t>
      </w:r>
    </w:p>
    <w:p w14:paraId="385786AC" w14:textId="7E93279D" w:rsidR="00302FC1" w:rsidRPr="00AB26B3" w:rsidRDefault="00302FC1">
      <w:pPr>
        <w:spacing w:before="120" w:after="120" w:line="240" w:lineRule="auto"/>
        <w:jc w:val="both"/>
        <w:rPr>
          <w:rFonts w:ascii="Times New Roman" w:hAnsi="Times New Roman" w:cs="Times New Roman"/>
          <w:b/>
          <w:noProof/>
          <w:spacing w:val="-6"/>
          <w:sz w:val="24"/>
          <w:lang w:val="sk-SK"/>
        </w:rPr>
      </w:pPr>
    </w:p>
    <w:p w14:paraId="10D63A05"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pPr>
    </w:p>
    <w:p w14:paraId="057C9AE0"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104"/>
          <w:headerReference w:type="default" r:id="rId105"/>
          <w:footerReference w:type="even" r:id="rId106"/>
          <w:footerReference w:type="default" r:id="rId107"/>
          <w:headerReference w:type="first" r:id="rId108"/>
          <w:footerReference w:type="first" r:id="rId109"/>
          <w:pgSz w:w="11906" w:h="16838"/>
          <w:pgMar w:top="1417" w:right="1417" w:bottom="1417" w:left="1417" w:header="708" w:footer="708" w:gutter="0"/>
          <w:cols w:space="708"/>
          <w:docGrid w:linePitch="360"/>
        </w:sectPr>
      </w:pPr>
    </w:p>
    <w:p w14:paraId="184E3AAD" w14:textId="4E801D4D"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E.2.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5069A876" w14:textId="77777777"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8: Prepojenosť</w:t>
      </w:r>
    </w:p>
    <w:p w14:paraId="00709834" w14:textId="77777777"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Do tejto skupiny patria tieto opatrenia:</w:t>
      </w:r>
    </w:p>
    <w:p w14:paraId="7A8BB47D" w14:textId="77777777" w:rsidR="00302FC1" w:rsidRPr="00AB26B3" w:rsidRDefault="00D64F26">
      <w:pPr>
        <w:spacing w:before="120" w:after="120" w:line="240" w:lineRule="auto"/>
        <w:jc w:val="both"/>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Prechod na technológiu 5G uľahčujúci rozvoj inovačných služieb na diaľku. (IDENTIFIKAČNÉ ČÍSLO: 16844)</w:t>
      </w:r>
    </w:p>
    <w:p w14:paraId="5C98290E" w14:textId="7009B315" w:rsidR="00302FC1" w:rsidRPr="00AB26B3" w:rsidRDefault="00D64F26">
      <w:pPr>
        <w:spacing w:before="120" w:after="120" w:line="240" w:lineRule="auto"/>
        <w:jc w:val="both"/>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Prechod na gigabitové širokopásmové pripojenie – prechod na gigabitové širokopásmové pripojenie</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posilnenie dopytu po gigabitovom širokopásmovom pripojení (ID: 16857)</w:t>
      </w:r>
    </w:p>
    <w:p w14:paraId="546BD706" w14:textId="2CFB922D" w:rsidR="00302FC1" w:rsidRPr="00AB26B3" w:rsidRDefault="00D64F26">
      <w:pPr>
        <w:spacing w:before="120" w:after="120" w:line="240" w:lineRule="auto"/>
        <w:jc w:val="both"/>
        <w:rPr>
          <w:rFonts w:ascii="Times New Roman" w:hAnsi="Times New Roman" w:cs="Times New Roman"/>
          <w:noProof/>
          <w:spacing w:val="-6"/>
          <w:sz w:val="24"/>
          <w:szCs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Infraštruktúra optických vlákien</w:t>
      </w:r>
      <w:r w:rsidR="00AB26B3" w:rsidRPr="00AB26B3">
        <w:rPr>
          <w:rFonts w:ascii="Times New Roman" w:hAnsi="Times New Roman"/>
          <w:noProof/>
          <w:spacing w:val="-6"/>
          <w:sz w:val="24"/>
          <w:lang w:val="sk-SK"/>
        </w:rPr>
        <w:t xml:space="preserve"> v </w:t>
      </w:r>
      <w:r w:rsidRPr="00AB26B3">
        <w:rPr>
          <w:rFonts w:ascii="Times New Roman" w:hAnsi="Times New Roman"/>
          <w:noProof/>
          <w:spacing w:val="-6"/>
          <w:sz w:val="24"/>
          <w:lang w:val="sk-SK"/>
        </w:rPr>
        <w:t>budovách (ID: 16818)</w:t>
      </w:r>
    </w:p>
    <w:p w14:paraId="4824F252" w14:textId="4FDCA81D" w:rsidR="00302FC1" w:rsidRPr="00AB26B3" w:rsidRDefault="00D64F26">
      <w:pPr>
        <w:spacing w:before="120" w:after="120" w:line="240" w:lineRule="auto"/>
        <w:jc w:val="both"/>
        <w:rPr>
          <w:rFonts w:ascii="Times New Roman" w:hAnsi="Times New Roman" w:cs="Times New Roman"/>
          <w:noProof/>
          <w:spacing w:val="-6"/>
          <w:sz w:val="24"/>
          <w:szCs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Malé satelity (identifikačné číslo: 16855)</w:t>
      </w:r>
      <w:r w:rsidRPr="00AB26B3">
        <w:rPr>
          <w:rFonts w:ascii="Times New Roman" w:hAnsi="Times New Roman"/>
          <w:noProof/>
          <w:spacing w:val="-6"/>
          <w:lang w:val="sk-SK"/>
        </w:rPr>
        <w:tab/>
      </w:r>
    </w:p>
    <w:tbl>
      <w:tblPr>
        <w:tblW w:w="15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680"/>
        <w:gridCol w:w="1155"/>
        <w:gridCol w:w="1560"/>
        <w:gridCol w:w="2268"/>
        <w:gridCol w:w="1417"/>
        <w:gridCol w:w="992"/>
        <w:gridCol w:w="851"/>
        <w:gridCol w:w="984"/>
        <w:gridCol w:w="850"/>
        <w:gridCol w:w="3402"/>
      </w:tblGrid>
      <w:tr w:rsidR="00302FC1" w:rsidRPr="00AB26B3" w14:paraId="242785D8" w14:textId="77777777">
        <w:trPr>
          <w:trHeight w:val="585"/>
          <w:tblHeader/>
          <w:jc w:val="center"/>
        </w:trPr>
        <w:tc>
          <w:tcPr>
            <w:tcW w:w="588" w:type="dxa"/>
            <w:vMerge w:val="restart"/>
            <w:shd w:val="clear" w:color="auto" w:fill="BDD7EE"/>
            <w:vAlign w:val="center"/>
            <w:hideMark/>
          </w:tcPr>
          <w:p w14:paraId="4C711844" w14:textId="23DFF72B"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1680" w:type="dxa"/>
            <w:vMerge w:val="restart"/>
            <w:shd w:val="clear" w:color="auto" w:fill="BDD7EE"/>
            <w:vAlign w:val="center"/>
            <w:hideMark/>
          </w:tcPr>
          <w:p w14:paraId="29BCD8C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55" w:type="dxa"/>
            <w:vMerge w:val="restart"/>
            <w:shd w:val="clear" w:color="auto" w:fill="BDD7EE"/>
            <w:vAlign w:val="center"/>
            <w:hideMark/>
          </w:tcPr>
          <w:p w14:paraId="4CD5D9C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560" w:type="dxa"/>
            <w:vMerge w:val="restart"/>
            <w:shd w:val="clear" w:color="auto" w:fill="BDD7EE"/>
            <w:vAlign w:val="center"/>
            <w:hideMark/>
          </w:tcPr>
          <w:p w14:paraId="430FC48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2268" w:type="dxa"/>
            <w:vMerge w:val="restart"/>
            <w:shd w:val="clear" w:color="auto" w:fill="BDD7EE"/>
            <w:vAlign w:val="center"/>
            <w:hideMark/>
          </w:tcPr>
          <w:p w14:paraId="4EF3AC89" w14:textId="7B2FE74F"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260" w:type="dxa"/>
            <w:gridSpan w:val="3"/>
            <w:shd w:val="clear" w:color="auto" w:fill="BDD7EE"/>
            <w:vAlign w:val="center"/>
            <w:hideMark/>
          </w:tcPr>
          <w:p w14:paraId="752EEBC4" w14:textId="793B18EE" w:rsidR="00302FC1" w:rsidRPr="00AB26B3" w:rsidRDefault="00D64F26">
            <w:pPr>
              <w:pStyle w:val="P68B1DB1-Normal18"/>
              <w:spacing w:after="0" w:line="240" w:lineRule="auto"/>
              <w:jc w:val="center"/>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 xml:space="preserve">Kvantitatívne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 xml:space="preserve"> (pre ciele)</w:t>
            </w:r>
          </w:p>
        </w:tc>
        <w:tc>
          <w:tcPr>
            <w:tcW w:w="1834" w:type="dxa"/>
            <w:gridSpan w:val="2"/>
            <w:shd w:val="clear" w:color="auto" w:fill="BDD7EE"/>
            <w:vAlign w:val="center"/>
            <w:hideMark/>
          </w:tcPr>
          <w:p w14:paraId="2417C2E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402" w:type="dxa"/>
            <w:vMerge w:val="restart"/>
            <w:shd w:val="clear" w:color="auto" w:fill="BDD7EE"/>
            <w:vAlign w:val="center"/>
            <w:hideMark/>
          </w:tcPr>
          <w:p w14:paraId="3E9CE5C5" w14:textId="7F44C77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16E2C677" w14:textId="77777777">
        <w:trPr>
          <w:trHeight w:val="372"/>
          <w:tblHeader/>
          <w:jc w:val="center"/>
        </w:trPr>
        <w:tc>
          <w:tcPr>
            <w:tcW w:w="588" w:type="dxa"/>
            <w:vMerge/>
            <w:vAlign w:val="center"/>
            <w:hideMark/>
          </w:tcPr>
          <w:p w14:paraId="1B4669B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80" w:type="dxa"/>
            <w:vMerge/>
            <w:vAlign w:val="center"/>
            <w:hideMark/>
          </w:tcPr>
          <w:p w14:paraId="775163F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55" w:type="dxa"/>
            <w:vMerge/>
            <w:vAlign w:val="center"/>
            <w:hideMark/>
          </w:tcPr>
          <w:p w14:paraId="0874210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60" w:type="dxa"/>
            <w:vMerge/>
            <w:vAlign w:val="center"/>
            <w:hideMark/>
          </w:tcPr>
          <w:p w14:paraId="6A246CA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268" w:type="dxa"/>
            <w:vMerge/>
            <w:vAlign w:val="center"/>
            <w:hideMark/>
          </w:tcPr>
          <w:p w14:paraId="12690B5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17" w:type="dxa"/>
            <w:shd w:val="clear" w:color="auto" w:fill="BDD7EE"/>
            <w:vAlign w:val="center"/>
            <w:hideMark/>
          </w:tcPr>
          <w:p w14:paraId="62E5368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2" w:type="dxa"/>
            <w:shd w:val="clear" w:color="auto" w:fill="BDD7EE"/>
            <w:vAlign w:val="center"/>
            <w:hideMark/>
          </w:tcPr>
          <w:p w14:paraId="0E692FF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851" w:type="dxa"/>
            <w:shd w:val="clear" w:color="auto" w:fill="BDD7EE"/>
            <w:vAlign w:val="center"/>
            <w:hideMark/>
          </w:tcPr>
          <w:p w14:paraId="74629BB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984" w:type="dxa"/>
            <w:shd w:val="clear" w:color="auto" w:fill="BDD7EE"/>
            <w:vAlign w:val="center"/>
            <w:hideMark/>
          </w:tcPr>
          <w:p w14:paraId="05FC3B5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850" w:type="dxa"/>
            <w:shd w:val="clear" w:color="auto" w:fill="BDD7EE"/>
            <w:vAlign w:val="center"/>
            <w:hideMark/>
          </w:tcPr>
          <w:p w14:paraId="387CF7E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402" w:type="dxa"/>
            <w:vMerge/>
            <w:vAlign w:val="center"/>
            <w:hideMark/>
          </w:tcPr>
          <w:p w14:paraId="2D404D5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507605C0" w14:textId="77777777">
        <w:trPr>
          <w:trHeight w:val="309"/>
          <w:jc w:val="center"/>
        </w:trPr>
        <w:tc>
          <w:tcPr>
            <w:tcW w:w="588" w:type="dxa"/>
            <w:shd w:val="clear" w:color="auto" w:fill="C6EFCE"/>
            <w:noWrap/>
          </w:tcPr>
          <w:p w14:paraId="14E472E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85</w:t>
            </w:r>
          </w:p>
        </w:tc>
        <w:tc>
          <w:tcPr>
            <w:tcW w:w="1680" w:type="dxa"/>
            <w:shd w:val="clear" w:color="auto" w:fill="C6EFCE"/>
            <w:noWrap/>
          </w:tcPr>
          <w:p w14:paraId="1B183606" w14:textId="52994E0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 – 2.1. Connect – 16818_Infraštruktúra optických vlákien</w:t>
            </w:r>
            <w:r w:rsidR="00AB26B3" w:rsidRPr="00AB26B3">
              <w:rPr>
                <w:noProof/>
                <w:spacing w:val="-6"/>
                <w:lang w:val="sk-SK"/>
              </w:rPr>
              <w:t xml:space="preserve"> v </w:t>
            </w:r>
            <w:r w:rsidRPr="00AB26B3">
              <w:rPr>
                <w:noProof/>
                <w:spacing w:val="-6"/>
                <w:lang w:val="sk-SK"/>
              </w:rPr>
              <w:t>budovách</w:t>
            </w:r>
          </w:p>
        </w:tc>
        <w:tc>
          <w:tcPr>
            <w:tcW w:w="1155" w:type="dxa"/>
            <w:shd w:val="clear" w:color="auto" w:fill="C6EFCE"/>
            <w:noWrap/>
          </w:tcPr>
          <w:p w14:paraId="0ADD499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0" w:type="dxa"/>
            <w:shd w:val="clear" w:color="auto" w:fill="C6EFCE"/>
            <w:noWrap/>
          </w:tcPr>
          <w:p w14:paraId="665BFACB" w14:textId="5D17DBF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(zákaziek) na projekt „Infraštruktúra optických vlákien</w:t>
            </w:r>
            <w:r w:rsidR="00AB26B3" w:rsidRPr="00AB26B3">
              <w:rPr>
                <w:noProof/>
                <w:spacing w:val="-6"/>
                <w:lang w:val="sk-SK"/>
              </w:rPr>
              <w:t xml:space="preserve"> v </w:t>
            </w:r>
            <w:r w:rsidRPr="00AB26B3">
              <w:rPr>
                <w:noProof/>
                <w:spacing w:val="-6"/>
                <w:lang w:val="sk-SK"/>
              </w:rPr>
              <w:t>budovách“</w:t>
            </w:r>
          </w:p>
        </w:tc>
        <w:tc>
          <w:tcPr>
            <w:tcW w:w="2268" w:type="dxa"/>
            <w:shd w:val="clear" w:color="auto" w:fill="C6EFCE"/>
            <w:noWrap/>
          </w:tcPr>
          <w:p w14:paraId="71B123A5" w14:textId="684221F4" w:rsidR="00302FC1" w:rsidRPr="00AB26B3" w:rsidRDefault="00D64F26">
            <w:pPr>
              <w:pStyle w:val="P68B1DB1-Normal12"/>
              <w:spacing w:after="0" w:line="240" w:lineRule="auto"/>
              <w:rPr>
                <w:rFonts w:eastAsia="Times New Roman"/>
                <w:strike/>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 xml:space="preserve">zadaní zákazky (zákaziek) </w:t>
            </w:r>
          </w:p>
        </w:tc>
        <w:tc>
          <w:tcPr>
            <w:tcW w:w="1417" w:type="dxa"/>
            <w:shd w:val="clear" w:color="auto" w:fill="C6EFCE"/>
            <w:noWrap/>
          </w:tcPr>
          <w:p w14:paraId="33B1725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397C681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74B3320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4" w:type="dxa"/>
            <w:shd w:val="clear" w:color="auto" w:fill="C6EFCE"/>
            <w:noWrap/>
          </w:tcPr>
          <w:p w14:paraId="1993C67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850" w:type="dxa"/>
            <w:shd w:val="clear" w:color="auto" w:fill="C6EFCE"/>
            <w:noWrap/>
          </w:tcPr>
          <w:p w14:paraId="5531571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402" w:type="dxa"/>
            <w:shd w:val="clear" w:color="auto" w:fill="C6EFCE"/>
            <w:noWrap/>
          </w:tcPr>
          <w:p w14:paraId="60E6C600" w14:textId="0BC01EB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(zákaziek) po úspešnom ukončení výberového konania na projekt „Infraštruktúra optických vlákien</w:t>
            </w:r>
            <w:r w:rsidR="00AB26B3" w:rsidRPr="00AB26B3">
              <w:rPr>
                <w:noProof/>
                <w:spacing w:val="-6"/>
                <w:lang w:val="sk-SK"/>
              </w:rPr>
              <w:t xml:space="preserve"> v </w:t>
            </w:r>
            <w:r w:rsidRPr="00AB26B3">
              <w:rPr>
                <w:noProof/>
                <w:spacing w:val="-6"/>
                <w:lang w:val="sk-SK"/>
              </w:rPr>
              <w:t>budovách“.</w:t>
            </w:r>
          </w:p>
          <w:p w14:paraId="1046D42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0844BF92" w14:textId="44870B1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Dozorný orgán pre informačnú spoločnosť/ministerstvo digitálnej správy zabezpečí, aby sa preskúmali všetky predložené žiadosti</w:t>
            </w:r>
            <w:r w:rsidR="00AB26B3" w:rsidRPr="00AB26B3">
              <w:rPr>
                <w:noProof/>
                <w:spacing w:val="-6"/>
                <w:lang w:val="sk-SK"/>
              </w:rPr>
              <w:t xml:space="preserve"> s </w:t>
            </w:r>
            <w:r w:rsidRPr="00AB26B3">
              <w:rPr>
                <w:noProof/>
                <w:spacing w:val="-6"/>
                <w:lang w:val="sk-SK"/>
              </w:rPr>
              <w:t>cieľom potvrdiť, či žiadosti náležite zodpovedajú požiadavkám výzvy. Po výbere vhodného dodávateľa pristúpi S.A./ministerstvo pre digitálnu správu</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zmluvných strán.</w:t>
            </w:r>
          </w:p>
        </w:tc>
      </w:tr>
      <w:tr w:rsidR="00302FC1" w:rsidRPr="00AB26B3" w14:paraId="5EBDF18E" w14:textId="77777777">
        <w:trPr>
          <w:trHeight w:val="309"/>
          <w:jc w:val="center"/>
        </w:trPr>
        <w:tc>
          <w:tcPr>
            <w:tcW w:w="588" w:type="dxa"/>
            <w:shd w:val="clear" w:color="auto" w:fill="C6EFCE"/>
            <w:noWrap/>
          </w:tcPr>
          <w:p w14:paraId="5AC77C0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87</w:t>
            </w:r>
          </w:p>
        </w:tc>
        <w:tc>
          <w:tcPr>
            <w:tcW w:w="1680" w:type="dxa"/>
            <w:shd w:val="clear" w:color="auto" w:fill="C6EFCE"/>
            <w:noWrap/>
          </w:tcPr>
          <w:p w14:paraId="3649B7B4" w14:textId="50F87C1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 – 2.1. Connect – 16855_malé satelity</w:t>
            </w:r>
          </w:p>
        </w:tc>
        <w:tc>
          <w:tcPr>
            <w:tcW w:w="1155" w:type="dxa"/>
            <w:shd w:val="clear" w:color="auto" w:fill="C6EFCE"/>
            <w:noWrap/>
          </w:tcPr>
          <w:p w14:paraId="451955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0" w:type="dxa"/>
            <w:shd w:val="clear" w:color="auto" w:fill="C6EFCE"/>
            <w:noWrap/>
          </w:tcPr>
          <w:p w14:paraId="77F4B26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(zákaziek) na projekt Malé satelity</w:t>
            </w:r>
          </w:p>
        </w:tc>
        <w:tc>
          <w:tcPr>
            <w:tcW w:w="2268" w:type="dxa"/>
            <w:shd w:val="clear" w:color="auto" w:fill="C6EFCE"/>
            <w:noWrap/>
          </w:tcPr>
          <w:p w14:paraId="016E117D" w14:textId="2108F4F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 xml:space="preserve">zadaní zákazky (zákaziek) </w:t>
            </w:r>
          </w:p>
        </w:tc>
        <w:tc>
          <w:tcPr>
            <w:tcW w:w="1417" w:type="dxa"/>
            <w:shd w:val="clear" w:color="auto" w:fill="C6EFCE"/>
            <w:noWrap/>
          </w:tcPr>
          <w:p w14:paraId="76A18EB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2EEC3BE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37C2C7E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4" w:type="dxa"/>
            <w:shd w:val="clear" w:color="auto" w:fill="C6EFCE"/>
            <w:noWrap/>
          </w:tcPr>
          <w:p w14:paraId="467B276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50" w:type="dxa"/>
            <w:shd w:val="clear" w:color="auto" w:fill="C6EFCE"/>
            <w:noWrap/>
          </w:tcPr>
          <w:p w14:paraId="7DA48A3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402" w:type="dxa"/>
            <w:shd w:val="clear" w:color="auto" w:fill="C6EFCE"/>
            <w:noWrap/>
          </w:tcPr>
          <w:p w14:paraId="2C5839D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(zákaziek) po úspešnom ukončení výberového konania na projekt Malé satelity.</w:t>
            </w:r>
          </w:p>
          <w:p w14:paraId="4FB0250E"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338A6127" w14:textId="3964E291" w:rsidR="00302FC1" w:rsidRPr="00AB26B3" w:rsidRDefault="00D64F26">
            <w:pPr>
              <w:pStyle w:val="P68B1DB1-Normal24"/>
              <w:spacing w:after="0" w:line="240" w:lineRule="auto"/>
              <w:rPr>
                <w:noProof/>
                <w:spacing w:val="-6"/>
                <w:lang w:val="sk-SK"/>
              </w:rPr>
            </w:pPr>
            <w:bookmarkStart w:id="2" w:name="_Hlk208835858"/>
            <w:r w:rsidRPr="00AB26B3">
              <w:rPr>
                <w:noProof/>
                <w:spacing w:val="-6"/>
                <w:lang w:val="sk-SK"/>
              </w:rPr>
              <w:t>Investícia sa týka vývoja konštelácie malých satelitov na podporu služieb konektivity, ako aj aplikácií na pozorovanie Zeme</w:t>
            </w:r>
            <w:r w:rsidR="00AB26B3" w:rsidRPr="00AB26B3">
              <w:rPr>
                <w:noProof/>
                <w:spacing w:val="-6"/>
                <w:lang w:val="sk-SK"/>
              </w:rPr>
              <w:t xml:space="preserve"> v </w:t>
            </w:r>
            <w:r w:rsidRPr="00AB26B3">
              <w:rPr>
                <w:noProof/>
                <w:spacing w:val="-6"/>
                <w:lang w:val="sk-SK"/>
              </w:rPr>
              <w:t>oblasti mapovania, lodnej dopravy, presného poľnohospodárstva, priestorového plánovania</w:t>
            </w:r>
            <w:r w:rsidR="00AB26B3" w:rsidRPr="00AB26B3">
              <w:rPr>
                <w:noProof/>
                <w:spacing w:val="-6"/>
                <w:lang w:val="sk-SK"/>
              </w:rPr>
              <w:t xml:space="preserve"> a </w:t>
            </w:r>
            <w:r w:rsidRPr="00AB26B3">
              <w:rPr>
                <w:noProof/>
                <w:spacing w:val="-6"/>
                <w:lang w:val="sk-SK"/>
              </w:rPr>
              <w:t>iných oblastí.</w:t>
            </w:r>
            <w:bookmarkEnd w:id="2"/>
          </w:p>
        </w:tc>
      </w:tr>
      <w:tr w:rsidR="00302FC1" w:rsidRPr="00AB26B3" w14:paraId="503952AC" w14:textId="77777777">
        <w:trPr>
          <w:trHeight w:val="309"/>
          <w:jc w:val="center"/>
        </w:trPr>
        <w:tc>
          <w:tcPr>
            <w:tcW w:w="588" w:type="dxa"/>
            <w:shd w:val="clear" w:color="auto" w:fill="C6EFCE"/>
            <w:noWrap/>
          </w:tcPr>
          <w:p w14:paraId="37E8AD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90</w:t>
            </w:r>
          </w:p>
        </w:tc>
        <w:tc>
          <w:tcPr>
            <w:tcW w:w="1680" w:type="dxa"/>
            <w:shd w:val="clear" w:color="auto" w:fill="C6EFCE"/>
            <w:noWrap/>
          </w:tcPr>
          <w:p w14:paraId="7441BFB9" w14:textId="312474A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 – 2.1. Connect – 16818_Infraštruktúra optických vlákien</w:t>
            </w:r>
            <w:r w:rsidR="00AB26B3" w:rsidRPr="00AB26B3">
              <w:rPr>
                <w:noProof/>
                <w:spacing w:val="-6"/>
                <w:lang w:val="sk-SK"/>
              </w:rPr>
              <w:t xml:space="preserve"> v </w:t>
            </w:r>
            <w:r w:rsidRPr="00AB26B3">
              <w:rPr>
                <w:noProof/>
                <w:spacing w:val="-6"/>
                <w:lang w:val="sk-SK"/>
              </w:rPr>
              <w:t>budovách</w:t>
            </w:r>
          </w:p>
        </w:tc>
        <w:tc>
          <w:tcPr>
            <w:tcW w:w="1155" w:type="dxa"/>
            <w:shd w:val="clear" w:color="auto" w:fill="C6EFCE"/>
            <w:noWrap/>
          </w:tcPr>
          <w:p w14:paraId="19651D8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560" w:type="dxa"/>
            <w:shd w:val="clear" w:color="auto" w:fill="C6EFCE"/>
            <w:noWrap/>
          </w:tcPr>
          <w:p w14:paraId="572AD806" w14:textId="076497E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„Infraštruktúra optických vlákien</w:t>
            </w:r>
            <w:r w:rsidR="00AB26B3" w:rsidRPr="00AB26B3">
              <w:rPr>
                <w:noProof/>
                <w:spacing w:val="-6"/>
                <w:lang w:val="sk-SK"/>
              </w:rPr>
              <w:t xml:space="preserve"> v </w:t>
            </w:r>
            <w:r w:rsidRPr="00AB26B3">
              <w:rPr>
                <w:noProof/>
                <w:spacing w:val="-6"/>
                <w:lang w:val="sk-SK"/>
              </w:rPr>
              <w:t>budovách“</w:t>
            </w:r>
          </w:p>
        </w:tc>
        <w:tc>
          <w:tcPr>
            <w:tcW w:w="2268" w:type="dxa"/>
            <w:shd w:val="clear" w:color="auto" w:fill="C6EFCE"/>
            <w:noWrap/>
          </w:tcPr>
          <w:p w14:paraId="21AE546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17" w:type="dxa"/>
            <w:shd w:val="clear" w:color="auto" w:fill="C6EFCE"/>
            <w:noWrap/>
          </w:tcPr>
          <w:p w14:paraId="37E958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poukazov</w:t>
            </w:r>
          </w:p>
        </w:tc>
        <w:tc>
          <w:tcPr>
            <w:tcW w:w="992" w:type="dxa"/>
            <w:shd w:val="clear" w:color="auto" w:fill="C6EFCE"/>
            <w:noWrap/>
          </w:tcPr>
          <w:p w14:paraId="0DF3FE5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6471F88B" w14:textId="1916C47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300 255</w:t>
            </w:r>
          </w:p>
        </w:tc>
        <w:tc>
          <w:tcPr>
            <w:tcW w:w="984" w:type="dxa"/>
            <w:shd w:val="clear" w:color="auto" w:fill="C6EFCE"/>
            <w:noWrap/>
          </w:tcPr>
          <w:p w14:paraId="0358E6A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0" w:type="dxa"/>
            <w:shd w:val="clear" w:color="auto" w:fill="C6EFCE"/>
            <w:noWrap/>
          </w:tcPr>
          <w:p w14:paraId="04948B2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51AC0B46" w14:textId="4B4886CB"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300255 poukazov vyplatených na obydlia spojené</w:t>
            </w:r>
            <w:r w:rsidR="00AB26B3" w:rsidRPr="00AB26B3">
              <w:rPr>
                <w:noProof/>
                <w:color w:val="006100"/>
                <w:spacing w:val="-6"/>
                <w:lang w:val="sk-SK"/>
              </w:rPr>
              <w:t xml:space="preserve"> s </w:t>
            </w:r>
            <w:r w:rsidRPr="00AB26B3">
              <w:rPr>
                <w:noProof/>
                <w:color w:val="006100"/>
                <w:spacing w:val="-6"/>
                <w:lang w:val="sk-SK"/>
              </w:rPr>
              <w:t>infraštruktúrou</w:t>
            </w:r>
            <w:r w:rsidR="00AB26B3" w:rsidRPr="00AB26B3">
              <w:rPr>
                <w:noProof/>
                <w:color w:val="006100"/>
                <w:spacing w:val="-6"/>
                <w:lang w:val="sk-SK"/>
              </w:rPr>
              <w:t xml:space="preserve"> a </w:t>
            </w:r>
            <w:r w:rsidRPr="00AB26B3">
              <w:rPr>
                <w:noProof/>
                <w:color w:val="006100"/>
                <w:spacing w:val="-6"/>
                <w:lang w:val="sk-SK"/>
              </w:rPr>
              <w:t>službou optických vlákien FTTH.</w:t>
            </w:r>
            <w:r w:rsidRPr="00AB26B3">
              <w:rPr>
                <w:noProof/>
                <w:spacing w:val="-6"/>
                <w:lang w:val="sk-SK"/>
              </w:rPr>
              <w:t xml:space="preserve"> </w:t>
            </w:r>
          </w:p>
        </w:tc>
      </w:tr>
      <w:tr w:rsidR="00302FC1" w:rsidRPr="00AB26B3" w14:paraId="1CF1CA4E" w14:textId="77777777">
        <w:trPr>
          <w:trHeight w:val="309"/>
          <w:jc w:val="center"/>
        </w:trPr>
        <w:tc>
          <w:tcPr>
            <w:tcW w:w="588" w:type="dxa"/>
            <w:shd w:val="clear" w:color="auto" w:fill="C6EFCE"/>
            <w:noWrap/>
          </w:tcPr>
          <w:p w14:paraId="42256CF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92</w:t>
            </w:r>
          </w:p>
        </w:tc>
        <w:tc>
          <w:tcPr>
            <w:tcW w:w="1680" w:type="dxa"/>
            <w:shd w:val="clear" w:color="auto" w:fill="C6EFCE"/>
            <w:noWrap/>
          </w:tcPr>
          <w:p w14:paraId="30D15F4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Connect – 16855_malé satelity</w:t>
            </w:r>
          </w:p>
        </w:tc>
        <w:tc>
          <w:tcPr>
            <w:tcW w:w="1155" w:type="dxa"/>
            <w:shd w:val="clear" w:color="auto" w:fill="C6EFCE"/>
            <w:noWrap/>
          </w:tcPr>
          <w:p w14:paraId="6B41C93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0" w:type="dxa"/>
            <w:shd w:val="clear" w:color="auto" w:fill="C6EFCE"/>
            <w:noWrap/>
          </w:tcPr>
          <w:p w14:paraId="55D11E5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„malé satelity“</w:t>
            </w:r>
          </w:p>
        </w:tc>
        <w:tc>
          <w:tcPr>
            <w:tcW w:w="2268" w:type="dxa"/>
            <w:shd w:val="clear" w:color="auto" w:fill="C6EFCE"/>
            <w:noWrap/>
          </w:tcPr>
          <w:p w14:paraId="5284F373" w14:textId="148B8C1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Správy</w:t>
            </w:r>
            <w:r w:rsidR="00AB26B3" w:rsidRPr="00AB26B3">
              <w:rPr>
                <w:noProof/>
                <w:spacing w:val="-6"/>
                <w:lang w:val="sk-SK"/>
              </w:rPr>
              <w:t xml:space="preserve"> o </w:t>
            </w:r>
            <w:r w:rsidRPr="00AB26B3">
              <w:rPr>
                <w:noProof/>
                <w:spacing w:val="-6"/>
                <w:lang w:val="sk-SK"/>
              </w:rPr>
              <w:t xml:space="preserve">uvádzaní do prevádzky na obežnej dráhe po vypustení malých satelitov </w:t>
            </w:r>
          </w:p>
        </w:tc>
        <w:tc>
          <w:tcPr>
            <w:tcW w:w="1417" w:type="dxa"/>
            <w:shd w:val="clear" w:color="auto" w:fill="C6EFCE"/>
            <w:noWrap/>
          </w:tcPr>
          <w:p w14:paraId="517C5D7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2B1989A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0DC277B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4" w:type="dxa"/>
            <w:shd w:val="clear" w:color="auto" w:fill="C6EFCE"/>
            <w:noWrap/>
          </w:tcPr>
          <w:p w14:paraId="7877ECE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0" w:type="dxa"/>
            <w:shd w:val="clear" w:color="auto" w:fill="C6EFCE"/>
            <w:noWrap/>
          </w:tcPr>
          <w:p w14:paraId="2BC8BE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7C38751D" w14:textId="4CFC139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Začína sa pilotný projekt</w:t>
            </w:r>
            <w:r w:rsidR="00AB26B3" w:rsidRPr="00AB26B3">
              <w:rPr>
                <w:noProof/>
                <w:spacing w:val="-6"/>
                <w:lang w:val="sk-SK"/>
              </w:rPr>
              <w:t xml:space="preserve"> a </w:t>
            </w:r>
            <w:r w:rsidRPr="00AB26B3">
              <w:rPr>
                <w:noProof/>
                <w:spacing w:val="-6"/>
                <w:lang w:val="sk-SK"/>
              </w:rPr>
              <w:t>uvádza sa na obežnú dráhu konštelácia malých satelitov zameraná na podporu služieb pripojiteľnosti, ako aj aplikácií na pozorovanie Zeme na mapovanie, lodnú dopravu, presné poľnohospodárstvo, priestorové plánovanie</w:t>
            </w:r>
            <w:r w:rsidR="00AB26B3" w:rsidRPr="00AB26B3">
              <w:rPr>
                <w:noProof/>
                <w:spacing w:val="-6"/>
                <w:lang w:val="sk-SK"/>
              </w:rPr>
              <w:t xml:space="preserve"> a </w:t>
            </w:r>
            <w:r w:rsidRPr="00AB26B3">
              <w:rPr>
                <w:noProof/>
                <w:spacing w:val="-6"/>
                <w:lang w:val="sk-SK"/>
              </w:rPr>
              <w:t>iné.</w:t>
            </w:r>
          </w:p>
        </w:tc>
      </w:tr>
      <w:tr w:rsidR="00302FC1" w:rsidRPr="00AB26B3" w14:paraId="7CB0D820" w14:textId="77777777">
        <w:trPr>
          <w:trHeight w:val="309"/>
          <w:jc w:val="center"/>
        </w:trPr>
        <w:tc>
          <w:tcPr>
            <w:tcW w:w="588" w:type="dxa"/>
            <w:shd w:val="clear" w:color="auto" w:fill="C6EFCE"/>
            <w:noWrap/>
          </w:tcPr>
          <w:p w14:paraId="02EAD40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333</w:t>
            </w:r>
          </w:p>
        </w:tc>
        <w:tc>
          <w:tcPr>
            <w:tcW w:w="1680" w:type="dxa"/>
            <w:shd w:val="clear" w:color="auto" w:fill="C6EFCE"/>
            <w:noWrap/>
          </w:tcPr>
          <w:p w14:paraId="05D5B5AB" w14:textId="77777777"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5 – 2.1. Connect – 16844_</w:t>
            </w:r>
            <w:r w:rsidRPr="00AB26B3">
              <w:rPr>
                <w:noProof/>
                <w:spacing w:val="-6"/>
                <w:lang w:val="sk-SK"/>
              </w:rPr>
              <w:t xml:space="preserve"> </w:t>
            </w:r>
            <w:r w:rsidRPr="00AB26B3">
              <w:rPr>
                <w:noProof/>
                <w:color w:val="006100"/>
                <w:spacing w:val="-6"/>
                <w:lang w:val="sk-SK"/>
              </w:rPr>
              <w:t>Prechod na technológiu 5G uľahčujúci rozvoj inovačných služieb na diaľku</w:t>
            </w:r>
          </w:p>
        </w:tc>
        <w:tc>
          <w:tcPr>
            <w:tcW w:w="1155" w:type="dxa"/>
            <w:shd w:val="clear" w:color="auto" w:fill="C6EFCE"/>
            <w:noWrap/>
          </w:tcPr>
          <w:p w14:paraId="72A704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0" w:type="dxa"/>
            <w:shd w:val="clear" w:color="auto" w:fill="C6EFCE"/>
            <w:noWrap/>
          </w:tcPr>
          <w:p w14:paraId="0C6136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reformy prechodu na technológiu 5G</w:t>
            </w:r>
          </w:p>
        </w:tc>
        <w:tc>
          <w:tcPr>
            <w:tcW w:w="2268" w:type="dxa"/>
            <w:shd w:val="clear" w:color="auto" w:fill="C6EFCE"/>
            <w:noWrap/>
          </w:tcPr>
          <w:p w14:paraId="086871FC" w14:textId="5F4D2AD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regulačného</w:t>
            </w:r>
            <w:r w:rsidR="00AB26B3" w:rsidRPr="00AB26B3">
              <w:rPr>
                <w:noProof/>
                <w:spacing w:val="-6"/>
                <w:lang w:val="sk-SK"/>
              </w:rPr>
              <w:t xml:space="preserve"> a </w:t>
            </w:r>
            <w:r w:rsidRPr="00AB26B3">
              <w:rPr>
                <w:noProof/>
                <w:spacing w:val="-6"/>
                <w:lang w:val="sk-SK"/>
              </w:rPr>
              <w:t>legislatívneho rámca</w:t>
            </w:r>
          </w:p>
        </w:tc>
        <w:tc>
          <w:tcPr>
            <w:tcW w:w="1417" w:type="dxa"/>
            <w:shd w:val="clear" w:color="auto" w:fill="C6EFCE"/>
            <w:noWrap/>
          </w:tcPr>
          <w:p w14:paraId="29E979E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7CF69D4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1BFDCC5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4" w:type="dxa"/>
            <w:shd w:val="clear" w:color="auto" w:fill="C6EFCE"/>
            <w:noWrap/>
          </w:tcPr>
          <w:p w14:paraId="7295347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850" w:type="dxa"/>
            <w:shd w:val="clear" w:color="auto" w:fill="C6EFCE"/>
            <w:noWrap/>
          </w:tcPr>
          <w:p w14:paraId="610BAE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402" w:type="dxa"/>
            <w:shd w:val="clear" w:color="auto" w:fill="C6EFCE"/>
            <w:noWrap/>
          </w:tcPr>
          <w:p w14:paraId="18332220" w14:textId="22ABA73C" w:rsidR="00302FC1" w:rsidRPr="00AB26B3" w:rsidRDefault="00D64F26">
            <w:pPr>
              <w:pStyle w:val="P68B1DB1-Normal12"/>
              <w:spacing w:after="0" w:line="240" w:lineRule="auto"/>
              <w:rPr>
                <w:noProof/>
                <w:spacing w:val="-6"/>
                <w:lang w:val="sk-SK"/>
              </w:rPr>
            </w:pPr>
            <w:r w:rsidRPr="00AB26B3">
              <w:rPr>
                <w:noProof/>
                <w:spacing w:val="-6"/>
                <w:lang w:val="sk-SK"/>
              </w:rPr>
              <w:t>Nadobudnutie účinnosti sekundárnych právnych predpisov, ktorými sa vymedzuje proces prideľovania frekvenčného spektra 5G pre pilotné projekty prostredníctvom fondu Phaistos a/alebo univerzitných subjektov vrátane procesu identifikácie ďalších príležitostí</w:t>
            </w:r>
            <w:r w:rsidR="00AB26B3" w:rsidRPr="00AB26B3">
              <w:rPr>
                <w:noProof/>
                <w:spacing w:val="-6"/>
                <w:lang w:val="sk-SK"/>
              </w:rPr>
              <w:t xml:space="preserve"> a </w:t>
            </w:r>
            <w:r w:rsidRPr="00AB26B3">
              <w:rPr>
                <w:noProof/>
                <w:spacing w:val="-6"/>
                <w:lang w:val="sk-SK"/>
              </w:rPr>
              <w:t>rizík pri rozvoji sietí 5G, zjednodušenia postupov prideľovania frekvenčného spektra 5G</w:t>
            </w:r>
            <w:r w:rsidR="00AB26B3" w:rsidRPr="00AB26B3">
              <w:rPr>
                <w:noProof/>
                <w:spacing w:val="-6"/>
                <w:lang w:val="sk-SK"/>
              </w:rPr>
              <w:t xml:space="preserve"> a </w:t>
            </w:r>
            <w:r w:rsidRPr="00AB26B3">
              <w:rPr>
                <w:noProof/>
                <w:spacing w:val="-6"/>
                <w:lang w:val="sk-SK"/>
              </w:rPr>
              <w:t>posúdenia požiadaviek</w:t>
            </w:r>
            <w:r w:rsidR="00AB26B3" w:rsidRPr="00AB26B3">
              <w:rPr>
                <w:noProof/>
                <w:spacing w:val="-6"/>
                <w:lang w:val="sk-SK"/>
              </w:rPr>
              <w:t xml:space="preserve"> a </w:t>
            </w:r>
            <w:r w:rsidRPr="00AB26B3">
              <w:rPr>
                <w:noProof/>
                <w:spacing w:val="-6"/>
                <w:lang w:val="sk-SK"/>
              </w:rPr>
              <w:t>rizík</w:t>
            </w:r>
            <w:r w:rsidR="00AB26B3" w:rsidRPr="00AB26B3">
              <w:rPr>
                <w:noProof/>
                <w:spacing w:val="-6"/>
                <w:lang w:val="sk-SK"/>
              </w:rPr>
              <w:t xml:space="preserve"> v </w:t>
            </w:r>
            <w:r w:rsidRPr="00AB26B3">
              <w:rPr>
                <w:noProof/>
                <w:spacing w:val="-6"/>
                <w:lang w:val="sk-SK"/>
              </w:rPr>
              <w:t>konkrétnych hospodárskych aplikáciách.</w:t>
            </w:r>
          </w:p>
        </w:tc>
      </w:tr>
      <w:tr w:rsidR="00302FC1" w:rsidRPr="00AB26B3" w14:paraId="2CACC08A" w14:textId="77777777">
        <w:trPr>
          <w:trHeight w:val="309"/>
          <w:jc w:val="center"/>
        </w:trPr>
        <w:tc>
          <w:tcPr>
            <w:tcW w:w="588" w:type="dxa"/>
            <w:shd w:val="clear" w:color="auto" w:fill="C6EFCE"/>
            <w:noWrap/>
          </w:tcPr>
          <w:p w14:paraId="27602DC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334</w:t>
            </w:r>
          </w:p>
        </w:tc>
        <w:tc>
          <w:tcPr>
            <w:tcW w:w="1680" w:type="dxa"/>
            <w:shd w:val="clear" w:color="auto" w:fill="C6EFCE"/>
            <w:noWrap/>
          </w:tcPr>
          <w:p w14:paraId="2FC9D3C9" w14:textId="39E791B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16857_Prechod na gigabitové širokopásmové pripojenie – Prechod na gigabitové širokopásmové pripojenie</w:t>
            </w:r>
            <w:r w:rsidR="00AB26B3" w:rsidRPr="00AB26B3">
              <w:rPr>
                <w:noProof/>
                <w:spacing w:val="-6"/>
                <w:lang w:val="sk-SK"/>
              </w:rPr>
              <w:t xml:space="preserve"> a </w:t>
            </w:r>
            <w:r w:rsidRPr="00AB26B3">
              <w:rPr>
                <w:noProof/>
                <w:spacing w:val="-6"/>
                <w:lang w:val="sk-SK"/>
              </w:rPr>
              <w:t>posilnenie gigabitového širokopásmového dopytu</w:t>
            </w:r>
          </w:p>
        </w:tc>
        <w:tc>
          <w:tcPr>
            <w:tcW w:w="1155" w:type="dxa"/>
            <w:shd w:val="clear" w:color="auto" w:fill="C6EFCE"/>
            <w:noWrap/>
          </w:tcPr>
          <w:p w14:paraId="6CCE96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60" w:type="dxa"/>
            <w:shd w:val="clear" w:color="auto" w:fill="C6EFCE"/>
            <w:noWrap/>
          </w:tcPr>
          <w:p w14:paraId="4C6A7D05" w14:textId="13AA0CC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reformy širokopásmového pripojenia</w:t>
            </w:r>
            <w:r w:rsidR="00AB26B3" w:rsidRPr="00AB26B3">
              <w:rPr>
                <w:noProof/>
                <w:spacing w:val="-6"/>
                <w:lang w:val="sk-SK"/>
              </w:rPr>
              <w:t xml:space="preserve"> z </w:t>
            </w:r>
            <w:r w:rsidRPr="00AB26B3">
              <w:rPr>
                <w:noProof/>
                <w:spacing w:val="-6"/>
                <w:lang w:val="sk-SK"/>
              </w:rPr>
              <w:t>prechodu na gigabitové pripojenie</w:t>
            </w:r>
          </w:p>
        </w:tc>
        <w:tc>
          <w:tcPr>
            <w:tcW w:w="2268" w:type="dxa"/>
            <w:shd w:val="clear" w:color="auto" w:fill="C6EFCE"/>
            <w:noWrap/>
          </w:tcPr>
          <w:p w14:paraId="2C4AF49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legislatívneho rámca</w:t>
            </w:r>
          </w:p>
        </w:tc>
        <w:tc>
          <w:tcPr>
            <w:tcW w:w="1417" w:type="dxa"/>
            <w:shd w:val="clear" w:color="auto" w:fill="C6EFCE"/>
            <w:noWrap/>
          </w:tcPr>
          <w:p w14:paraId="529551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4551E75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7224A2C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4" w:type="dxa"/>
            <w:shd w:val="clear" w:color="auto" w:fill="C6EFCE"/>
            <w:noWrap/>
          </w:tcPr>
          <w:p w14:paraId="0284E87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50" w:type="dxa"/>
            <w:shd w:val="clear" w:color="auto" w:fill="C6EFCE"/>
            <w:noWrap/>
          </w:tcPr>
          <w:p w14:paraId="3FD7A8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402" w:type="dxa"/>
            <w:shd w:val="clear" w:color="auto" w:fill="C6EFCE"/>
            <w:noWrap/>
          </w:tcPr>
          <w:p w14:paraId="4F5C8D7C" w14:textId="3F7B6BDF" w:rsidR="00302FC1" w:rsidRPr="00AB26B3" w:rsidRDefault="00D64F26">
            <w:pPr>
              <w:pStyle w:val="P68B1DB1-xmsonormal33"/>
              <w:rPr>
                <w:rFonts w:eastAsia="Times New Roman" w:cs="Calibri"/>
                <w:noProof/>
                <w:spacing w:val="-6"/>
                <w:lang w:val="sk-SK"/>
              </w:rPr>
            </w:pPr>
            <w:r w:rsidRPr="00AB26B3">
              <w:rPr>
                <w:noProof/>
                <w:spacing w:val="-6"/>
                <w:lang w:val="sk-SK"/>
              </w:rPr>
              <w:t>Nadobudnutie účinnosti právneho rámca, ktorým sa vymedzujú technické špecifikácie</w:t>
            </w:r>
            <w:r w:rsidR="00AB26B3" w:rsidRPr="00AB26B3">
              <w:rPr>
                <w:noProof/>
                <w:spacing w:val="-6"/>
                <w:lang w:val="sk-SK"/>
              </w:rPr>
              <w:t xml:space="preserve"> a </w:t>
            </w:r>
            <w:r w:rsidRPr="00AB26B3">
              <w:rPr>
                <w:noProof/>
                <w:spacing w:val="-6"/>
                <w:lang w:val="sk-SK"/>
              </w:rPr>
              <w:t>príslušné pravidlá</w:t>
            </w:r>
            <w:r w:rsidR="00AB26B3" w:rsidRPr="00AB26B3">
              <w:rPr>
                <w:noProof/>
                <w:spacing w:val="-6"/>
                <w:lang w:val="sk-SK"/>
              </w:rPr>
              <w:t xml:space="preserve"> a </w:t>
            </w:r>
            <w:r w:rsidRPr="00AB26B3">
              <w:rPr>
                <w:noProof/>
                <w:spacing w:val="-6"/>
                <w:lang w:val="sk-SK"/>
              </w:rPr>
              <w:t>postupy zavádzania širokopásmovej infraštruktúry</w:t>
            </w:r>
            <w:r w:rsidR="00AB26B3" w:rsidRPr="00AB26B3">
              <w:rPr>
                <w:noProof/>
                <w:spacing w:val="-6"/>
                <w:lang w:val="sk-SK"/>
              </w:rPr>
              <w:t xml:space="preserve"> v </w:t>
            </w:r>
            <w:r w:rsidRPr="00AB26B3">
              <w:rPr>
                <w:noProof/>
                <w:spacing w:val="-6"/>
                <w:lang w:val="sk-SK"/>
              </w:rPr>
              <w:t xml:space="preserve">budove, ktorá je schopná poskytovať koncovým používateľom gigabitové pripojenie. </w:t>
            </w:r>
          </w:p>
        </w:tc>
      </w:tr>
    </w:tbl>
    <w:p w14:paraId="7A633696"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sectPr w:rsidR="00302FC1" w:rsidRPr="00AB26B3" w:rsidSect="00315FC0">
          <w:headerReference w:type="even" r:id="rId110"/>
          <w:headerReference w:type="default" r:id="rId111"/>
          <w:footerReference w:type="even" r:id="rId112"/>
          <w:footerReference w:type="default" r:id="rId113"/>
          <w:headerReference w:type="first" r:id="rId114"/>
          <w:footerReference w:type="first" r:id="rId115"/>
          <w:pgSz w:w="16839" w:h="11907" w:orient="landscape"/>
          <w:pgMar w:top="1417" w:right="1134" w:bottom="1417" w:left="1134" w:header="709" w:footer="359" w:gutter="0"/>
          <w:cols w:space="720"/>
          <w:docGrid w:linePitch="360"/>
        </w:sectPr>
      </w:pPr>
    </w:p>
    <w:p w14:paraId="70553154"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F. ZLOŽKA 2.2: ZMODERNIZOVAŤ</w:t>
      </w:r>
    </w:p>
    <w:p w14:paraId="0F524A52" w14:textId="363B7F4C"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 xml:space="preserve">Cieľom komponentu „ </w:t>
      </w:r>
      <w:r w:rsidRPr="00AB26B3">
        <w:rPr>
          <w:noProof/>
          <w:color w:val="000000"/>
          <w:spacing w:val="-6"/>
          <w:lang w:val="sk-SK"/>
        </w:rPr>
        <w:t>Modernizácia“ plánu obnovy</w:t>
      </w:r>
      <w:r w:rsidR="00AB26B3" w:rsidRPr="00AB26B3">
        <w:rPr>
          <w:noProof/>
          <w:color w:val="000000"/>
          <w:spacing w:val="-6"/>
          <w:lang w:val="sk-SK"/>
        </w:rPr>
        <w:t xml:space="preserve"> a </w:t>
      </w:r>
      <w:r w:rsidRPr="00AB26B3">
        <w:rPr>
          <w:noProof/>
          <w:color w:val="000000"/>
          <w:spacing w:val="-6"/>
          <w:lang w:val="sk-SK"/>
        </w:rPr>
        <w:t>odolnosti</w:t>
      </w:r>
      <w:r w:rsidRPr="00AB26B3">
        <w:rPr>
          <w:noProof/>
          <w:spacing w:val="-6"/>
          <w:lang w:val="sk-SK"/>
        </w:rPr>
        <w:t xml:space="preserve"> Grécka je modernizovať verejnú správu zlepšením jej operačného modelu</w:t>
      </w:r>
      <w:r w:rsidR="00AB26B3" w:rsidRPr="00AB26B3">
        <w:rPr>
          <w:noProof/>
          <w:spacing w:val="-6"/>
          <w:lang w:val="sk-SK"/>
        </w:rPr>
        <w:t xml:space="preserve"> a </w:t>
      </w:r>
      <w:r w:rsidRPr="00AB26B3">
        <w:rPr>
          <w:noProof/>
          <w:spacing w:val="-6"/>
          <w:lang w:val="sk-SK"/>
        </w:rPr>
        <w:t>zabezpečením poskytovania vysokokvalitných služieb občanom</w:t>
      </w:r>
      <w:r w:rsidR="00AB26B3" w:rsidRPr="00AB26B3">
        <w:rPr>
          <w:noProof/>
          <w:spacing w:val="-6"/>
          <w:lang w:val="sk-SK"/>
        </w:rPr>
        <w:t xml:space="preserve"> a </w:t>
      </w:r>
      <w:r w:rsidRPr="00AB26B3">
        <w:rPr>
          <w:noProof/>
          <w:spacing w:val="-6"/>
          <w:lang w:val="sk-SK"/>
        </w:rPr>
        <w:t>podnikom. Urýchlenie úsilia</w:t>
      </w:r>
      <w:r w:rsidR="00AB26B3" w:rsidRPr="00AB26B3">
        <w:rPr>
          <w:noProof/>
          <w:spacing w:val="-6"/>
          <w:lang w:val="sk-SK"/>
        </w:rPr>
        <w:t xml:space="preserve"> o </w:t>
      </w:r>
      <w:r w:rsidRPr="00AB26B3">
        <w:rPr>
          <w:noProof/>
          <w:spacing w:val="-6"/>
          <w:lang w:val="sk-SK"/>
        </w:rPr>
        <w:t>zlepšenie digitálnej výkonnosti verejnej správy pôsobí ako katalyzátor na dosiahnutie tohto cieľa. Reformy</w:t>
      </w:r>
      <w:r w:rsidR="00AB26B3" w:rsidRPr="00AB26B3">
        <w:rPr>
          <w:noProof/>
          <w:spacing w:val="-6"/>
          <w:lang w:val="sk-SK"/>
        </w:rPr>
        <w:t xml:space="preserve"> a </w:t>
      </w:r>
      <w:r w:rsidRPr="00AB26B3">
        <w:rPr>
          <w:noProof/>
          <w:spacing w:val="-6"/>
          <w:lang w:val="sk-SK"/>
        </w:rPr>
        <w:t>investície sú zamerané na: a) digitálna transformácia organizácií verejného sektora vrátane digitalizácie archívov</w:t>
      </w:r>
      <w:r w:rsidR="00AB26B3" w:rsidRPr="00AB26B3">
        <w:rPr>
          <w:noProof/>
          <w:spacing w:val="-6"/>
          <w:lang w:val="sk-SK"/>
        </w:rPr>
        <w:t xml:space="preserve"> a </w:t>
      </w:r>
      <w:r w:rsidRPr="00AB26B3">
        <w:rPr>
          <w:noProof/>
          <w:spacing w:val="-6"/>
          <w:lang w:val="sk-SK"/>
        </w:rPr>
        <w:t>rozšírených digitálnych služieb; b) zlepšenia prevádzkových procesov, po ktorých nasleduje začlenenie moderných informačných systémov; C) zvýšená interoperabilita medzi systémami</w:t>
      </w:r>
      <w:r w:rsidR="00AB26B3" w:rsidRPr="00AB26B3">
        <w:rPr>
          <w:noProof/>
          <w:spacing w:val="-6"/>
          <w:lang w:val="sk-SK"/>
        </w:rPr>
        <w:t xml:space="preserve"> a </w:t>
      </w:r>
      <w:r w:rsidRPr="00AB26B3">
        <w:rPr>
          <w:noProof/>
          <w:spacing w:val="-6"/>
          <w:lang w:val="sk-SK"/>
        </w:rPr>
        <w:t>údajmi; d) rozsiahle stratégie</w:t>
      </w:r>
      <w:r w:rsidR="00AB26B3" w:rsidRPr="00AB26B3">
        <w:rPr>
          <w:noProof/>
          <w:spacing w:val="-6"/>
          <w:lang w:val="sk-SK"/>
        </w:rPr>
        <w:t xml:space="preserve"> a </w:t>
      </w:r>
      <w:r w:rsidRPr="00AB26B3">
        <w:rPr>
          <w:noProof/>
          <w:spacing w:val="-6"/>
          <w:lang w:val="sk-SK"/>
        </w:rPr>
        <w:t>politiky</w:t>
      </w:r>
      <w:r w:rsidR="00AB26B3" w:rsidRPr="00AB26B3">
        <w:rPr>
          <w:noProof/>
          <w:spacing w:val="-6"/>
          <w:lang w:val="sk-SK"/>
        </w:rPr>
        <w:t xml:space="preserve"> v </w:t>
      </w:r>
      <w:r w:rsidRPr="00AB26B3">
        <w:rPr>
          <w:noProof/>
          <w:spacing w:val="-6"/>
          <w:lang w:val="sk-SK"/>
        </w:rPr>
        <w:t>oblasti kybernetickej bezpečnosti</w:t>
      </w:r>
      <w:r w:rsidR="00AB26B3" w:rsidRPr="00AB26B3">
        <w:rPr>
          <w:noProof/>
          <w:spacing w:val="-6"/>
          <w:lang w:val="sk-SK"/>
        </w:rPr>
        <w:t xml:space="preserve"> a </w:t>
      </w:r>
      <w:r w:rsidRPr="00AB26B3">
        <w:rPr>
          <w:noProof/>
          <w:spacing w:val="-6"/>
          <w:lang w:val="sk-SK"/>
        </w:rPr>
        <w:t>správy údajov; ako aj e) rozšírené využívanie pokročilých technológií, ako sú cloud computing, umelá inteligencia</w:t>
      </w:r>
      <w:r w:rsidR="00AB26B3" w:rsidRPr="00AB26B3">
        <w:rPr>
          <w:noProof/>
          <w:spacing w:val="-6"/>
          <w:lang w:val="sk-SK"/>
        </w:rPr>
        <w:t xml:space="preserve"> a </w:t>
      </w:r>
      <w:r w:rsidRPr="00AB26B3">
        <w:rPr>
          <w:noProof/>
          <w:spacing w:val="-6"/>
          <w:lang w:val="sk-SK"/>
        </w:rPr>
        <w:t>veľké dáta.</w:t>
      </w:r>
    </w:p>
    <w:p w14:paraId="62F9E75B" w14:textId="310F6788"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komponentu je riešiť výzvu modernizácie</w:t>
      </w:r>
      <w:r w:rsidR="00AB26B3" w:rsidRPr="00AB26B3">
        <w:rPr>
          <w:noProof/>
          <w:spacing w:val="-6"/>
          <w:lang w:val="sk-SK"/>
        </w:rPr>
        <w:t xml:space="preserve"> a </w:t>
      </w:r>
      <w:r w:rsidRPr="00AB26B3">
        <w:rPr>
          <w:noProof/>
          <w:spacing w:val="-6"/>
          <w:lang w:val="sk-SK"/>
        </w:rPr>
        <w:t>digitalizácie verejnej správy</w:t>
      </w:r>
      <w:r w:rsidR="00AB26B3" w:rsidRPr="00AB26B3">
        <w:rPr>
          <w:noProof/>
          <w:spacing w:val="-6"/>
          <w:lang w:val="sk-SK"/>
        </w:rPr>
        <w:t xml:space="preserve"> a </w:t>
      </w:r>
      <w:r w:rsidRPr="00AB26B3">
        <w:rPr>
          <w:noProof/>
          <w:spacing w:val="-6"/>
          <w:lang w:val="sk-SK"/>
        </w:rPr>
        <w:t>zároveň zefektívniť</w:t>
      </w:r>
      <w:r w:rsidR="00AB26B3" w:rsidRPr="00AB26B3">
        <w:rPr>
          <w:noProof/>
          <w:spacing w:val="-6"/>
          <w:lang w:val="sk-SK"/>
        </w:rPr>
        <w:t xml:space="preserve"> a </w:t>
      </w:r>
      <w:r w:rsidRPr="00AB26B3">
        <w:rPr>
          <w:noProof/>
          <w:spacing w:val="-6"/>
          <w:lang w:val="sk-SK"/>
        </w:rPr>
        <w:t>zjednodušiť jej kľúčové procesy</w:t>
      </w:r>
      <w:r w:rsidR="00AB26B3" w:rsidRPr="00AB26B3">
        <w:rPr>
          <w:noProof/>
          <w:spacing w:val="-6"/>
          <w:lang w:val="sk-SK"/>
        </w:rPr>
        <w:t xml:space="preserve"> a </w:t>
      </w:r>
      <w:r w:rsidRPr="00AB26B3">
        <w:rPr>
          <w:noProof/>
          <w:spacing w:val="-6"/>
          <w:lang w:val="sk-SK"/>
        </w:rPr>
        <w:t>postupy. Podporuje riešenie odporúčania pre Španielsko týkajúceho sa verejných</w:t>
      </w:r>
      <w:r w:rsidR="00AB26B3" w:rsidRPr="00AB26B3">
        <w:rPr>
          <w:noProof/>
          <w:spacing w:val="-6"/>
          <w:lang w:val="sk-SK"/>
        </w:rPr>
        <w:t xml:space="preserve"> a </w:t>
      </w:r>
      <w:r w:rsidRPr="00AB26B3">
        <w:rPr>
          <w:noProof/>
          <w:spacing w:val="-6"/>
          <w:lang w:val="sk-SK"/>
        </w:rPr>
        <w:t xml:space="preserve">súkromných investícií (odporúčania pre Španielsko </w:t>
      </w:r>
      <w:r w:rsidR="00AB26B3" w:rsidRPr="00AB26B3">
        <w:rPr>
          <w:noProof/>
          <w:spacing w:val="-6"/>
          <w:lang w:val="sk-SK"/>
        </w:rPr>
        <w:t>č. </w:t>
      </w:r>
      <w:r w:rsidRPr="00AB26B3">
        <w:rPr>
          <w:noProof/>
          <w:spacing w:val="-6"/>
          <w:lang w:val="sk-SK"/>
        </w:rPr>
        <w:t>3 2020</w:t>
      </w:r>
      <w:r w:rsidR="00AB26B3" w:rsidRPr="00AB26B3">
        <w:rPr>
          <w:noProof/>
          <w:spacing w:val="-6"/>
          <w:lang w:val="sk-SK"/>
        </w:rPr>
        <w:t xml:space="preserve"> a </w:t>
      </w:r>
      <w:r w:rsidRPr="00AB26B3">
        <w:rPr>
          <w:noProof/>
          <w:spacing w:val="-6"/>
          <w:lang w:val="sk-SK"/>
        </w:rPr>
        <w:t>2 2019) zlepšením účinnosti</w:t>
      </w:r>
      <w:r w:rsidR="00AB26B3" w:rsidRPr="00AB26B3">
        <w:rPr>
          <w:noProof/>
          <w:spacing w:val="-6"/>
          <w:lang w:val="sk-SK"/>
        </w:rPr>
        <w:t xml:space="preserve"> a </w:t>
      </w:r>
      <w:r w:rsidRPr="00AB26B3">
        <w:rPr>
          <w:noProof/>
          <w:spacing w:val="-6"/>
          <w:lang w:val="sk-SK"/>
        </w:rPr>
        <w:t>digitalizácie verejnej správy.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282D7769" w14:textId="7E51FAC0" w:rsidR="00302FC1" w:rsidRPr="00AB26B3" w:rsidRDefault="00D64F26">
      <w:pPr>
        <w:pStyle w:val="P68B1DB1-Normal6"/>
        <w:spacing w:before="120" w:after="120" w:line="240" w:lineRule="auto"/>
        <w:jc w:val="both"/>
        <w:rPr>
          <w:rFonts w:cs="Times New Roman"/>
          <w:i/>
          <w:noProof/>
          <w:color w:val="4F81BD"/>
          <w:spacing w:val="-6"/>
          <w:lang w:val="sk-SK"/>
        </w:rPr>
      </w:pPr>
      <w:r w:rsidRPr="00AB26B3">
        <w:rPr>
          <w:noProof/>
          <w:spacing w:val="-6"/>
          <w:lang w:val="sk-SK"/>
        </w:rPr>
        <w:t>F.1.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734AB974" w14:textId="6AC8A37B"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Smerom</w:t>
      </w:r>
      <w:r w:rsidR="00AB26B3" w:rsidRPr="00AB26B3">
        <w:rPr>
          <w:noProof/>
          <w:spacing w:val="-6"/>
          <w:lang w:val="sk-SK"/>
        </w:rPr>
        <w:t xml:space="preserve"> k </w:t>
      </w:r>
      <w:r w:rsidRPr="00AB26B3">
        <w:rPr>
          <w:noProof/>
          <w:spacing w:val="-6"/>
          <w:lang w:val="sk-SK"/>
        </w:rPr>
        <w:t>službám verejnej správy orientovaným na „zákazníka“ prostredníctvom zjednodušenia</w:t>
      </w:r>
      <w:r w:rsidR="00AB26B3" w:rsidRPr="00AB26B3">
        <w:rPr>
          <w:noProof/>
          <w:spacing w:val="-6"/>
          <w:lang w:val="sk-SK"/>
        </w:rPr>
        <w:t xml:space="preserve"> a </w:t>
      </w:r>
      <w:r w:rsidRPr="00AB26B3">
        <w:rPr>
          <w:noProof/>
          <w:spacing w:val="-6"/>
          <w:lang w:val="sk-SK"/>
        </w:rPr>
        <w:t>zlepšenia procesov, zlepšenia systémov</w:t>
      </w:r>
      <w:r w:rsidR="00AB26B3" w:rsidRPr="00AB26B3">
        <w:rPr>
          <w:noProof/>
          <w:spacing w:val="-6"/>
          <w:lang w:val="sk-SK"/>
        </w:rPr>
        <w:t xml:space="preserve"> a </w:t>
      </w:r>
      <w:r w:rsidRPr="00AB26B3">
        <w:rPr>
          <w:noProof/>
          <w:spacing w:val="-6"/>
          <w:lang w:val="sk-SK"/>
        </w:rPr>
        <w:t>súladu</w:t>
      </w:r>
      <w:r w:rsidR="00AB26B3" w:rsidRPr="00AB26B3">
        <w:rPr>
          <w:noProof/>
          <w:spacing w:val="-6"/>
          <w:lang w:val="sk-SK"/>
        </w:rPr>
        <w:t xml:space="preserve"> s </w:t>
      </w:r>
      <w:r w:rsidRPr="00AB26B3">
        <w:rPr>
          <w:noProof/>
          <w:spacing w:val="-6"/>
          <w:lang w:val="sk-SK"/>
        </w:rPr>
        <w:t>európskymi stratégiami</w:t>
      </w:r>
      <w:r w:rsidR="00AB26B3" w:rsidRPr="00AB26B3">
        <w:rPr>
          <w:noProof/>
          <w:spacing w:val="-6"/>
          <w:lang w:val="sk-SK"/>
        </w:rPr>
        <w:t xml:space="preserve"> a </w:t>
      </w:r>
      <w:r w:rsidRPr="00AB26B3">
        <w:rPr>
          <w:noProof/>
          <w:spacing w:val="-6"/>
          <w:lang w:val="sk-SK"/>
        </w:rPr>
        <w:t>politikami (opatrenie ID 16929)</w:t>
      </w:r>
    </w:p>
    <w:p w14:paraId="10C106A6" w14:textId="221CE9AE"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reformy je poskytnúť gréckym občanom</w:t>
      </w:r>
      <w:r w:rsidR="00AB26B3" w:rsidRPr="00AB26B3">
        <w:rPr>
          <w:noProof/>
          <w:spacing w:val="-6"/>
          <w:lang w:val="sk-SK"/>
        </w:rPr>
        <w:t xml:space="preserve"> a </w:t>
      </w:r>
      <w:r w:rsidRPr="00AB26B3">
        <w:rPr>
          <w:noProof/>
          <w:spacing w:val="-6"/>
          <w:lang w:val="sk-SK"/>
        </w:rPr>
        <w:t>podnikom verejné služby orientované na používateľa</w:t>
      </w:r>
      <w:r w:rsidR="00AB26B3" w:rsidRPr="00AB26B3">
        <w:rPr>
          <w:noProof/>
          <w:spacing w:val="-6"/>
          <w:lang w:val="sk-SK"/>
        </w:rPr>
        <w:t xml:space="preserve"> a </w:t>
      </w:r>
      <w:r w:rsidRPr="00AB26B3">
        <w:rPr>
          <w:noProof/>
          <w:spacing w:val="-6"/>
          <w:lang w:val="sk-SK"/>
        </w:rPr>
        <w:t>zabezpečiť lepšie fungovanie gréckej verejnej správy. Reforma pozostáva z: a) nadobudnutie účinnosti príslušných kapitol jednotného kódexu miestnej správy</w:t>
      </w:r>
      <w:r w:rsidR="00AB26B3" w:rsidRPr="00AB26B3">
        <w:rPr>
          <w:noProof/>
          <w:spacing w:val="-6"/>
          <w:lang w:val="sk-SK"/>
        </w:rPr>
        <w:t xml:space="preserve"> a </w:t>
      </w:r>
      <w:r w:rsidRPr="00AB26B3">
        <w:rPr>
          <w:noProof/>
          <w:spacing w:val="-6"/>
          <w:lang w:val="sk-SK"/>
        </w:rPr>
        <w:t>b) vykonávanie opatrení na monitorovanie</w:t>
      </w:r>
      <w:r w:rsidR="00AB26B3" w:rsidRPr="00AB26B3">
        <w:rPr>
          <w:noProof/>
          <w:spacing w:val="-6"/>
          <w:lang w:val="sk-SK"/>
        </w:rPr>
        <w:t xml:space="preserve"> a </w:t>
      </w:r>
      <w:r w:rsidRPr="00AB26B3">
        <w:rPr>
          <w:noProof/>
          <w:spacing w:val="-6"/>
          <w:lang w:val="sk-SK"/>
        </w:rPr>
        <w:t>meranie administratívnej záťaže</w:t>
      </w:r>
      <w:r w:rsidR="00AB26B3" w:rsidRPr="00AB26B3">
        <w:rPr>
          <w:noProof/>
          <w:spacing w:val="-6"/>
          <w:lang w:val="sk-SK"/>
        </w:rPr>
        <w:t xml:space="preserve"> a </w:t>
      </w:r>
      <w:r w:rsidRPr="00AB26B3">
        <w:rPr>
          <w:noProof/>
          <w:spacing w:val="-6"/>
          <w:lang w:val="sk-SK"/>
        </w:rPr>
        <w:t>na podporu procesu posudzovania vplyvu regulácie</w:t>
      </w:r>
      <w:r w:rsidR="00AB26B3" w:rsidRPr="00AB26B3">
        <w:rPr>
          <w:noProof/>
          <w:spacing w:val="-6"/>
          <w:lang w:val="sk-SK"/>
        </w:rPr>
        <w:t>.</w:t>
      </w:r>
    </w:p>
    <w:p w14:paraId="2D82CD11" w14:textId="31A6AD1E"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Digitalizácia archívov</w:t>
      </w:r>
      <w:r w:rsidR="00AB26B3" w:rsidRPr="00AB26B3">
        <w:rPr>
          <w:noProof/>
          <w:spacing w:val="-6"/>
          <w:lang w:val="sk-SK"/>
        </w:rPr>
        <w:t xml:space="preserve"> a </w:t>
      </w:r>
      <w:r w:rsidRPr="00AB26B3">
        <w:rPr>
          <w:noProof/>
          <w:spacing w:val="-6"/>
          <w:lang w:val="sk-SK"/>
        </w:rPr>
        <w:t>súvisiacich služieb (opatrenie ID 16778)</w:t>
      </w:r>
    </w:p>
    <w:p w14:paraId="2CF29A99" w14:textId="4617561E" w:rsidR="00AB26B3" w:rsidRPr="00AB26B3" w:rsidRDefault="00D64F26">
      <w:pPr>
        <w:pStyle w:val="P68B1DB1-Normal7"/>
        <w:jc w:val="both"/>
        <w:rPr>
          <w:noProof/>
          <w:spacing w:val="-6"/>
          <w:lang w:val="sk-SK"/>
        </w:rPr>
      </w:pPr>
      <w:r w:rsidRPr="00AB26B3">
        <w:rPr>
          <w:noProof/>
          <w:spacing w:val="-6"/>
          <w:lang w:val="sk-SK"/>
        </w:rPr>
        <w:t>Investícia pozostáva</w:t>
      </w:r>
      <w:r w:rsidR="00AB26B3" w:rsidRPr="00AB26B3">
        <w:rPr>
          <w:noProof/>
          <w:spacing w:val="-6"/>
          <w:lang w:val="sk-SK"/>
        </w:rPr>
        <w:t xml:space="preserve"> z </w:t>
      </w:r>
      <w:r w:rsidRPr="00AB26B3">
        <w:rPr>
          <w:noProof/>
          <w:spacing w:val="-6"/>
          <w:lang w:val="sk-SK"/>
        </w:rPr>
        <w:t>digitalizácie kľúčových archívov</w:t>
      </w:r>
      <w:r w:rsidR="00AB26B3" w:rsidRPr="00AB26B3">
        <w:rPr>
          <w:noProof/>
          <w:spacing w:val="-6"/>
          <w:lang w:val="sk-SK"/>
        </w:rPr>
        <w:t xml:space="preserve"> v </w:t>
      </w:r>
      <w:r w:rsidRPr="00AB26B3">
        <w:rPr>
          <w:noProof/>
          <w:spacing w:val="-6"/>
          <w:lang w:val="sk-SK"/>
        </w:rPr>
        <w:t>rôznych odvetviach (spravodlivosť, zdravotníctvo, všeobecné štátne archívy, územné plánovanie, vyvlastňovanie, kataster, prisťahovalectvo</w:t>
      </w:r>
      <w:r w:rsidR="00AB26B3" w:rsidRPr="00AB26B3">
        <w:rPr>
          <w:noProof/>
          <w:spacing w:val="-6"/>
          <w:lang w:val="sk-SK"/>
        </w:rPr>
        <w:t xml:space="preserve"> a </w:t>
      </w:r>
      <w:r w:rsidRPr="00AB26B3">
        <w:rPr>
          <w:noProof/>
          <w:spacing w:val="-6"/>
          <w:lang w:val="sk-SK"/>
        </w:rPr>
        <w:t>azyl, námorné záležitosti)</w:t>
      </w:r>
      <w:r w:rsidR="00AB26B3" w:rsidRPr="00AB26B3">
        <w:rPr>
          <w:noProof/>
          <w:spacing w:val="-6"/>
          <w:lang w:val="sk-SK"/>
        </w:rPr>
        <w:t xml:space="preserve"> a </w:t>
      </w:r>
      <w:r w:rsidRPr="00AB26B3">
        <w:rPr>
          <w:noProof/>
          <w:spacing w:val="-6"/>
          <w:lang w:val="sk-SK"/>
        </w:rPr>
        <w:t>integrácie do príslušných informačných systémov</w:t>
      </w:r>
      <w:r w:rsidR="00AB26B3" w:rsidRPr="00AB26B3">
        <w:rPr>
          <w:noProof/>
          <w:spacing w:val="-6"/>
          <w:lang w:val="sk-SK"/>
        </w:rPr>
        <w:t xml:space="preserve"> a </w:t>
      </w:r>
      <w:r w:rsidRPr="00AB26B3">
        <w:rPr>
          <w:noProof/>
          <w:spacing w:val="-6"/>
          <w:lang w:val="sk-SK"/>
        </w:rPr>
        <w:t>pilotnej realizácie bezpečného uchovávania archívov verejného sektora</w:t>
      </w:r>
      <w:r w:rsidR="00AB26B3" w:rsidRPr="00AB26B3">
        <w:rPr>
          <w:noProof/>
          <w:spacing w:val="-6"/>
          <w:lang w:val="sk-SK"/>
        </w:rPr>
        <w:t xml:space="preserve"> a </w:t>
      </w:r>
      <w:r w:rsidRPr="00AB26B3">
        <w:rPr>
          <w:noProof/>
          <w:spacing w:val="-6"/>
          <w:lang w:val="sk-SK"/>
        </w:rPr>
        <w:t>„širšieho“ verejného sektora (spolu deväť čiastkových projektov)</w:t>
      </w:r>
      <w:r w:rsidR="00AB26B3" w:rsidRPr="00AB26B3">
        <w:rPr>
          <w:noProof/>
          <w:spacing w:val="-6"/>
          <w:lang w:val="sk-SK"/>
        </w:rPr>
        <w:t>.</w:t>
      </w:r>
    </w:p>
    <w:p w14:paraId="7073CEAF" w14:textId="1DFA6D96" w:rsidR="00302FC1" w:rsidRPr="00AB26B3" w:rsidRDefault="00D64F26">
      <w:pPr>
        <w:pStyle w:val="P68B1DB1-Normal7"/>
        <w:spacing w:before="120" w:after="120"/>
        <w:jc w:val="both"/>
        <w:rPr>
          <w:noProof/>
          <w:spacing w:val="-6"/>
          <w:lang w:val="sk-SK"/>
        </w:rPr>
      </w:pPr>
      <w:r w:rsidRPr="00AB26B3">
        <w:rPr>
          <w:noProof/>
          <w:spacing w:val="-6"/>
          <w:lang w:val="sk-SK"/>
        </w:rPr>
        <w:t>Konkrétne uvedené čiastkové projekty zahŕňajú realizáciu digitalizácie 1150000000 strán</w:t>
      </w:r>
      <w:r w:rsidR="00AB26B3" w:rsidRPr="00AB26B3">
        <w:rPr>
          <w:noProof/>
          <w:spacing w:val="-6"/>
          <w:lang w:val="sk-SK"/>
        </w:rPr>
        <w:t xml:space="preserve"> a </w:t>
      </w:r>
      <w:r w:rsidRPr="00AB26B3">
        <w:rPr>
          <w:noProof/>
          <w:spacing w:val="-6"/>
          <w:lang w:val="sk-SK"/>
        </w:rPr>
        <w:t>iné potrebné opatrenia</w:t>
      </w:r>
      <w:r w:rsidR="00AB26B3" w:rsidRPr="00AB26B3">
        <w:rPr>
          <w:noProof/>
          <w:spacing w:val="-6"/>
          <w:lang w:val="sk-SK"/>
        </w:rPr>
        <w:t xml:space="preserve"> v </w:t>
      </w:r>
      <w:r w:rsidRPr="00AB26B3">
        <w:rPr>
          <w:noProof/>
          <w:spacing w:val="-6"/>
          <w:lang w:val="sk-SK"/>
        </w:rPr>
        <w:t>súvislosti</w:t>
      </w:r>
      <w:r w:rsidR="00AB26B3" w:rsidRPr="00AB26B3">
        <w:rPr>
          <w:noProof/>
          <w:spacing w:val="-6"/>
          <w:lang w:val="sk-SK"/>
        </w:rPr>
        <w:t xml:space="preserve"> s </w:t>
      </w:r>
      <w:r w:rsidRPr="00AB26B3">
        <w:rPr>
          <w:noProof/>
          <w:spacing w:val="-6"/>
          <w:lang w:val="sk-SK"/>
        </w:rPr>
        <w:t>týmito archívmi: 1) justičný systém, 2) zdravotné záznamy</w:t>
      </w:r>
      <w:r w:rsidR="00AB26B3" w:rsidRPr="00AB26B3">
        <w:rPr>
          <w:noProof/>
          <w:spacing w:val="-6"/>
          <w:lang w:val="sk-SK"/>
        </w:rPr>
        <w:t xml:space="preserve"> a </w:t>
      </w:r>
      <w:r w:rsidRPr="00AB26B3">
        <w:rPr>
          <w:noProof/>
          <w:spacing w:val="-6"/>
          <w:lang w:val="sk-SK"/>
        </w:rPr>
        <w:t>vyšetrenia snímok systému verejného zdravotníctva, 3) všeobecný archív štátu pre ústredné</w:t>
      </w:r>
      <w:r w:rsidR="00AB26B3" w:rsidRPr="00AB26B3">
        <w:rPr>
          <w:noProof/>
          <w:spacing w:val="-6"/>
          <w:lang w:val="sk-SK"/>
        </w:rPr>
        <w:t xml:space="preserve"> a </w:t>
      </w:r>
      <w:r w:rsidRPr="00AB26B3">
        <w:rPr>
          <w:noProof/>
          <w:spacing w:val="-6"/>
          <w:lang w:val="sk-SK"/>
        </w:rPr>
        <w:t>miestne orgány, 4) imigračný</w:t>
      </w:r>
      <w:r w:rsidR="00AB26B3" w:rsidRPr="00AB26B3">
        <w:rPr>
          <w:noProof/>
          <w:spacing w:val="-6"/>
          <w:lang w:val="sk-SK"/>
        </w:rPr>
        <w:t xml:space="preserve"> a </w:t>
      </w:r>
      <w:r w:rsidRPr="00AB26B3">
        <w:rPr>
          <w:noProof/>
          <w:spacing w:val="-6"/>
          <w:lang w:val="sk-SK"/>
        </w:rPr>
        <w:t>azylový systém, 5) plány vyvlastnenia, 6) stavebné povolenia</w:t>
      </w:r>
      <w:r w:rsidR="00AB26B3" w:rsidRPr="00AB26B3">
        <w:rPr>
          <w:noProof/>
          <w:spacing w:val="-6"/>
          <w:lang w:val="sk-SK"/>
        </w:rPr>
        <w:t xml:space="preserve"> a </w:t>
      </w:r>
      <w:r w:rsidRPr="00AB26B3">
        <w:rPr>
          <w:noProof/>
          <w:spacing w:val="-6"/>
          <w:lang w:val="sk-SK"/>
        </w:rPr>
        <w:t>plány</w:t>
      </w:r>
      <w:r w:rsidR="00AB26B3" w:rsidRPr="00AB26B3">
        <w:rPr>
          <w:noProof/>
          <w:spacing w:val="-6"/>
          <w:lang w:val="sk-SK"/>
        </w:rPr>
        <w:t xml:space="preserve"> a </w:t>
      </w:r>
      <w:r w:rsidRPr="00AB26B3">
        <w:rPr>
          <w:noProof/>
          <w:spacing w:val="-6"/>
          <w:lang w:val="sk-SK"/>
        </w:rPr>
        <w:t>tvorba metaúdajov</w:t>
      </w:r>
      <w:r w:rsidR="00AB26B3" w:rsidRPr="00AB26B3">
        <w:rPr>
          <w:noProof/>
          <w:spacing w:val="-6"/>
          <w:lang w:val="sk-SK"/>
        </w:rPr>
        <w:t xml:space="preserve"> a </w:t>
      </w:r>
      <w:r w:rsidRPr="00AB26B3">
        <w:rPr>
          <w:noProof/>
          <w:spacing w:val="-6"/>
          <w:lang w:val="sk-SK"/>
        </w:rPr>
        <w:t>geokódovania pre orgány územného plánovania, 7a) vlastnícke práva</w:t>
      </w:r>
      <w:r w:rsidR="00AB26B3" w:rsidRPr="00AB26B3">
        <w:rPr>
          <w:noProof/>
          <w:spacing w:val="-6"/>
          <w:lang w:val="sk-SK"/>
        </w:rPr>
        <w:t xml:space="preserve"> a </w:t>
      </w:r>
      <w:r w:rsidRPr="00AB26B3">
        <w:rPr>
          <w:noProof/>
          <w:spacing w:val="-6"/>
          <w:lang w:val="sk-SK"/>
        </w:rPr>
        <w:t>príslušné dokumenty na hypotekárnych úradoch katastra</w:t>
      </w:r>
      <w:r w:rsidR="00AB26B3" w:rsidRPr="00AB26B3">
        <w:rPr>
          <w:noProof/>
          <w:spacing w:val="-6"/>
          <w:lang w:val="sk-SK"/>
        </w:rPr>
        <w:t xml:space="preserve"> a </w:t>
      </w:r>
      <w:r w:rsidRPr="00AB26B3">
        <w:rPr>
          <w:noProof/>
          <w:spacing w:val="-6"/>
          <w:lang w:val="sk-SK"/>
        </w:rPr>
        <w:t>7b) vykonávanie vylepšených služieb katastra</w:t>
      </w:r>
      <w:r w:rsidR="00AB26B3" w:rsidRPr="00AB26B3">
        <w:rPr>
          <w:noProof/>
          <w:spacing w:val="-6"/>
          <w:lang w:val="sk-SK"/>
        </w:rPr>
        <w:t xml:space="preserve"> a </w:t>
      </w:r>
      <w:r w:rsidRPr="00AB26B3">
        <w:rPr>
          <w:noProof/>
          <w:spacing w:val="-6"/>
          <w:lang w:val="sk-SK"/>
        </w:rPr>
        <w:t>8) námorné záležitosti. Podprojekt 9) sa týka pilotnej realizácie bezpečného uchovávania 1440000 schránok súborov obsahujúcich fyzické súbory</w:t>
      </w:r>
      <w:r w:rsidR="00AB26B3" w:rsidRPr="00AB26B3">
        <w:rPr>
          <w:noProof/>
          <w:spacing w:val="-6"/>
          <w:lang w:val="sk-SK"/>
        </w:rPr>
        <w:t xml:space="preserve"> v </w:t>
      </w:r>
      <w:r w:rsidRPr="00AB26B3">
        <w:rPr>
          <w:noProof/>
          <w:spacing w:val="-6"/>
          <w:lang w:val="sk-SK"/>
        </w:rPr>
        <w:t>iných archívoch verejného sektora. Cieľom tejto investície je znížiť časové náklady na poskytovanie služieb verejnosti zo strany verejnej správy, zatiaľ čo lepší prístup</w:t>
      </w:r>
      <w:r w:rsidR="00AB26B3" w:rsidRPr="00AB26B3">
        <w:rPr>
          <w:noProof/>
          <w:spacing w:val="-6"/>
          <w:lang w:val="sk-SK"/>
        </w:rPr>
        <w:t xml:space="preserve"> k </w:t>
      </w:r>
      <w:r w:rsidRPr="00AB26B3">
        <w:rPr>
          <w:noProof/>
          <w:spacing w:val="-6"/>
          <w:lang w:val="sk-SK"/>
        </w:rPr>
        <w:t>archívom má takisto viesť</w:t>
      </w:r>
      <w:r w:rsidR="00AB26B3" w:rsidRPr="00AB26B3">
        <w:rPr>
          <w:noProof/>
          <w:spacing w:val="-6"/>
          <w:lang w:val="sk-SK"/>
        </w:rPr>
        <w:t xml:space="preserve"> k </w:t>
      </w:r>
      <w:r w:rsidRPr="00AB26B3">
        <w:rPr>
          <w:noProof/>
          <w:spacing w:val="-6"/>
          <w:lang w:val="sk-SK"/>
        </w:rPr>
        <w:t>značným úsporám nákladov</w:t>
      </w:r>
      <w:r w:rsidR="00AB26B3" w:rsidRPr="00AB26B3">
        <w:rPr>
          <w:noProof/>
          <w:spacing w:val="-6"/>
          <w:lang w:val="sk-SK"/>
        </w:rPr>
        <w:t xml:space="preserve"> a </w:t>
      </w:r>
      <w:r w:rsidRPr="00AB26B3">
        <w:rPr>
          <w:noProof/>
          <w:spacing w:val="-6"/>
          <w:lang w:val="sk-SK"/>
        </w:rPr>
        <w:t>uvoľneniu zdrojov.</w:t>
      </w:r>
    </w:p>
    <w:p w14:paraId="44F26DAE"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Kapacitný mechanizmus pre verejnú správu (opatrenie ID 16810)</w:t>
      </w:r>
    </w:p>
    <w:p w14:paraId="12CA964C" w14:textId="76E3C4DE"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navrhnúť, zriadiť</w:t>
      </w:r>
      <w:r w:rsidR="00AB26B3" w:rsidRPr="00AB26B3">
        <w:rPr>
          <w:noProof/>
          <w:spacing w:val="-6"/>
          <w:lang w:val="sk-SK"/>
        </w:rPr>
        <w:t xml:space="preserve"> a </w:t>
      </w:r>
      <w:r w:rsidRPr="00AB26B3">
        <w:rPr>
          <w:noProof/>
          <w:spacing w:val="-6"/>
          <w:lang w:val="sk-SK"/>
        </w:rPr>
        <w:t>spustiť integrovaný systém riadenia celého životného cyklu vzťahov verejnej správy</w:t>
      </w:r>
      <w:r w:rsidR="00AB26B3" w:rsidRPr="00AB26B3">
        <w:rPr>
          <w:noProof/>
          <w:spacing w:val="-6"/>
          <w:lang w:val="sk-SK"/>
        </w:rPr>
        <w:t xml:space="preserve"> s </w:t>
      </w:r>
      <w:r w:rsidRPr="00AB26B3">
        <w:rPr>
          <w:noProof/>
          <w:spacing w:val="-6"/>
          <w:lang w:val="sk-SK"/>
        </w:rPr>
        <w:t>občanmi</w:t>
      </w:r>
      <w:r w:rsidR="00AB26B3" w:rsidRPr="00AB26B3">
        <w:rPr>
          <w:noProof/>
          <w:spacing w:val="-6"/>
          <w:lang w:val="sk-SK"/>
        </w:rPr>
        <w:t xml:space="preserve"> a </w:t>
      </w:r>
      <w:r w:rsidRPr="00AB26B3">
        <w:rPr>
          <w:noProof/>
          <w:spacing w:val="-6"/>
          <w:lang w:val="sk-SK"/>
        </w:rPr>
        <w:t>podnikmi. Investícia pozostáva a) zo systému riadenia vzťahov so zákazníkmi pre verejnú správu, ktorý umožňuje riadenie interakcií verejnej správy</w:t>
      </w:r>
      <w:r w:rsidR="00AB26B3" w:rsidRPr="00AB26B3">
        <w:rPr>
          <w:noProof/>
          <w:spacing w:val="-6"/>
          <w:lang w:val="sk-SK"/>
        </w:rPr>
        <w:t xml:space="preserve"> s </w:t>
      </w:r>
      <w:r w:rsidRPr="00AB26B3">
        <w:rPr>
          <w:noProof/>
          <w:spacing w:val="-6"/>
          <w:lang w:val="sk-SK"/>
        </w:rPr>
        <w:t>občanmi</w:t>
      </w:r>
      <w:r w:rsidR="00AB26B3" w:rsidRPr="00AB26B3">
        <w:rPr>
          <w:noProof/>
          <w:spacing w:val="-6"/>
          <w:lang w:val="sk-SK"/>
        </w:rPr>
        <w:t xml:space="preserve"> a </w:t>
      </w:r>
      <w:r w:rsidRPr="00AB26B3">
        <w:rPr>
          <w:noProof/>
          <w:spacing w:val="-6"/>
          <w:lang w:val="sk-SK"/>
        </w:rPr>
        <w:t>podnikmi,</w:t>
      </w:r>
      <w:r w:rsidR="00AB26B3" w:rsidRPr="00AB26B3">
        <w:rPr>
          <w:noProof/>
          <w:spacing w:val="-6"/>
          <w:lang w:val="sk-SK"/>
        </w:rPr>
        <w:t xml:space="preserve"> a </w:t>
      </w:r>
      <w:r w:rsidRPr="00AB26B3">
        <w:rPr>
          <w:noProof/>
          <w:spacing w:val="-6"/>
          <w:lang w:val="sk-SK"/>
        </w:rPr>
        <w:t>b)</w:t>
      </w:r>
      <w:r w:rsidR="00AB26B3" w:rsidRPr="00AB26B3">
        <w:rPr>
          <w:noProof/>
          <w:spacing w:val="-6"/>
          <w:lang w:val="sk-SK"/>
        </w:rPr>
        <w:t xml:space="preserve"> z </w:t>
      </w:r>
      <w:r w:rsidRPr="00AB26B3">
        <w:rPr>
          <w:noProof/>
          <w:spacing w:val="-6"/>
          <w:lang w:val="sk-SK"/>
        </w:rPr>
        <w:t>dostupnosti integrovaného systému elektronickej komunikácie medzi systémami</w:t>
      </w:r>
      <w:r w:rsidR="00AB26B3" w:rsidRPr="00AB26B3">
        <w:rPr>
          <w:noProof/>
          <w:spacing w:val="-6"/>
          <w:lang w:val="sk-SK"/>
        </w:rPr>
        <w:t xml:space="preserve"> a </w:t>
      </w:r>
      <w:r w:rsidRPr="00AB26B3">
        <w:rPr>
          <w:noProof/>
          <w:spacing w:val="-6"/>
          <w:lang w:val="sk-SK"/>
        </w:rPr>
        <w:t>službami verejného sektora</w:t>
      </w:r>
      <w:r w:rsidR="00AB26B3" w:rsidRPr="00AB26B3">
        <w:rPr>
          <w:noProof/>
          <w:spacing w:val="-6"/>
          <w:lang w:val="sk-SK"/>
        </w:rPr>
        <w:t xml:space="preserve"> a </w:t>
      </w:r>
      <w:r w:rsidRPr="00AB26B3">
        <w:rPr>
          <w:noProof/>
          <w:spacing w:val="-6"/>
          <w:lang w:val="sk-SK"/>
        </w:rPr>
        <w:t>gréckymi občanmi (Gov. gr – doručovateľ)</w:t>
      </w:r>
      <w:r w:rsidR="00AB26B3" w:rsidRPr="00AB26B3">
        <w:rPr>
          <w:noProof/>
          <w:spacing w:val="-6"/>
          <w:lang w:val="sk-SK"/>
        </w:rPr>
        <w:t>.</w:t>
      </w:r>
    </w:p>
    <w:p w14:paraId="2E56FC3A" w14:textId="7221B932"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Modernizácia jednotných kontaktných miest verejnej správy (opatrenie ID 16780)</w:t>
      </w:r>
    </w:p>
    <w:p w14:paraId="5A16F664" w14:textId="036D3E27" w:rsidR="00302FC1" w:rsidRPr="00AB26B3" w:rsidRDefault="00D64F26">
      <w:pPr>
        <w:pStyle w:val="NormalWeb"/>
        <w:spacing w:before="120" w:after="120" w:line="240" w:lineRule="auto"/>
        <w:jc w:val="both"/>
        <w:rPr>
          <w:noProof/>
          <w:spacing w:val="-6"/>
          <w:lang w:val="sk-SK"/>
        </w:rPr>
      </w:pPr>
      <w:r w:rsidRPr="00AB26B3">
        <w:rPr>
          <w:noProof/>
          <w:spacing w:val="-6"/>
          <w:lang w:val="sk-SK"/>
        </w:rPr>
        <w:t>Cieľom opatrenia je modernizácia centier služieb občanom (KEP). Investícia pozostáva</w:t>
      </w:r>
      <w:r w:rsidR="00AB26B3" w:rsidRPr="00AB26B3">
        <w:rPr>
          <w:noProof/>
          <w:spacing w:val="-6"/>
          <w:lang w:val="sk-SK"/>
        </w:rPr>
        <w:t xml:space="preserve"> z </w:t>
      </w:r>
      <w:r w:rsidRPr="00AB26B3">
        <w:rPr>
          <w:noProof/>
          <w:spacing w:val="-6"/>
          <w:lang w:val="sk-SK"/>
        </w:rPr>
        <w:t>nákupu nového digitálneho vybavenia</w:t>
      </w:r>
      <w:r w:rsidR="00AB26B3" w:rsidRPr="00AB26B3">
        <w:rPr>
          <w:noProof/>
          <w:spacing w:val="-6"/>
          <w:lang w:val="sk-SK"/>
        </w:rPr>
        <w:t xml:space="preserve"> a </w:t>
      </w:r>
      <w:r w:rsidRPr="00AB26B3">
        <w:rPr>
          <w:noProof/>
          <w:spacing w:val="-6"/>
          <w:lang w:val="sk-SK"/>
        </w:rPr>
        <w:t>nástrojov</w:t>
      </w:r>
      <w:r w:rsidR="00AB26B3" w:rsidRPr="00AB26B3">
        <w:rPr>
          <w:noProof/>
          <w:spacing w:val="-6"/>
          <w:lang w:val="sk-SK"/>
        </w:rPr>
        <w:t xml:space="preserve"> a </w:t>
      </w:r>
      <w:r w:rsidRPr="00AB26B3">
        <w:rPr>
          <w:noProof/>
          <w:spacing w:val="-6"/>
          <w:lang w:val="sk-SK"/>
        </w:rPr>
        <w:t>obnovy budov jednotných kontaktných miest verejnej správy.</w:t>
      </w:r>
    </w:p>
    <w:p w14:paraId="3DF73272"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Nový systém verejného obstarávania (opatrenie ID 16736)</w:t>
      </w:r>
    </w:p>
    <w:p w14:paraId="4F570A44" w14:textId="732E1D66" w:rsidR="00302FC1" w:rsidRPr="00AB26B3" w:rsidRDefault="00D64F26">
      <w:pPr>
        <w:pStyle w:val="P68B1DB1-Normal8"/>
        <w:spacing w:before="120" w:after="120" w:line="240" w:lineRule="auto"/>
        <w:jc w:val="both"/>
        <w:rPr>
          <w:rFonts w:ascii="Times New Roman" w:hAnsi="Times New Roman" w:cs="Times New Roman"/>
          <w:noProof/>
          <w:spacing w:val="-6"/>
          <w:lang w:val="sk-SK"/>
        </w:rPr>
      </w:pPr>
      <w:r w:rsidRPr="00AB26B3">
        <w:rPr>
          <w:rFonts w:ascii="Times New Roman" w:eastAsia="Times New Roman" w:hAnsi="Times New Roman" w:cs="Times New Roman"/>
          <w:noProof/>
          <w:color w:val="000000" w:themeColor="text1"/>
          <w:spacing w:val="-6"/>
          <w:lang w:val="sk-SK"/>
        </w:rPr>
        <w:t>Investícia sa týka prepracovania</w:t>
      </w:r>
      <w:r w:rsidR="00AB26B3" w:rsidRPr="00AB26B3">
        <w:rPr>
          <w:rFonts w:ascii="Times New Roman" w:eastAsia="Times New Roman" w:hAnsi="Times New Roman" w:cs="Times New Roman"/>
          <w:noProof/>
          <w:color w:val="000000" w:themeColor="text1"/>
          <w:spacing w:val="-6"/>
          <w:lang w:val="sk-SK"/>
        </w:rPr>
        <w:t xml:space="preserve"> a </w:t>
      </w:r>
      <w:r w:rsidRPr="00AB26B3">
        <w:rPr>
          <w:rFonts w:ascii="Times New Roman" w:eastAsia="Times New Roman" w:hAnsi="Times New Roman" w:cs="Times New Roman"/>
          <w:noProof/>
          <w:color w:val="000000" w:themeColor="text1"/>
          <w:spacing w:val="-6"/>
          <w:lang w:val="sk-SK"/>
        </w:rPr>
        <w:t xml:space="preserve">zavedenia nového informačného systému pre verejné obstarávanie. </w:t>
      </w:r>
      <w:r w:rsidRPr="00AB26B3">
        <w:rPr>
          <w:rFonts w:ascii="Times New Roman" w:hAnsi="Times New Roman"/>
          <w:noProof/>
          <w:spacing w:val="-6"/>
          <w:lang w:val="sk-SK"/>
        </w:rPr>
        <w:t>Investícia zahŕňa: a) prepracovanie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obohatenie portálu www.eprocurement.gov.gr; b) rozsiahle doplnenia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prispôsobenia podsystémov používaných pri verejných súťažiach; C) reforma, reorganizácia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obohatenie centrálneho elektronického registra verejného obstarávania (KIMDIS), modernizácia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rozšírenie systémov extrakcie štatistických údajov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ich ďalšie štatistické spracovanie; d) konfigurácia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zavedenie rozšírenia elektronického systému verejného obstarávania (ESIDIS) na podporu nových stratégií</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obchodných procesov</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oblasti verejného obstarávania elektronickými prostriedkami; e) zlepšenie už zavedených služieb interoperability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zavedenie nových služieb na výmenu údajov; F) služby elektronickej interoperability</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gov.gr, príslušnými orgánmi, bankovými organizáciami na integráciu možností digitálneho podpisu elektronických dokumentov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iných údajov</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použitím systému</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zabezpečenie „nespochybniteľnosti“; g) vytvorenie mechanizmu šifrovania údajov uloženého</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systémových databázach</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cieľom zabrániť zlomyseľnému konaniu správcov ESIDIS</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G-Cloud; h) novú bezpečnostnú štúdiu</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dodatky a/alebo zmeny systému</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cieľom zvýšiť jeho bezpečnosť, certifikáciu</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zásahy na zvýšenie bezpečnosti systému, aby mohol byť certifikovaný nezávislým posúdením bezpečnosti; I) zlepšenie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opätovné spustenie systému plánovania verejného obstarávania</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záujme širšej podpory verejného obstarávania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centralizovaných postupov verejného obstarávania</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využitím elektronických katalógov; j) pridanie žiadostí</w:t>
      </w:r>
      <w:r w:rsidR="00AB26B3" w:rsidRPr="00AB26B3">
        <w:rPr>
          <w:rFonts w:ascii="Times New Roman" w:hAnsi="Times New Roman"/>
          <w:noProof/>
          <w:spacing w:val="-6"/>
          <w:lang w:val="sk-SK"/>
        </w:rPr>
        <w:t xml:space="preserve"> o </w:t>
      </w:r>
      <w:r w:rsidRPr="00AB26B3">
        <w:rPr>
          <w:rFonts w:ascii="Times New Roman" w:hAnsi="Times New Roman"/>
          <w:noProof/>
          <w:spacing w:val="-6"/>
          <w:lang w:val="sk-SK"/>
        </w:rPr>
        <w:t>podporu hospodárskych subjektov: obohacovanie žiadostí</w:t>
      </w:r>
      <w:r w:rsidR="00AB26B3" w:rsidRPr="00AB26B3">
        <w:rPr>
          <w:rFonts w:ascii="Times New Roman" w:hAnsi="Times New Roman"/>
          <w:noProof/>
          <w:spacing w:val="-6"/>
          <w:lang w:val="sk-SK"/>
        </w:rPr>
        <w:t xml:space="preserve"> o </w:t>
      </w:r>
      <w:r w:rsidRPr="00AB26B3">
        <w:rPr>
          <w:rFonts w:ascii="Times New Roman" w:hAnsi="Times New Roman"/>
          <w:noProof/>
          <w:spacing w:val="-6"/>
          <w:lang w:val="sk-SK"/>
        </w:rPr>
        <w:t>vyhľadávanie ponúk, historické</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štatistické údaje</w:t>
      </w:r>
      <w:r w:rsidR="00AB26B3" w:rsidRPr="00AB26B3">
        <w:rPr>
          <w:rFonts w:ascii="Times New Roman" w:hAnsi="Times New Roman"/>
          <w:noProof/>
          <w:spacing w:val="-6"/>
          <w:lang w:val="sk-SK"/>
        </w:rPr>
        <w:t xml:space="preserve"> o </w:t>
      </w:r>
      <w:r w:rsidRPr="00AB26B3">
        <w:rPr>
          <w:rFonts w:ascii="Times New Roman" w:hAnsi="Times New Roman"/>
          <w:noProof/>
          <w:spacing w:val="-6"/>
          <w:lang w:val="sk-SK"/>
        </w:rPr>
        <w:t>ich zapojení do postupov verejného obstarávania, obohacovanie informačných</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komunikačných subsystémov dodávateľov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verejných obstarávateľov, systém predaja lístkov na kladenie otázok</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nahlasovanie problémov – riešenie problémov alebo nástroj asistenčnej služby; k) pridanie schopností virtuálneho asistenta, aby každý, kto má záujem, mohol klásť otázky</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prirodzenom jazyku; L) pridanie elektronického systému archivácie súborov (ESIDIS – KIMDIS), ktorý je</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súlade</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ustanoveniami právneho rámca pre elektronické súbory; m) vypracovanie školiacich materiálov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propagačných akcií; N) služby technickej podpory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monitorovania projektov;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 štúdiu,</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ktorej sa hodnotia možnosti</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účinnosť existujúcich nástrojov elektronického obstarávania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výber alebo modernizácia alebo ich nahradenie novými</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efektívnejšími nástrojmi.</w:t>
      </w:r>
    </w:p>
    <w:p w14:paraId="5931BE26"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ministerstva zahraničných vecí (opatrenie ID 16742)</w:t>
      </w:r>
    </w:p>
    <w:p w14:paraId="6458A3C6" w14:textId="43ABCCEA" w:rsidR="00302FC1" w:rsidRPr="00AB26B3" w:rsidRDefault="00D64F26">
      <w:pPr>
        <w:pStyle w:val="NormalWeb"/>
        <w:spacing w:after="0" w:line="240" w:lineRule="auto"/>
        <w:jc w:val="both"/>
        <w:rPr>
          <w:noProof/>
          <w:spacing w:val="-6"/>
          <w:lang w:val="sk-SK"/>
        </w:rPr>
      </w:pPr>
      <w:r w:rsidRPr="00AB26B3">
        <w:rPr>
          <w:noProof/>
          <w:spacing w:val="-6"/>
          <w:lang w:val="sk-SK"/>
        </w:rPr>
        <w:t>Cieľom tohto opatrenia je modernizovať ministerstvo zahraničných vecí. Investícia pozostáva</w:t>
      </w:r>
      <w:r w:rsidR="00AB26B3" w:rsidRPr="00AB26B3">
        <w:rPr>
          <w:noProof/>
          <w:spacing w:val="-6"/>
          <w:lang w:val="sk-SK"/>
        </w:rPr>
        <w:t xml:space="preserve"> z </w:t>
      </w:r>
      <w:r w:rsidRPr="00AB26B3">
        <w:rPr>
          <w:noProof/>
          <w:spacing w:val="-6"/>
          <w:lang w:val="sk-SK"/>
        </w:rPr>
        <w:t>digitalizácie operácií</w:t>
      </w:r>
      <w:r w:rsidR="00AB26B3" w:rsidRPr="00AB26B3">
        <w:rPr>
          <w:noProof/>
          <w:spacing w:val="-6"/>
          <w:lang w:val="sk-SK"/>
        </w:rPr>
        <w:t xml:space="preserve"> a </w:t>
      </w:r>
      <w:r w:rsidRPr="00AB26B3">
        <w:rPr>
          <w:noProof/>
          <w:spacing w:val="-6"/>
          <w:lang w:val="sk-SK"/>
        </w:rPr>
        <w:t>IT infraštruktúry.</w:t>
      </w:r>
    </w:p>
    <w:p w14:paraId="378FD951"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Programy na zlepšenie digitálnych zručností brancov (opatrenie ID 16826)</w:t>
      </w:r>
    </w:p>
    <w:p w14:paraId="43D429F9" w14:textId="79F03617" w:rsidR="00AB26B3" w:rsidRPr="00AB26B3" w:rsidRDefault="00D64F26">
      <w:pPr>
        <w:pStyle w:val="P68B1DB1-Normal7"/>
        <w:spacing w:before="120" w:after="120" w:line="240" w:lineRule="auto"/>
        <w:jc w:val="both"/>
        <w:rPr>
          <w:noProof/>
          <w:spacing w:val="-6"/>
          <w:lang w:val="sk-SK"/>
        </w:rPr>
      </w:pPr>
      <w:r w:rsidRPr="00AB26B3">
        <w:rPr>
          <w:noProof/>
          <w:spacing w:val="-6"/>
          <w:lang w:val="sk-SK"/>
        </w:rPr>
        <w:t>Investíciou sa do povinnej vojenskej služby začleňuje program odbornej prípravy</w:t>
      </w:r>
      <w:r w:rsidR="00AB26B3" w:rsidRPr="00AB26B3">
        <w:rPr>
          <w:noProof/>
          <w:spacing w:val="-6"/>
          <w:lang w:val="sk-SK"/>
        </w:rPr>
        <w:t xml:space="preserve"> a </w:t>
      </w:r>
      <w:r w:rsidRPr="00AB26B3">
        <w:rPr>
          <w:noProof/>
          <w:spacing w:val="-6"/>
          <w:lang w:val="sk-SK"/>
        </w:rPr>
        <w:t>certifikácia digitálnych zručností. Účelom je využiť čas odvedencov</w:t>
      </w:r>
      <w:r w:rsidR="00AB26B3" w:rsidRPr="00AB26B3">
        <w:rPr>
          <w:noProof/>
          <w:spacing w:val="-6"/>
          <w:lang w:val="sk-SK"/>
        </w:rPr>
        <w:t xml:space="preserve"> v </w:t>
      </w:r>
      <w:r w:rsidRPr="00AB26B3">
        <w:rPr>
          <w:noProof/>
          <w:spacing w:val="-6"/>
          <w:lang w:val="sk-SK"/>
        </w:rPr>
        <w:t>službe na odovzdávanie digitálnych zručností potrebných</w:t>
      </w:r>
      <w:r w:rsidR="00AB26B3" w:rsidRPr="00AB26B3">
        <w:rPr>
          <w:noProof/>
          <w:spacing w:val="-6"/>
          <w:lang w:val="sk-SK"/>
        </w:rPr>
        <w:t xml:space="preserve"> v </w:t>
      </w:r>
      <w:r w:rsidRPr="00AB26B3">
        <w:rPr>
          <w:noProof/>
          <w:spacing w:val="-6"/>
          <w:lang w:val="sk-SK"/>
        </w:rPr>
        <w:t>dnešných ozbrojených silách</w:t>
      </w:r>
      <w:r w:rsidR="00AB26B3" w:rsidRPr="00AB26B3">
        <w:rPr>
          <w:noProof/>
          <w:spacing w:val="-6"/>
          <w:lang w:val="sk-SK"/>
        </w:rPr>
        <w:t xml:space="preserve"> a </w:t>
      </w:r>
      <w:r w:rsidRPr="00AB26B3">
        <w:rPr>
          <w:noProof/>
          <w:spacing w:val="-6"/>
          <w:lang w:val="sk-SK"/>
        </w:rPr>
        <w:t>na dnešnom trhu práce. Táto investícia sa realizuje prostredníctvom modernizácie</w:t>
      </w:r>
      <w:r w:rsidR="00AB26B3" w:rsidRPr="00AB26B3">
        <w:rPr>
          <w:noProof/>
          <w:spacing w:val="-6"/>
          <w:lang w:val="sk-SK"/>
        </w:rPr>
        <w:t xml:space="preserve"> a </w:t>
      </w:r>
      <w:r w:rsidRPr="00AB26B3">
        <w:rPr>
          <w:noProof/>
          <w:spacing w:val="-6"/>
          <w:lang w:val="sk-SK"/>
        </w:rPr>
        <w:t>rozšírenia platformy Digitálnej akadémie občanov</w:t>
      </w:r>
      <w:r w:rsidR="00AB26B3" w:rsidRPr="00AB26B3">
        <w:rPr>
          <w:noProof/>
          <w:spacing w:val="-6"/>
          <w:lang w:val="sk-SK"/>
        </w:rPr>
        <w:t xml:space="preserve"> a </w:t>
      </w:r>
      <w:r w:rsidRPr="00AB26B3">
        <w:rPr>
          <w:noProof/>
          <w:spacing w:val="-6"/>
          <w:lang w:val="sk-SK"/>
        </w:rPr>
        <w:t>zahŕňa: a) personalizovaný prístup brancov na portál odbornej prípravy, ktorý má silné mechanizmy kybernetickej bezpečnosti</w:t>
      </w:r>
      <w:r w:rsidR="00AB26B3" w:rsidRPr="00AB26B3">
        <w:rPr>
          <w:noProof/>
          <w:spacing w:val="-6"/>
          <w:lang w:val="sk-SK"/>
        </w:rPr>
        <w:t xml:space="preserve"> a </w:t>
      </w:r>
      <w:r w:rsidRPr="00AB26B3">
        <w:rPr>
          <w:noProof/>
          <w:spacing w:val="-6"/>
          <w:lang w:val="sk-SK"/>
        </w:rPr>
        <w:t>odrádzanie od kybernetických útokov, spolu</w:t>
      </w:r>
      <w:r w:rsidR="00AB26B3" w:rsidRPr="00AB26B3">
        <w:rPr>
          <w:noProof/>
          <w:spacing w:val="-6"/>
          <w:lang w:val="sk-SK"/>
        </w:rPr>
        <w:t xml:space="preserve"> s </w:t>
      </w:r>
      <w:r w:rsidRPr="00AB26B3">
        <w:rPr>
          <w:noProof/>
          <w:spacing w:val="-6"/>
          <w:lang w:val="sk-SK"/>
        </w:rPr>
        <w:t>posilnenou architektúrou ochrany osobných údajov; konfigurácia elektronického portfólia (e-portfólia) brancov,</w:t>
      </w:r>
      <w:r w:rsidR="00AB26B3" w:rsidRPr="00AB26B3">
        <w:rPr>
          <w:noProof/>
          <w:spacing w:val="-6"/>
          <w:lang w:val="sk-SK"/>
        </w:rPr>
        <w:t xml:space="preserve"> v </w:t>
      </w:r>
      <w:r w:rsidRPr="00AB26B3">
        <w:rPr>
          <w:noProof/>
          <w:spacing w:val="-6"/>
          <w:lang w:val="sk-SK"/>
        </w:rPr>
        <w:t>ktorom sa odráža ich vzdelávací profil, spolu</w:t>
      </w:r>
      <w:r w:rsidR="00AB26B3" w:rsidRPr="00AB26B3">
        <w:rPr>
          <w:noProof/>
          <w:spacing w:val="-6"/>
          <w:lang w:val="sk-SK"/>
        </w:rPr>
        <w:t xml:space="preserve"> s </w:t>
      </w:r>
      <w:r w:rsidRPr="00AB26B3">
        <w:rPr>
          <w:noProof/>
          <w:spacing w:val="-6"/>
          <w:lang w:val="sk-SK"/>
        </w:rPr>
        <w:t>jeho existujúcimi kvalifikáciami; c) vývoj</w:t>
      </w:r>
      <w:r w:rsidR="00AB26B3" w:rsidRPr="00AB26B3">
        <w:rPr>
          <w:noProof/>
          <w:spacing w:val="-6"/>
          <w:lang w:val="sk-SK"/>
        </w:rPr>
        <w:t xml:space="preserve"> a </w:t>
      </w:r>
      <w:r w:rsidRPr="00AB26B3">
        <w:rPr>
          <w:noProof/>
          <w:spacing w:val="-6"/>
          <w:lang w:val="sk-SK"/>
        </w:rPr>
        <w:t>konfigurácia programov odbornej prípravy</w:t>
      </w:r>
      <w:r w:rsidR="00AB26B3" w:rsidRPr="00AB26B3">
        <w:rPr>
          <w:noProof/>
          <w:spacing w:val="-6"/>
          <w:lang w:val="sk-SK"/>
        </w:rPr>
        <w:t xml:space="preserve"> v </w:t>
      </w:r>
      <w:r w:rsidRPr="00AB26B3">
        <w:rPr>
          <w:noProof/>
          <w:spacing w:val="-6"/>
          <w:lang w:val="sk-SK"/>
        </w:rPr>
        <w:t>oblasti digitálnych zručností; d) vývoj</w:t>
      </w:r>
      <w:r w:rsidR="00AB26B3" w:rsidRPr="00AB26B3">
        <w:rPr>
          <w:noProof/>
          <w:spacing w:val="-6"/>
          <w:lang w:val="sk-SK"/>
        </w:rPr>
        <w:t xml:space="preserve"> a </w:t>
      </w:r>
      <w:r w:rsidRPr="00AB26B3">
        <w:rPr>
          <w:noProof/>
          <w:spacing w:val="-6"/>
          <w:lang w:val="sk-SK"/>
        </w:rPr>
        <w:t>používanie nástroja na sebahodnotenie; e) 50000 tabletov, ktoré sa získavajú</w:t>
      </w:r>
      <w:r w:rsidR="00AB26B3" w:rsidRPr="00AB26B3">
        <w:rPr>
          <w:noProof/>
          <w:spacing w:val="-6"/>
          <w:lang w:val="sk-SK"/>
        </w:rPr>
        <w:t xml:space="preserve"> a </w:t>
      </w:r>
      <w:r w:rsidRPr="00AB26B3">
        <w:rPr>
          <w:noProof/>
          <w:spacing w:val="-6"/>
          <w:lang w:val="sk-SK"/>
        </w:rPr>
        <w:t>dodávajú brancom na čas účasti na programoch dištančného vzdelávania; f) certifikácia digitálnych zručností získaných počas procesu odbornej prípravy, ktorá je založená na európskych</w:t>
      </w:r>
      <w:r w:rsidR="00AB26B3" w:rsidRPr="00AB26B3">
        <w:rPr>
          <w:noProof/>
          <w:spacing w:val="-6"/>
          <w:lang w:val="sk-SK"/>
        </w:rPr>
        <w:t xml:space="preserve"> a </w:t>
      </w:r>
      <w:r w:rsidRPr="00AB26B3">
        <w:rPr>
          <w:noProof/>
          <w:spacing w:val="-6"/>
          <w:lang w:val="sk-SK"/>
        </w:rPr>
        <w:t>vnútroštátnych rámcoch digitálnych zručností</w:t>
      </w:r>
      <w:r w:rsidR="00AB26B3" w:rsidRPr="00AB26B3">
        <w:rPr>
          <w:noProof/>
          <w:spacing w:val="-6"/>
          <w:lang w:val="sk-SK"/>
        </w:rPr>
        <w:t>.</w:t>
      </w:r>
    </w:p>
    <w:p w14:paraId="62D3CCE4" w14:textId="00F4A114"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w:t>
      </w:r>
      <w:bookmarkStart w:id="3" w:name="_Hlk213856119"/>
      <w:r w:rsidRPr="00AB26B3">
        <w:rPr>
          <w:noProof/>
          <w:spacing w:val="-6"/>
          <w:lang w:val="sk-SK"/>
        </w:rPr>
        <w:t xml:space="preserve">Digitálna transformácia gréckej národnej organizácie cestovného ruchu </w:t>
      </w:r>
      <w:bookmarkEnd w:id="3"/>
      <w:r w:rsidRPr="00AB26B3">
        <w:rPr>
          <w:noProof/>
          <w:spacing w:val="-6"/>
          <w:lang w:val="sk-SK"/>
        </w:rPr>
        <w:t>(opatrenie ID 16791)</w:t>
      </w:r>
    </w:p>
    <w:p w14:paraId="684180EF" w14:textId="3F9A1A0B" w:rsidR="00AB26B3" w:rsidRPr="00AB26B3" w:rsidRDefault="00D64F26">
      <w:pPr>
        <w:pStyle w:val="P68B1DB1-Normal7"/>
        <w:spacing w:before="120" w:after="120" w:line="240" w:lineRule="auto"/>
        <w:jc w:val="both"/>
        <w:rPr>
          <w:noProof/>
          <w:spacing w:val="-6"/>
          <w:lang w:val="sk-SK"/>
        </w:rPr>
      </w:pPr>
      <w:bookmarkStart w:id="4" w:name="_Hlk213856157"/>
      <w:r w:rsidRPr="00AB26B3">
        <w:rPr>
          <w:noProof/>
          <w:spacing w:val="-6"/>
          <w:lang w:val="sk-SK"/>
        </w:rPr>
        <w:t>Cieľom tejto investície je rozvíjať digitálne kapacity gréckej národnej organizácie cestovného ruchu. Investícia pozostáva</w:t>
      </w:r>
      <w:r w:rsidR="00AB26B3" w:rsidRPr="00AB26B3">
        <w:rPr>
          <w:noProof/>
          <w:spacing w:val="-6"/>
          <w:lang w:val="sk-SK"/>
        </w:rPr>
        <w:t xml:space="preserve"> z </w:t>
      </w:r>
      <w:r w:rsidRPr="00AB26B3">
        <w:rPr>
          <w:noProof/>
          <w:spacing w:val="-6"/>
          <w:lang w:val="sk-SK"/>
        </w:rPr>
        <w:t>vytvorenia digitálnej mapy cestovného ruchu, digitálneho archívu kultúrnych aktív Grécka</w:t>
      </w:r>
      <w:r w:rsidR="00AB26B3" w:rsidRPr="00AB26B3">
        <w:rPr>
          <w:noProof/>
          <w:spacing w:val="-6"/>
          <w:lang w:val="sk-SK"/>
        </w:rPr>
        <w:t xml:space="preserve"> a </w:t>
      </w:r>
      <w:r w:rsidRPr="00AB26B3">
        <w:rPr>
          <w:noProof/>
          <w:spacing w:val="-6"/>
          <w:lang w:val="sk-SK"/>
        </w:rPr>
        <w:t>nového systému informácií pre turistov</w:t>
      </w:r>
      <w:r w:rsidR="00AB26B3" w:rsidRPr="00AB26B3">
        <w:rPr>
          <w:noProof/>
          <w:spacing w:val="-6"/>
          <w:lang w:val="sk-SK"/>
        </w:rPr>
        <w:t>.</w:t>
      </w:r>
    </w:p>
    <w:bookmarkEnd w:id="4"/>
    <w:p w14:paraId="2221361F" w14:textId="69132B42"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Stratégia kybernetickej bezpečnosti</w:t>
      </w:r>
      <w:r w:rsidR="00AB26B3" w:rsidRPr="00AB26B3">
        <w:rPr>
          <w:noProof/>
          <w:spacing w:val="-6"/>
          <w:lang w:val="sk-SK"/>
        </w:rPr>
        <w:t xml:space="preserve"> a </w:t>
      </w:r>
      <w:r w:rsidRPr="00AB26B3">
        <w:rPr>
          <w:noProof/>
          <w:spacing w:val="-6"/>
          <w:lang w:val="sk-SK"/>
        </w:rPr>
        <w:t>národné Cybsersecuirty Operations Centre (opatrenie ID 16823)</w:t>
      </w:r>
    </w:p>
    <w:p w14:paraId="1E778256" w14:textId="11840E58" w:rsidR="00302FC1" w:rsidRPr="00AB26B3" w:rsidRDefault="00D64F26">
      <w:pPr>
        <w:pStyle w:val="P68B1DB1-Normal7"/>
        <w:spacing w:after="0" w:line="240" w:lineRule="auto"/>
        <w:jc w:val="both"/>
        <w:rPr>
          <w:noProof/>
          <w:spacing w:val="-6"/>
          <w:lang w:val="sk-SK"/>
        </w:rPr>
      </w:pPr>
      <w:r w:rsidRPr="00AB26B3">
        <w:rPr>
          <w:noProof/>
          <w:spacing w:val="-6"/>
          <w:lang w:val="sk-SK"/>
        </w:rPr>
        <w:t>Cieľom opatrenia je zlepšiť kybernetickú bezpečnosť systémov verejného sektora. Opatrenie pozostáva</w:t>
      </w:r>
      <w:r w:rsidR="00AB26B3" w:rsidRPr="00AB26B3">
        <w:rPr>
          <w:noProof/>
          <w:spacing w:val="-6"/>
          <w:lang w:val="sk-SK"/>
        </w:rPr>
        <w:t xml:space="preserve"> z </w:t>
      </w:r>
      <w:r w:rsidRPr="00AB26B3">
        <w:rPr>
          <w:noProof/>
          <w:spacing w:val="-6"/>
          <w:lang w:val="sk-SK"/>
        </w:rPr>
        <w:t>realizácie stratégie kybernetickej bezpečnosti</w:t>
      </w:r>
      <w:r w:rsidR="00AB26B3" w:rsidRPr="00AB26B3">
        <w:rPr>
          <w:noProof/>
          <w:spacing w:val="-6"/>
          <w:lang w:val="sk-SK"/>
        </w:rPr>
        <w:t xml:space="preserve"> a </w:t>
      </w:r>
      <w:r w:rsidRPr="00AB26B3">
        <w:rPr>
          <w:noProof/>
          <w:spacing w:val="-6"/>
          <w:lang w:val="sk-SK"/>
        </w:rPr>
        <w:t>národného operačného centra kybernetickej bezpečnosti (SOC).</w:t>
      </w:r>
    </w:p>
    <w:p w14:paraId="69CFD06A" w14:textId="7C369C5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Webové služby</w:t>
      </w:r>
      <w:r w:rsidR="00AB26B3" w:rsidRPr="00AB26B3">
        <w:rPr>
          <w:noProof/>
          <w:spacing w:val="-6"/>
          <w:lang w:val="sk-SK"/>
        </w:rPr>
        <w:t xml:space="preserve"> a </w:t>
      </w:r>
      <w:r w:rsidRPr="00AB26B3">
        <w:rPr>
          <w:noProof/>
          <w:spacing w:val="-6"/>
          <w:lang w:val="sk-SK"/>
        </w:rPr>
        <w:t>centrum interoperability novej generácie (KED) (opatrenie ID 16779)</w:t>
      </w:r>
    </w:p>
    <w:p w14:paraId="647B7508" w14:textId="0E2E8A80"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tohto opatrenia je rozvíjať infraštruktúru interoperability medzi službami verejnej správy</w:t>
      </w:r>
      <w:r w:rsidR="00AB26B3" w:rsidRPr="00AB26B3">
        <w:rPr>
          <w:noProof/>
          <w:spacing w:val="-6"/>
          <w:lang w:val="sk-SK"/>
        </w:rPr>
        <w:t xml:space="preserve"> s </w:t>
      </w:r>
      <w:r w:rsidRPr="00AB26B3">
        <w:rPr>
          <w:noProof/>
          <w:spacing w:val="-6"/>
          <w:lang w:val="sk-SK"/>
        </w:rPr>
        <w:t>cieľom uľahčiť výmenu informácií</w:t>
      </w:r>
      <w:r w:rsidR="00AB26B3" w:rsidRPr="00AB26B3">
        <w:rPr>
          <w:noProof/>
          <w:spacing w:val="-6"/>
          <w:lang w:val="sk-SK"/>
        </w:rPr>
        <w:t xml:space="preserve"> a </w:t>
      </w:r>
      <w:r w:rsidRPr="00AB26B3">
        <w:rPr>
          <w:noProof/>
          <w:spacing w:val="-6"/>
          <w:lang w:val="sk-SK"/>
        </w:rPr>
        <w:t>online služby. Investícia pozostáva</w:t>
      </w:r>
      <w:r w:rsidR="00AB26B3" w:rsidRPr="00AB26B3">
        <w:rPr>
          <w:noProof/>
          <w:spacing w:val="-6"/>
          <w:lang w:val="sk-SK"/>
        </w:rPr>
        <w:t xml:space="preserve"> z </w:t>
      </w:r>
      <w:r w:rsidRPr="00AB26B3">
        <w:rPr>
          <w:noProof/>
          <w:spacing w:val="-6"/>
          <w:lang w:val="sk-SK"/>
        </w:rPr>
        <w:t>a) webových služieb; b) Centrum interoperability novej generácie (KED).</w:t>
      </w:r>
    </w:p>
    <w:p w14:paraId="6F459DC7" w14:textId="499E4F48"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Prepojenie</w:t>
      </w:r>
      <w:r w:rsidR="00AB26B3" w:rsidRPr="00AB26B3">
        <w:rPr>
          <w:noProof/>
          <w:spacing w:val="-6"/>
          <w:lang w:val="sk-SK"/>
        </w:rPr>
        <w:t xml:space="preserve"> a </w:t>
      </w:r>
      <w:r w:rsidRPr="00AB26B3">
        <w:rPr>
          <w:noProof/>
          <w:spacing w:val="-6"/>
          <w:lang w:val="sk-SK"/>
        </w:rPr>
        <w:t>interoperabilita registrov, systémov</w:t>
      </w:r>
      <w:r w:rsidR="00AB26B3" w:rsidRPr="00AB26B3">
        <w:rPr>
          <w:noProof/>
          <w:spacing w:val="-6"/>
          <w:lang w:val="sk-SK"/>
        </w:rPr>
        <w:t xml:space="preserve"> a </w:t>
      </w:r>
      <w:r w:rsidRPr="00AB26B3">
        <w:rPr>
          <w:noProof/>
          <w:spacing w:val="-6"/>
          <w:lang w:val="sk-SK"/>
        </w:rPr>
        <w:t>služieb na výmenu údajov medzi vnútroštátnymi verejnými organizáciami (opatrenie ID 16782)</w:t>
      </w:r>
    </w:p>
    <w:p w14:paraId="5CC2CE62" w14:textId="0052E946"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reformy je uľahčiť poskytovanie digitálnych verejných služieb občanom</w:t>
      </w:r>
      <w:r w:rsidR="00AB26B3" w:rsidRPr="00AB26B3">
        <w:rPr>
          <w:noProof/>
          <w:spacing w:val="-6"/>
          <w:lang w:val="sk-SK"/>
        </w:rPr>
        <w:t xml:space="preserve"> a </w:t>
      </w:r>
      <w:r w:rsidRPr="00AB26B3">
        <w:rPr>
          <w:noProof/>
          <w:spacing w:val="-6"/>
          <w:lang w:val="sk-SK"/>
        </w:rPr>
        <w:t>podnikom. Reforma pozostáva zo zavedenia rámca pre prepojenie</w:t>
      </w:r>
      <w:r w:rsidR="00AB26B3" w:rsidRPr="00AB26B3">
        <w:rPr>
          <w:noProof/>
          <w:spacing w:val="-6"/>
          <w:lang w:val="sk-SK"/>
        </w:rPr>
        <w:t xml:space="preserve"> a </w:t>
      </w:r>
      <w:r w:rsidRPr="00AB26B3">
        <w:rPr>
          <w:noProof/>
          <w:spacing w:val="-6"/>
          <w:lang w:val="sk-SK"/>
        </w:rPr>
        <w:t>interoperabilitu registrov</w:t>
      </w:r>
      <w:r w:rsidR="00AB26B3" w:rsidRPr="00AB26B3">
        <w:rPr>
          <w:noProof/>
          <w:spacing w:val="-6"/>
          <w:lang w:val="sk-SK"/>
        </w:rPr>
        <w:t xml:space="preserve"> a </w:t>
      </w:r>
      <w:r w:rsidRPr="00AB26B3">
        <w:rPr>
          <w:noProof/>
          <w:spacing w:val="-6"/>
          <w:lang w:val="sk-SK"/>
        </w:rPr>
        <w:t>služieb na výmenu údajov medzi verejnými organizáciami.</w:t>
      </w:r>
    </w:p>
    <w:p w14:paraId="38745F71"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Elektronické registre (opatrenie ID 16824)</w:t>
      </w:r>
    </w:p>
    <w:p w14:paraId="60E95F59" w14:textId="4F289C61"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tohto opatrenia je zaviesť interoperabilitu registrov verejnej správy na podporu poskytovania digitálnych verejných služieb. Investícia pozostáva</w:t>
      </w:r>
      <w:r w:rsidR="00AB26B3" w:rsidRPr="00AB26B3">
        <w:rPr>
          <w:noProof/>
          <w:spacing w:val="-6"/>
          <w:lang w:val="sk-SK"/>
        </w:rPr>
        <w:t xml:space="preserve"> z </w:t>
      </w:r>
      <w:r w:rsidRPr="00AB26B3">
        <w:rPr>
          <w:noProof/>
          <w:spacing w:val="-6"/>
          <w:lang w:val="sk-SK"/>
        </w:rPr>
        <w:t>vytvorenia rozhrania spájajúceho existujúce registre ústredných orgánov verejnej správy</w:t>
      </w:r>
      <w:r w:rsidR="00AB26B3" w:rsidRPr="00AB26B3">
        <w:rPr>
          <w:noProof/>
          <w:spacing w:val="-6"/>
          <w:lang w:val="sk-SK"/>
        </w:rPr>
        <w:t>.</w:t>
      </w:r>
    </w:p>
    <w:p w14:paraId="7DF8E998" w14:textId="2329535F"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Začlenenie nových technológií</w:t>
      </w:r>
      <w:r w:rsidR="00AB26B3" w:rsidRPr="00AB26B3">
        <w:rPr>
          <w:noProof/>
          <w:spacing w:val="-6"/>
          <w:lang w:val="sk-SK"/>
        </w:rPr>
        <w:t xml:space="preserve"> a </w:t>
      </w:r>
      <w:r w:rsidRPr="00AB26B3">
        <w:rPr>
          <w:noProof/>
          <w:spacing w:val="-6"/>
          <w:lang w:val="sk-SK"/>
        </w:rPr>
        <w:t>trendov smerom</w:t>
      </w:r>
      <w:r w:rsidR="00AB26B3" w:rsidRPr="00AB26B3">
        <w:rPr>
          <w:noProof/>
          <w:spacing w:val="-6"/>
          <w:lang w:val="sk-SK"/>
        </w:rPr>
        <w:t xml:space="preserve"> k </w:t>
      </w:r>
      <w:r w:rsidRPr="00AB26B3">
        <w:rPr>
          <w:noProof/>
          <w:spacing w:val="-6"/>
          <w:lang w:val="sk-SK"/>
        </w:rPr>
        <w:t>pokročilým službám verejnej správy, zvýšenie efektívnosti</w:t>
      </w:r>
      <w:r w:rsidR="00AB26B3" w:rsidRPr="00AB26B3">
        <w:rPr>
          <w:noProof/>
          <w:spacing w:val="-6"/>
          <w:lang w:val="sk-SK"/>
        </w:rPr>
        <w:t xml:space="preserve"> a </w:t>
      </w:r>
      <w:r w:rsidRPr="00AB26B3">
        <w:rPr>
          <w:noProof/>
          <w:spacing w:val="-6"/>
          <w:lang w:val="sk-SK"/>
        </w:rPr>
        <w:t>účinnosti</w:t>
      </w:r>
      <w:r w:rsidR="00AB26B3" w:rsidRPr="00AB26B3">
        <w:rPr>
          <w:noProof/>
          <w:spacing w:val="-6"/>
          <w:lang w:val="sk-SK"/>
        </w:rPr>
        <w:t xml:space="preserve"> a </w:t>
      </w:r>
      <w:r w:rsidRPr="00AB26B3">
        <w:rPr>
          <w:noProof/>
          <w:spacing w:val="-6"/>
          <w:lang w:val="sk-SK"/>
        </w:rPr>
        <w:t>zníženie nákladov na prevádzku, modernizáciu</w:t>
      </w:r>
      <w:r w:rsidR="00AB26B3" w:rsidRPr="00AB26B3">
        <w:rPr>
          <w:noProof/>
          <w:spacing w:val="-6"/>
          <w:lang w:val="sk-SK"/>
        </w:rPr>
        <w:t xml:space="preserve"> a </w:t>
      </w:r>
      <w:r w:rsidRPr="00AB26B3">
        <w:rPr>
          <w:noProof/>
          <w:spacing w:val="-6"/>
          <w:lang w:val="sk-SK"/>
        </w:rPr>
        <w:t>údržbu systémov (opatrenie ID 16928)</w:t>
      </w:r>
    </w:p>
    <w:p w14:paraId="19B3B50E" w14:textId="77777777"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reformy je modernizovať služby verejnej správy prostredníctvom technologického pokroku. Reforma pozostáva zo zavedenia rámca pre prijímanie nových technológií vo verejnej správe</w:t>
      </w:r>
      <w:r w:rsidR="00AB26B3" w:rsidRPr="00AB26B3">
        <w:rPr>
          <w:noProof/>
          <w:spacing w:val="-6"/>
          <w:lang w:val="sk-SK"/>
        </w:rPr>
        <w:t>.</w:t>
      </w:r>
    </w:p>
    <w:p w14:paraId="485CB0F4" w14:textId="73FBB09F"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Inteligentné mestá (opatrenie ID 16854)</w:t>
      </w:r>
    </w:p>
    <w:p w14:paraId="26FD4C9F" w14:textId="34F04BC8"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postupne transformovať 11 gréckych obcí na „inteligentné mestá“. Opatrenie spočíva</w:t>
      </w:r>
      <w:r w:rsidR="00AB26B3" w:rsidRPr="00AB26B3">
        <w:rPr>
          <w:noProof/>
          <w:spacing w:val="-6"/>
          <w:lang w:val="sk-SK"/>
        </w:rPr>
        <w:t xml:space="preserve"> v </w:t>
      </w:r>
      <w:r w:rsidRPr="00AB26B3">
        <w:rPr>
          <w:noProof/>
          <w:spacing w:val="-6"/>
          <w:lang w:val="sk-SK"/>
        </w:rPr>
        <w:t>realizácii digitálnych projektov 11 obcami.</w:t>
      </w:r>
    </w:p>
    <w:p w14:paraId="5E712A47" w14:textId="7EF230C9"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Poskytovanie infraštruktúry</w:t>
      </w:r>
      <w:r w:rsidR="00AB26B3" w:rsidRPr="00AB26B3">
        <w:rPr>
          <w:noProof/>
          <w:spacing w:val="-6"/>
          <w:lang w:val="sk-SK"/>
        </w:rPr>
        <w:t xml:space="preserve"> a </w:t>
      </w:r>
      <w:r w:rsidRPr="00AB26B3">
        <w:rPr>
          <w:noProof/>
          <w:spacing w:val="-6"/>
          <w:lang w:val="sk-SK"/>
        </w:rPr>
        <w:t>služieb centrálneho cloud computingu (opatrenie ID 16853)</w:t>
      </w:r>
    </w:p>
    <w:p w14:paraId="366FE0AD" w14:textId="20D43EA8"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zlepšiť fungovanie kľúčových inštitúcií ministerstva digitálnej správy vecí verejných, konkrétne GSISPA</w:t>
      </w:r>
      <w:r w:rsidR="00AB26B3" w:rsidRPr="00AB26B3">
        <w:rPr>
          <w:noProof/>
          <w:spacing w:val="-6"/>
          <w:lang w:val="sk-SK"/>
        </w:rPr>
        <w:t xml:space="preserve"> a </w:t>
      </w:r>
      <w:r w:rsidRPr="00AB26B3">
        <w:rPr>
          <w:noProof/>
          <w:spacing w:val="-6"/>
          <w:lang w:val="sk-SK"/>
        </w:rPr>
        <w:t>IDIKA SA, prostredníctvom zavádzania infraštruktúry</w:t>
      </w:r>
      <w:r w:rsidR="00AB26B3" w:rsidRPr="00AB26B3">
        <w:rPr>
          <w:noProof/>
          <w:spacing w:val="-6"/>
          <w:lang w:val="sk-SK"/>
        </w:rPr>
        <w:t xml:space="preserve"> a </w:t>
      </w:r>
      <w:r w:rsidRPr="00AB26B3">
        <w:rPr>
          <w:noProof/>
          <w:spacing w:val="-6"/>
          <w:lang w:val="sk-SK"/>
        </w:rPr>
        <w:t xml:space="preserve">služieb cloud computingu (v súlade so zákonom </w:t>
      </w:r>
      <w:r w:rsidR="00AB26B3" w:rsidRPr="00AB26B3">
        <w:rPr>
          <w:noProof/>
          <w:spacing w:val="-6"/>
          <w:lang w:val="sk-SK"/>
        </w:rPr>
        <w:t>č. </w:t>
      </w:r>
      <w:r w:rsidRPr="00AB26B3">
        <w:rPr>
          <w:noProof/>
          <w:spacing w:val="-6"/>
          <w:lang w:val="sk-SK"/>
        </w:rPr>
        <w:t>4727/2020)</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najlepšími medzinárodnými postupmi pri zavádzaní vládnej cloudovej infraštruktúry</w:t>
      </w:r>
      <w:r w:rsidR="00AB26B3" w:rsidRPr="00AB26B3">
        <w:rPr>
          <w:noProof/>
          <w:spacing w:val="-6"/>
          <w:lang w:val="sk-SK"/>
        </w:rPr>
        <w:t xml:space="preserve"> a </w:t>
      </w:r>
      <w:r w:rsidRPr="00AB26B3">
        <w:rPr>
          <w:noProof/>
          <w:spacing w:val="-6"/>
          <w:lang w:val="sk-SK"/>
        </w:rPr>
        <w:t>služieb (G-Cloud). Projekt zabezpečí modernú hybridnú cloudovú infraštruktúru pozostávajúcu</w:t>
      </w:r>
      <w:r w:rsidR="00AB26B3" w:rsidRPr="00AB26B3">
        <w:rPr>
          <w:noProof/>
          <w:spacing w:val="-6"/>
          <w:lang w:val="sk-SK"/>
        </w:rPr>
        <w:t xml:space="preserve"> z </w:t>
      </w:r>
      <w:r w:rsidRPr="00AB26B3">
        <w:rPr>
          <w:noProof/>
          <w:spacing w:val="-6"/>
          <w:lang w:val="sk-SK"/>
        </w:rPr>
        <w:t>dvoch nájomníkov: Jeden pre cloud</w:t>
      </w:r>
      <w:r w:rsidR="00AB26B3" w:rsidRPr="00AB26B3">
        <w:rPr>
          <w:noProof/>
          <w:spacing w:val="-6"/>
          <w:lang w:val="sk-SK"/>
        </w:rPr>
        <w:t xml:space="preserve"> a </w:t>
      </w:r>
      <w:r w:rsidRPr="00AB26B3">
        <w:rPr>
          <w:noProof/>
          <w:spacing w:val="-6"/>
          <w:lang w:val="sk-SK"/>
        </w:rPr>
        <w:t>druhý pre cloud H. Každý nájomca musí mať súkromnú cloudovú zložku</w:t>
      </w:r>
      <w:r w:rsidR="00AB26B3" w:rsidRPr="00AB26B3">
        <w:rPr>
          <w:noProof/>
          <w:spacing w:val="-6"/>
          <w:lang w:val="sk-SK"/>
        </w:rPr>
        <w:t xml:space="preserve"> a </w:t>
      </w:r>
      <w:r w:rsidRPr="00AB26B3">
        <w:rPr>
          <w:noProof/>
          <w:spacing w:val="-6"/>
          <w:lang w:val="sk-SK"/>
        </w:rPr>
        <w:t>verejnú cloudovú zložku</w:t>
      </w:r>
      <w:r w:rsidR="00AB26B3" w:rsidRPr="00AB26B3">
        <w:rPr>
          <w:noProof/>
          <w:spacing w:val="-6"/>
          <w:lang w:val="sk-SK"/>
        </w:rPr>
        <w:t xml:space="preserve"> v </w:t>
      </w:r>
      <w:r w:rsidRPr="00AB26B3">
        <w:rPr>
          <w:noProof/>
          <w:spacing w:val="-6"/>
          <w:lang w:val="sk-SK"/>
        </w:rPr>
        <w:t>jednotnom prostredí riadenia</w:t>
      </w:r>
      <w:r w:rsidR="00AB26B3" w:rsidRPr="00AB26B3">
        <w:rPr>
          <w:noProof/>
          <w:spacing w:val="-6"/>
          <w:lang w:val="sk-SK"/>
        </w:rPr>
        <w:t xml:space="preserve"> a </w:t>
      </w:r>
      <w:r w:rsidRPr="00AB26B3">
        <w:rPr>
          <w:noProof/>
          <w:spacing w:val="-6"/>
          <w:lang w:val="sk-SK"/>
        </w:rPr>
        <w:t>poskytovania služieb. Implementácia investície sa dokončí do 30</w:t>
      </w:r>
      <w:r w:rsidR="00AB26B3" w:rsidRPr="00AB26B3">
        <w:rPr>
          <w:noProof/>
          <w:spacing w:val="-6"/>
          <w:lang w:val="sk-SK"/>
        </w:rPr>
        <w:t>. júna</w:t>
      </w:r>
      <w:r w:rsidRPr="00AB26B3">
        <w:rPr>
          <w:noProof/>
          <w:spacing w:val="-6"/>
          <w:lang w:val="sk-SK"/>
        </w:rPr>
        <w:t xml:space="preserve"> 2024.</w:t>
      </w:r>
    </w:p>
    <w:p w14:paraId="0B337492" w14:textId="77777777" w:rsidR="00AB26B3" w:rsidRPr="00AB26B3" w:rsidRDefault="00D64F26">
      <w:pPr>
        <w:pStyle w:val="P68B1DB1-Normal7"/>
        <w:spacing w:before="120" w:after="120" w:line="240" w:lineRule="auto"/>
        <w:jc w:val="both"/>
        <w:rPr>
          <w:noProof/>
          <w:spacing w:val="-6"/>
          <w:lang w:val="sk-SK"/>
        </w:rPr>
      </w:pPr>
      <w:r w:rsidRPr="00AB26B3">
        <w:rPr>
          <w:noProof/>
          <w:spacing w:val="-6"/>
          <w:lang w:val="sk-SK"/>
        </w:rPr>
        <w:t>Dátové centrá poskytovateľa cloudových služieb sú povinné dodržiavať „Európsky kódex správania pre energetickú efektívnosť dátového centra“</w:t>
      </w:r>
      <w:r w:rsidR="00AB26B3" w:rsidRPr="00AB26B3">
        <w:rPr>
          <w:noProof/>
          <w:spacing w:val="-6"/>
          <w:lang w:val="sk-SK"/>
        </w:rPr>
        <w:t>.</w:t>
      </w:r>
    </w:p>
    <w:p w14:paraId="2F3706DA" w14:textId="61DDD465"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Táto požiadavka je</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nariadením Európskeho parlamentu</w:t>
      </w:r>
      <w:r w:rsidR="00AB26B3" w:rsidRPr="00AB26B3">
        <w:rPr>
          <w:noProof/>
          <w:spacing w:val="-6"/>
          <w:lang w:val="sk-SK"/>
        </w:rPr>
        <w:t xml:space="preserve"> a </w:t>
      </w:r>
      <w:r w:rsidRPr="00AB26B3">
        <w:rPr>
          <w:noProof/>
          <w:spacing w:val="-6"/>
          <w:lang w:val="sk-SK"/>
        </w:rPr>
        <w:t>Rady (EÚ) 2018/1999</w:t>
      </w:r>
      <w:r w:rsidR="00AB26B3" w:rsidRPr="00AB26B3">
        <w:rPr>
          <w:noProof/>
          <w:spacing w:val="-6"/>
          <w:lang w:val="sk-SK"/>
        </w:rPr>
        <w:t xml:space="preserve"> z </w:t>
      </w:r>
      <w:r w:rsidRPr="00AB26B3">
        <w:rPr>
          <w:noProof/>
          <w:spacing w:val="-6"/>
          <w:lang w:val="sk-SK"/>
        </w:rPr>
        <w:t>11</w:t>
      </w:r>
      <w:r w:rsidR="00AB26B3" w:rsidRPr="00AB26B3">
        <w:rPr>
          <w:noProof/>
          <w:spacing w:val="-6"/>
          <w:lang w:val="sk-SK"/>
        </w:rPr>
        <w:t>. decembra</w:t>
      </w:r>
      <w:r w:rsidRPr="00AB26B3">
        <w:rPr>
          <w:noProof/>
          <w:spacing w:val="-6"/>
          <w:lang w:val="sk-SK"/>
        </w:rPr>
        <w:t xml:space="preserve"> 2018</w:t>
      </w:r>
      <w:r w:rsidR="00AB26B3" w:rsidRPr="00AB26B3">
        <w:rPr>
          <w:noProof/>
          <w:spacing w:val="-6"/>
          <w:lang w:val="sk-SK"/>
        </w:rPr>
        <w:t xml:space="preserve"> o </w:t>
      </w:r>
      <w:r w:rsidRPr="00AB26B3">
        <w:rPr>
          <w:noProof/>
          <w:spacing w:val="-6"/>
          <w:lang w:val="sk-SK"/>
        </w:rPr>
        <w:t>riadení energetickej únie</w:t>
      </w:r>
      <w:r w:rsidR="00AB26B3" w:rsidRPr="00AB26B3">
        <w:rPr>
          <w:noProof/>
          <w:spacing w:val="-6"/>
          <w:lang w:val="sk-SK"/>
        </w:rPr>
        <w:t xml:space="preserve"> a </w:t>
      </w:r>
      <w:r w:rsidRPr="00AB26B3">
        <w:rPr>
          <w:noProof/>
          <w:spacing w:val="-6"/>
          <w:lang w:val="sk-SK"/>
        </w:rPr>
        <w:t>opatrení</w:t>
      </w:r>
      <w:r w:rsidR="00AB26B3" w:rsidRPr="00AB26B3">
        <w:rPr>
          <w:noProof/>
          <w:spacing w:val="-6"/>
          <w:lang w:val="sk-SK"/>
        </w:rPr>
        <w:t xml:space="preserve"> v </w:t>
      </w:r>
      <w:r w:rsidRPr="00AB26B3">
        <w:rPr>
          <w:noProof/>
          <w:spacing w:val="-6"/>
          <w:lang w:val="sk-SK"/>
        </w:rPr>
        <w:t>oblasti klímy tým, že podporuje zelenú transformáciu</w:t>
      </w:r>
      <w:r w:rsidR="00AB26B3" w:rsidRPr="00AB26B3">
        <w:rPr>
          <w:noProof/>
          <w:spacing w:val="-6"/>
          <w:lang w:val="sk-SK"/>
        </w:rPr>
        <w:t xml:space="preserve"> a </w:t>
      </w:r>
      <w:r w:rsidRPr="00AB26B3">
        <w:rPr>
          <w:noProof/>
          <w:spacing w:val="-6"/>
          <w:lang w:val="sk-SK"/>
        </w:rPr>
        <w:t>prispieva</w:t>
      </w:r>
      <w:r w:rsidR="00AB26B3" w:rsidRPr="00AB26B3">
        <w:rPr>
          <w:noProof/>
          <w:spacing w:val="-6"/>
          <w:lang w:val="sk-SK"/>
        </w:rPr>
        <w:t xml:space="preserve"> k </w:t>
      </w:r>
      <w:r w:rsidRPr="00AB26B3">
        <w:rPr>
          <w:noProof/>
          <w:spacing w:val="-6"/>
          <w:lang w:val="sk-SK"/>
        </w:rPr>
        <w:t>dosiahnutiu cieľov Únie</w:t>
      </w:r>
      <w:r w:rsidR="00AB26B3" w:rsidRPr="00AB26B3">
        <w:rPr>
          <w:noProof/>
          <w:spacing w:val="-6"/>
          <w:lang w:val="sk-SK"/>
        </w:rPr>
        <w:t xml:space="preserve"> v </w:t>
      </w:r>
      <w:r w:rsidRPr="00AB26B3">
        <w:rPr>
          <w:noProof/>
          <w:spacing w:val="-6"/>
          <w:lang w:val="sk-SK"/>
        </w:rPr>
        <w:t>oblasti klímy do roku 2030 stanovených</w:t>
      </w:r>
      <w:r w:rsidR="00AB26B3" w:rsidRPr="00AB26B3">
        <w:rPr>
          <w:noProof/>
          <w:spacing w:val="-6"/>
          <w:lang w:val="sk-SK"/>
        </w:rPr>
        <w:t xml:space="preserve"> v </w:t>
      </w:r>
      <w:r w:rsidRPr="00AB26B3">
        <w:rPr>
          <w:noProof/>
          <w:spacing w:val="-6"/>
          <w:lang w:val="sk-SK"/>
        </w:rPr>
        <w:t>článku 2 ods. 11 zmenenom článkom 10 právneho predpisu EÚ</w:t>
      </w:r>
      <w:r w:rsidR="00AB26B3" w:rsidRPr="00AB26B3">
        <w:rPr>
          <w:noProof/>
          <w:spacing w:val="-6"/>
          <w:lang w:val="sk-SK"/>
        </w:rPr>
        <w:t xml:space="preserve"> v </w:t>
      </w:r>
      <w:r w:rsidRPr="00AB26B3">
        <w:rPr>
          <w:noProof/>
          <w:spacing w:val="-6"/>
          <w:lang w:val="sk-SK"/>
        </w:rPr>
        <w:t>oblasti klímy</w:t>
      </w:r>
      <w:r w:rsidR="00AB26B3" w:rsidRPr="00AB26B3">
        <w:rPr>
          <w:noProof/>
          <w:spacing w:val="-6"/>
          <w:lang w:val="sk-SK"/>
        </w:rPr>
        <w:t xml:space="preserve"> a </w:t>
      </w:r>
      <w:r w:rsidRPr="00AB26B3">
        <w:rPr>
          <w:noProof/>
          <w:spacing w:val="-6"/>
          <w:lang w:val="sk-SK"/>
        </w:rPr>
        <w:t>je</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cieľom klimatickej neutrality EÚ do roku 2050</w:t>
      </w:r>
      <w:r w:rsidR="00AB26B3" w:rsidRPr="00AB26B3">
        <w:rPr>
          <w:noProof/>
          <w:spacing w:val="-6"/>
          <w:lang w:val="sk-SK"/>
        </w:rPr>
        <w:t xml:space="preserve"> a </w:t>
      </w:r>
      <w:r w:rsidRPr="00AB26B3">
        <w:rPr>
          <w:noProof/>
          <w:spacing w:val="-6"/>
          <w:lang w:val="sk-SK"/>
        </w:rPr>
        <w:t>digitálnej transformácie, čím prispieva</w:t>
      </w:r>
      <w:r w:rsidR="00AB26B3" w:rsidRPr="00AB26B3">
        <w:rPr>
          <w:noProof/>
          <w:spacing w:val="-6"/>
          <w:lang w:val="sk-SK"/>
        </w:rPr>
        <w:t xml:space="preserve"> k </w:t>
      </w:r>
      <w:r w:rsidRPr="00AB26B3">
        <w:rPr>
          <w:noProof/>
          <w:spacing w:val="-6"/>
          <w:lang w:val="sk-SK"/>
        </w:rPr>
        <w:t>vzostupnej hospodárskej</w:t>
      </w:r>
      <w:r w:rsidR="00AB26B3" w:rsidRPr="00AB26B3">
        <w:rPr>
          <w:noProof/>
          <w:spacing w:val="-6"/>
          <w:lang w:val="sk-SK"/>
        </w:rPr>
        <w:t xml:space="preserve"> a </w:t>
      </w:r>
      <w:r w:rsidRPr="00AB26B3">
        <w:rPr>
          <w:noProof/>
          <w:spacing w:val="-6"/>
          <w:lang w:val="sk-SK"/>
        </w:rPr>
        <w:t>sociálnej konvergencii, obnove</w:t>
      </w:r>
      <w:r w:rsidR="00AB26B3" w:rsidRPr="00AB26B3">
        <w:rPr>
          <w:noProof/>
          <w:spacing w:val="-6"/>
          <w:lang w:val="sk-SK"/>
        </w:rPr>
        <w:t xml:space="preserve"> a </w:t>
      </w:r>
      <w:r w:rsidRPr="00AB26B3">
        <w:rPr>
          <w:noProof/>
          <w:spacing w:val="-6"/>
          <w:lang w:val="sk-SK"/>
        </w:rPr>
        <w:t>podpore udržateľného rastu</w:t>
      </w:r>
      <w:r w:rsidR="00AB26B3" w:rsidRPr="00AB26B3">
        <w:rPr>
          <w:noProof/>
          <w:spacing w:val="-6"/>
          <w:lang w:val="sk-SK"/>
        </w:rPr>
        <w:t xml:space="preserve"> a </w:t>
      </w:r>
      <w:r w:rsidRPr="00AB26B3">
        <w:rPr>
          <w:noProof/>
          <w:spacing w:val="-6"/>
          <w:lang w:val="sk-SK"/>
        </w:rPr>
        <w:t>integrácii hospodárstiev Únie.</w:t>
      </w:r>
    </w:p>
    <w:p w14:paraId="6D0EB355" w14:textId="4526A254"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Modernizácia cloudovej výpočtovej infraštruktúry</w:t>
      </w:r>
      <w:r w:rsidR="00AB26B3" w:rsidRPr="00AB26B3">
        <w:rPr>
          <w:noProof/>
          <w:spacing w:val="-6"/>
          <w:lang w:val="sk-SK"/>
        </w:rPr>
        <w:t xml:space="preserve"> a </w:t>
      </w:r>
      <w:r w:rsidRPr="00AB26B3">
        <w:rPr>
          <w:noProof/>
          <w:spacing w:val="-6"/>
          <w:lang w:val="sk-SK"/>
        </w:rPr>
        <w:t>služieb národných infraštruktúr pre výskum</w:t>
      </w:r>
      <w:r w:rsidR="00AB26B3" w:rsidRPr="00AB26B3">
        <w:rPr>
          <w:noProof/>
          <w:spacing w:val="-6"/>
          <w:lang w:val="sk-SK"/>
        </w:rPr>
        <w:t xml:space="preserve"> a </w:t>
      </w:r>
      <w:r w:rsidRPr="00AB26B3">
        <w:rPr>
          <w:noProof/>
          <w:spacing w:val="-6"/>
          <w:lang w:val="sk-SK"/>
        </w:rPr>
        <w:t>technológie (GRNET) (opatrenie ID 16955)</w:t>
      </w:r>
    </w:p>
    <w:p w14:paraId="6802B16C" w14:textId="5D6DF71E"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modernizovať infraštruktúry</w:t>
      </w:r>
      <w:r w:rsidR="00AB26B3" w:rsidRPr="00AB26B3">
        <w:rPr>
          <w:noProof/>
          <w:spacing w:val="-6"/>
          <w:lang w:val="sk-SK"/>
        </w:rPr>
        <w:t xml:space="preserve"> a </w:t>
      </w:r>
      <w:r w:rsidRPr="00AB26B3">
        <w:rPr>
          <w:noProof/>
          <w:spacing w:val="-6"/>
          <w:lang w:val="sk-SK"/>
        </w:rPr>
        <w:t>služby GRNET. Investícia pozostáva z: a) modernizácia softvéru</w:t>
      </w:r>
      <w:r w:rsidR="00AB26B3" w:rsidRPr="00AB26B3">
        <w:rPr>
          <w:noProof/>
          <w:spacing w:val="-6"/>
          <w:lang w:val="sk-SK"/>
        </w:rPr>
        <w:t xml:space="preserve"> a </w:t>
      </w:r>
      <w:r w:rsidRPr="00AB26B3">
        <w:rPr>
          <w:noProof/>
          <w:spacing w:val="-6"/>
          <w:lang w:val="sk-SK"/>
        </w:rPr>
        <w:t>služieb cloud computingu GRNET; b) superpočítač DAEDALUS (vykonávanie fázy A, ako sa uvádza</w:t>
      </w:r>
      <w:r w:rsidR="00AB26B3" w:rsidRPr="00AB26B3">
        <w:rPr>
          <w:noProof/>
          <w:spacing w:val="-6"/>
          <w:lang w:val="sk-SK"/>
        </w:rPr>
        <w:t xml:space="preserve"> v </w:t>
      </w:r>
      <w:r w:rsidRPr="00AB26B3">
        <w:rPr>
          <w:noProof/>
          <w:spacing w:val="-6"/>
          <w:lang w:val="sk-SK"/>
        </w:rPr>
        <w:t>príslušnej zmluve); c) prenájom infraštruktúry optických vlákien; d) výmena</w:t>
      </w:r>
      <w:r w:rsidR="00AB26B3" w:rsidRPr="00AB26B3">
        <w:rPr>
          <w:noProof/>
          <w:spacing w:val="-6"/>
          <w:lang w:val="sk-SK"/>
        </w:rPr>
        <w:t xml:space="preserve"> a </w:t>
      </w:r>
      <w:r w:rsidRPr="00AB26B3">
        <w:rPr>
          <w:noProof/>
          <w:spacing w:val="-6"/>
          <w:lang w:val="sk-SK"/>
        </w:rPr>
        <w:t>rozširovanie vybavenia dátových centier GRNET.</w:t>
      </w:r>
    </w:p>
    <w:p w14:paraId="4A5D6BA7"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Rozšírenie programu Syzefksis II (opatrenie ID 16956)</w:t>
      </w:r>
    </w:p>
    <w:p w14:paraId="6B4841EB" w14:textId="5AE9C0C8"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poskytnúť orgánom verejnej správy modernizované telekomunikačné služby. Investícia pozostáva</w:t>
      </w:r>
      <w:r w:rsidR="00AB26B3" w:rsidRPr="00AB26B3">
        <w:rPr>
          <w:noProof/>
          <w:spacing w:val="-6"/>
          <w:lang w:val="sk-SK"/>
        </w:rPr>
        <w:t xml:space="preserve"> z </w:t>
      </w:r>
      <w:r w:rsidRPr="00AB26B3">
        <w:rPr>
          <w:noProof/>
          <w:spacing w:val="-6"/>
          <w:lang w:val="sk-SK"/>
        </w:rPr>
        <w:t>rozšírenia národnej siete verejného sektora (SYZEFXIS II) vrátane modernizovanej telekomunikačnej infraštruktúry, zvýšenej rýchlosti prístupu</w:t>
      </w:r>
      <w:r w:rsidR="00AB26B3" w:rsidRPr="00AB26B3">
        <w:rPr>
          <w:noProof/>
          <w:spacing w:val="-6"/>
          <w:lang w:val="sk-SK"/>
        </w:rPr>
        <w:t xml:space="preserve"> k </w:t>
      </w:r>
      <w:r w:rsidRPr="00AB26B3">
        <w:rPr>
          <w:noProof/>
          <w:spacing w:val="-6"/>
          <w:lang w:val="sk-SK"/>
        </w:rPr>
        <w:t>internetu</w:t>
      </w:r>
      <w:r w:rsidR="00AB26B3" w:rsidRPr="00AB26B3">
        <w:rPr>
          <w:noProof/>
          <w:spacing w:val="-6"/>
          <w:lang w:val="sk-SK"/>
        </w:rPr>
        <w:t xml:space="preserve"> a </w:t>
      </w:r>
      <w:r w:rsidRPr="00AB26B3">
        <w:rPr>
          <w:noProof/>
          <w:spacing w:val="-6"/>
          <w:lang w:val="sk-SK"/>
        </w:rPr>
        <w:t>inštalácie neprerušovaného napájacieho zariadenia</w:t>
      </w:r>
      <w:r w:rsidR="00AB26B3" w:rsidRPr="00AB26B3">
        <w:rPr>
          <w:noProof/>
          <w:spacing w:val="-6"/>
          <w:lang w:val="sk-SK"/>
        </w:rPr>
        <w:t>.</w:t>
      </w:r>
    </w:p>
    <w:p w14:paraId="480D494D" w14:textId="0CD95901"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Stratégia</w:t>
      </w:r>
      <w:r w:rsidR="00AB26B3" w:rsidRPr="00AB26B3">
        <w:rPr>
          <w:noProof/>
          <w:spacing w:val="-6"/>
          <w:lang w:val="sk-SK"/>
        </w:rPr>
        <w:t xml:space="preserve"> a </w:t>
      </w:r>
      <w:r w:rsidRPr="00AB26B3">
        <w:rPr>
          <w:noProof/>
          <w:spacing w:val="-6"/>
          <w:lang w:val="sk-SK"/>
        </w:rPr>
        <w:t>politiky správy údajov pre verejný sektor (opatrenie ID 16827)</w:t>
      </w:r>
    </w:p>
    <w:p w14:paraId="40C1FC71" w14:textId="70F45A9C" w:rsidR="00302FC1" w:rsidRPr="00AB26B3" w:rsidRDefault="00D64F26">
      <w:pPr>
        <w:pStyle w:val="P68B1DB1-Normal7"/>
        <w:spacing w:before="120" w:after="120" w:line="240" w:lineRule="auto"/>
        <w:jc w:val="both"/>
        <w:rPr>
          <w:rFonts w:eastAsiaTheme="minorEastAsia" w:cstheme="minorBidi"/>
          <w:noProof/>
          <w:spacing w:val="-6"/>
          <w:lang w:val="sk-SK"/>
        </w:rPr>
      </w:pPr>
      <w:r w:rsidRPr="00AB26B3">
        <w:rPr>
          <w:noProof/>
          <w:spacing w:val="-6"/>
          <w:lang w:val="sk-SK"/>
        </w:rPr>
        <w:t>Cieľom tejto reformy je vytvoriť vládny rámec správy cloudových údajov. Reforma pozostáva</w:t>
      </w:r>
      <w:r w:rsidR="00AB26B3" w:rsidRPr="00AB26B3">
        <w:rPr>
          <w:noProof/>
          <w:spacing w:val="-6"/>
          <w:lang w:val="sk-SK"/>
        </w:rPr>
        <w:t xml:space="preserve"> z </w:t>
      </w:r>
      <w:r w:rsidRPr="00AB26B3">
        <w:rPr>
          <w:noProof/>
          <w:spacing w:val="-6"/>
          <w:lang w:val="sk-SK"/>
        </w:rPr>
        <w:t>a) vládnej stratégie správy cloudových údajov, b) rámca správy verejných údajov</w:t>
      </w:r>
      <w:r w:rsidR="00AB26B3" w:rsidRPr="00AB26B3">
        <w:rPr>
          <w:noProof/>
          <w:spacing w:val="-6"/>
          <w:lang w:val="sk-SK"/>
        </w:rPr>
        <w:t xml:space="preserve"> a </w:t>
      </w:r>
      <w:r w:rsidRPr="00AB26B3">
        <w:rPr>
          <w:noProof/>
          <w:spacing w:val="-6"/>
          <w:lang w:val="sk-SK"/>
        </w:rPr>
        <w:t>c) politiky otvorených</w:t>
      </w:r>
      <w:r w:rsidR="00AB26B3" w:rsidRPr="00AB26B3">
        <w:rPr>
          <w:noProof/>
          <w:spacing w:val="-6"/>
          <w:lang w:val="sk-SK"/>
        </w:rPr>
        <w:t xml:space="preserve"> a </w:t>
      </w:r>
      <w:r w:rsidRPr="00AB26B3">
        <w:rPr>
          <w:noProof/>
          <w:spacing w:val="-6"/>
          <w:lang w:val="sk-SK"/>
        </w:rPr>
        <w:t>opätovne použiteľných údajov.</w:t>
      </w:r>
    </w:p>
    <w:p w14:paraId="6CFE6359"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Centrálna BI – analýza údajov (opatrenie ID 16842)</w:t>
      </w:r>
    </w:p>
    <w:p w14:paraId="33CB7CB5" w14:textId="1908A60D"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zvýšiť kapacitu verejnej správy využívať údaje na rozhodovanie. Investícia pozostáva zo zriadenia centrálnej platformy pre analýzu údajov podnikovej spravodajskej služby, ktorá umožní agentúram verejnej správy integrovať</w:t>
      </w:r>
      <w:r w:rsidR="00AB26B3" w:rsidRPr="00AB26B3">
        <w:rPr>
          <w:noProof/>
          <w:spacing w:val="-6"/>
          <w:lang w:val="sk-SK"/>
        </w:rPr>
        <w:t xml:space="preserve"> a </w:t>
      </w:r>
      <w:r w:rsidRPr="00AB26B3">
        <w:rPr>
          <w:noProof/>
          <w:spacing w:val="-6"/>
          <w:lang w:val="sk-SK"/>
        </w:rPr>
        <w:t>analyzovať údaje na podporu ich operácií</w:t>
      </w:r>
      <w:r w:rsidR="00AB26B3" w:rsidRPr="00AB26B3">
        <w:rPr>
          <w:noProof/>
          <w:spacing w:val="-6"/>
          <w:lang w:val="sk-SK"/>
        </w:rPr>
        <w:t xml:space="preserve"> a </w:t>
      </w:r>
      <w:r w:rsidRPr="00AB26B3">
        <w:rPr>
          <w:noProof/>
          <w:spacing w:val="-6"/>
          <w:lang w:val="sk-SK"/>
        </w:rPr>
        <w:t>rozhodovania</w:t>
      </w:r>
      <w:r w:rsidR="00AB26B3" w:rsidRPr="00AB26B3">
        <w:rPr>
          <w:noProof/>
          <w:spacing w:val="-6"/>
          <w:lang w:val="sk-SK"/>
        </w:rPr>
        <w:t>.</w:t>
      </w:r>
    </w:p>
    <w:p w14:paraId="1B635CDD" w14:textId="4E15C24A"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Centrálny systém správy dokumentov (opatrenie ID 16738)</w:t>
      </w:r>
    </w:p>
    <w:p w14:paraId="4D6032E3" w14:textId="260A970A" w:rsidR="00AB26B3" w:rsidRPr="00AB26B3" w:rsidRDefault="00D64F26">
      <w:pPr>
        <w:pStyle w:val="P68B1DB1-Normal7"/>
        <w:spacing w:before="120" w:after="120" w:line="240" w:lineRule="auto"/>
        <w:jc w:val="both"/>
        <w:rPr>
          <w:noProof/>
          <w:spacing w:val="-6"/>
          <w:lang w:val="sk-SK"/>
        </w:rPr>
      </w:pPr>
      <w:r w:rsidRPr="00AB26B3">
        <w:rPr>
          <w:noProof/>
          <w:spacing w:val="-6"/>
          <w:lang w:val="sk-SK"/>
        </w:rPr>
        <w:t>Investícia pozostáva zo zavedenia centrálneho systému správy dokumentov, ktorý zachytáva, uchováva</w:t>
      </w:r>
      <w:r w:rsidR="00AB26B3" w:rsidRPr="00AB26B3">
        <w:rPr>
          <w:noProof/>
          <w:spacing w:val="-6"/>
          <w:lang w:val="sk-SK"/>
        </w:rPr>
        <w:t xml:space="preserve"> a </w:t>
      </w:r>
      <w:r w:rsidRPr="00AB26B3">
        <w:rPr>
          <w:noProof/>
          <w:spacing w:val="-6"/>
          <w:lang w:val="sk-SK"/>
        </w:rPr>
        <w:t>získava papierové</w:t>
      </w:r>
      <w:r w:rsidR="00AB26B3" w:rsidRPr="00AB26B3">
        <w:rPr>
          <w:noProof/>
          <w:spacing w:val="-6"/>
          <w:lang w:val="sk-SK"/>
        </w:rPr>
        <w:t xml:space="preserve"> a </w:t>
      </w:r>
      <w:r w:rsidRPr="00AB26B3">
        <w:rPr>
          <w:noProof/>
          <w:spacing w:val="-6"/>
          <w:lang w:val="sk-SK"/>
        </w:rPr>
        <w:t>elektronické dokumenty. Tento systém uľahčí interoperabilitu medzi organizáciami verejného sektora</w:t>
      </w:r>
      <w:r w:rsidR="00AB26B3" w:rsidRPr="00AB26B3">
        <w:rPr>
          <w:noProof/>
          <w:spacing w:val="-6"/>
          <w:lang w:val="sk-SK"/>
        </w:rPr>
        <w:t xml:space="preserve"> a </w:t>
      </w:r>
      <w:r w:rsidRPr="00AB26B3">
        <w:rPr>
          <w:noProof/>
          <w:spacing w:val="-6"/>
          <w:lang w:val="sk-SK"/>
        </w:rPr>
        <w:t>zameria sa na urýchlenie vybavovania prípadov občanov</w:t>
      </w:r>
      <w:r w:rsidR="00AB26B3" w:rsidRPr="00AB26B3">
        <w:rPr>
          <w:noProof/>
          <w:spacing w:val="-6"/>
          <w:lang w:val="sk-SK"/>
        </w:rPr>
        <w:t xml:space="preserve"> a </w:t>
      </w:r>
      <w:r w:rsidRPr="00AB26B3">
        <w:rPr>
          <w:noProof/>
          <w:spacing w:val="-6"/>
          <w:lang w:val="sk-SK"/>
        </w:rPr>
        <w:t>podnikov</w:t>
      </w:r>
      <w:r w:rsidR="00AB26B3" w:rsidRPr="00AB26B3">
        <w:rPr>
          <w:noProof/>
          <w:spacing w:val="-6"/>
          <w:lang w:val="sk-SK"/>
        </w:rPr>
        <w:t xml:space="preserve"> a </w:t>
      </w:r>
      <w:r w:rsidRPr="00AB26B3">
        <w:rPr>
          <w:noProof/>
          <w:spacing w:val="-6"/>
          <w:lang w:val="sk-SK"/>
        </w:rPr>
        <w:t>žiadostí</w:t>
      </w:r>
      <w:r w:rsidR="00AB26B3" w:rsidRPr="00AB26B3">
        <w:rPr>
          <w:noProof/>
          <w:spacing w:val="-6"/>
          <w:lang w:val="sk-SK"/>
        </w:rPr>
        <w:t xml:space="preserve"> o </w:t>
      </w:r>
      <w:r w:rsidRPr="00AB26B3">
        <w:rPr>
          <w:noProof/>
          <w:spacing w:val="-6"/>
          <w:lang w:val="sk-SK"/>
        </w:rPr>
        <w:t>služby. Investícia zahŕňa a) dodanie 20000 schválených digitálnych podpisov na diaľku, b) vývoj aplikácií pre interoperabilitu, vytvorenie jedinečného QR kódu alebo ID, ktorý sa má začleniť do dokumentov, c) vývoj subsystémov na pokrytie potrieb vlády</w:t>
      </w:r>
      <w:r w:rsidR="00AB26B3" w:rsidRPr="00AB26B3">
        <w:rPr>
          <w:noProof/>
          <w:spacing w:val="-6"/>
          <w:lang w:val="sk-SK"/>
        </w:rPr>
        <w:t xml:space="preserve"> v </w:t>
      </w:r>
      <w:r w:rsidRPr="00AB26B3">
        <w:rPr>
          <w:noProof/>
          <w:spacing w:val="-6"/>
          <w:lang w:val="sk-SK"/>
        </w:rPr>
        <w:t>oblasti podpisovania dokumentov</w:t>
      </w:r>
      <w:r w:rsidR="00AB26B3" w:rsidRPr="00AB26B3">
        <w:rPr>
          <w:noProof/>
          <w:spacing w:val="-6"/>
          <w:lang w:val="sk-SK"/>
        </w:rPr>
        <w:t xml:space="preserve"> s </w:t>
      </w:r>
      <w:r w:rsidRPr="00AB26B3">
        <w:rPr>
          <w:noProof/>
          <w:spacing w:val="-6"/>
          <w:lang w:val="sk-SK"/>
        </w:rPr>
        <w:t>digitálnymi podpismi, d) podporné služby (vrátane služieb na vypracovanie štúdií), odbornú prípravu</w:t>
      </w:r>
      <w:r w:rsidR="00AB26B3" w:rsidRPr="00AB26B3">
        <w:rPr>
          <w:noProof/>
          <w:spacing w:val="-6"/>
          <w:lang w:val="sk-SK"/>
        </w:rPr>
        <w:t xml:space="preserve"> a </w:t>
      </w:r>
      <w:r w:rsidRPr="00AB26B3">
        <w:rPr>
          <w:noProof/>
          <w:spacing w:val="-6"/>
          <w:lang w:val="sk-SK"/>
        </w:rPr>
        <w:t>asistenčné služby</w:t>
      </w:r>
      <w:r w:rsidR="00AB26B3" w:rsidRPr="00AB26B3">
        <w:rPr>
          <w:noProof/>
          <w:spacing w:val="-6"/>
          <w:lang w:val="sk-SK"/>
        </w:rPr>
        <w:t>.</w:t>
      </w:r>
    </w:p>
    <w:p w14:paraId="4C2B00D1" w14:textId="207BEDD8"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116"/>
          <w:headerReference w:type="default" r:id="rId117"/>
          <w:footerReference w:type="even" r:id="rId118"/>
          <w:footerReference w:type="default" r:id="rId119"/>
          <w:headerReference w:type="first" r:id="rId120"/>
          <w:footerReference w:type="first" r:id="rId121"/>
          <w:pgSz w:w="11906" w:h="16838"/>
          <w:pgMar w:top="1417" w:right="1417" w:bottom="1417" w:left="1417" w:header="708" w:footer="708" w:gutter="0"/>
          <w:cols w:space="708"/>
          <w:docGrid w:linePitch="360"/>
        </w:sectPr>
      </w:pPr>
    </w:p>
    <w:p w14:paraId="28CB271F" w14:textId="7F6C3E38" w:rsidR="00302FC1" w:rsidRPr="00AB26B3" w:rsidRDefault="00D64F26">
      <w:pPr>
        <w:pStyle w:val="P68B1DB1-Normal6"/>
        <w:spacing w:before="120" w:after="120" w:line="240" w:lineRule="auto"/>
        <w:jc w:val="both"/>
        <w:rPr>
          <w:noProof/>
          <w:spacing w:val="-6"/>
          <w:lang w:val="sk-SK"/>
        </w:rPr>
      </w:pPr>
      <w:r w:rsidRPr="00AB26B3">
        <w:rPr>
          <w:noProof/>
          <w:spacing w:val="-6"/>
          <w:lang w:val="sk-SK"/>
        </w:rPr>
        <w:t>F.2.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22D7F88C" w14:textId="5393906F"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Najvýznamnejšia investícia 3: Digitalizácia archívov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súvisiace služby</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092"/>
        <w:gridCol w:w="1601"/>
        <w:gridCol w:w="1715"/>
        <w:gridCol w:w="1200"/>
        <w:gridCol w:w="1080"/>
        <w:gridCol w:w="960"/>
        <w:gridCol w:w="960"/>
        <w:gridCol w:w="840"/>
        <w:gridCol w:w="3593"/>
      </w:tblGrid>
      <w:tr w:rsidR="00302FC1" w:rsidRPr="00AB26B3" w14:paraId="3D40AAE6" w14:textId="77777777">
        <w:trPr>
          <w:trHeight w:val="927"/>
          <w:tblHeader/>
          <w:jc w:val="center"/>
        </w:trPr>
        <w:tc>
          <w:tcPr>
            <w:tcW w:w="562" w:type="dxa"/>
            <w:vMerge w:val="restart"/>
            <w:shd w:val="clear" w:color="auto" w:fill="BDD7EE"/>
            <w:vAlign w:val="center"/>
            <w:hideMark/>
          </w:tcPr>
          <w:p w14:paraId="5266C9D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 Nie.</w:t>
            </w:r>
          </w:p>
        </w:tc>
        <w:tc>
          <w:tcPr>
            <w:tcW w:w="1985" w:type="dxa"/>
            <w:vMerge w:val="restart"/>
            <w:shd w:val="clear" w:color="auto" w:fill="BDD7EE"/>
            <w:vAlign w:val="center"/>
            <w:hideMark/>
          </w:tcPr>
          <w:p w14:paraId="4C5ABCD6" w14:textId="77777777" w:rsidR="00302FC1" w:rsidRPr="00AB26B3" w:rsidRDefault="00D64F26">
            <w:pPr>
              <w:pStyle w:val="P68B1DB1-Normal10"/>
              <w:spacing w:after="0" w:line="240" w:lineRule="auto"/>
              <w:ind w:left="-2" w:firstLine="2"/>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92" w:type="dxa"/>
            <w:vMerge w:val="restart"/>
            <w:shd w:val="clear" w:color="auto" w:fill="BDD7EE"/>
            <w:vAlign w:val="center"/>
            <w:hideMark/>
          </w:tcPr>
          <w:p w14:paraId="500B354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601" w:type="dxa"/>
            <w:vMerge w:val="restart"/>
            <w:shd w:val="clear" w:color="auto" w:fill="BDD7EE"/>
            <w:vAlign w:val="center"/>
            <w:hideMark/>
          </w:tcPr>
          <w:p w14:paraId="590704C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715" w:type="dxa"/>
            <w:vMerge w:val="restart"/>
            <w:shd w:val="clear" w:color="auto" w:fill="BDD7EE"/>
            <w:vAlign w:val="center"/>
            <w:hideMark/>
          </w:tcPr>
          <w:p w14:paraId="7D505F4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240" w:type="dxa"/>
            <w:gridSpan w:val="3"/>
            <w:shd w:val="clear" w:color="auto" w:fill="BDD7EE"/>
            <w:vAlign w:val="center"/>
            <w:hideMark/>
          </w:tcPr>
          <w:p w14:paraId="0F63033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800" w:type="dxa"/>
            <w:gridSpan w:val="2"/>
            <w:shd w:val="clear" w:color="auto" w:fill="BDD7EE"/>
            <w:vAlign w:val="center"/>
            <w:hideMark/>
          </w:tcPr>
          <w:p w14:paraId="647F8DF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593" w:type="dxa"/>
            <w:vMerge w:val="restart"/>
            <w:shd w:val="clear" w:color="auto" w:fill="BDD7EE"/>
            <w:vAlign w:val="center"/>
            <w:hideMark/>
          </w:tcPr>
          <w:p w14:paraId="0C769BB8" w14:textId="579C1F10"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6CE7D970" w14:textId="77777777">
        <w:trPr>
          <w:trHeight w:val="512"/>
          <w:tblHeader/>
          <w:jc w:val="center"/>
        </w:trPr>
        <w:tc>
          <w:tcPr>
            <w:tcW w:w="562" w:type="dxa"/>
            <w:vMerge/>
            <w:vAlign w:val="center"/>
            <w:hideMark/>
          </w:tcPr>
          <w:p w14:paraId="74E9173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85" w:type="dxa"/>
            <w:vMerge/>
            <w:vAlign w:val="center"/>
            <w:hideMark/>
          </w:tcPr>
          <w:p w14:paraId="2D2C74C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92" w:type="dxa"/>
            <w:vMerge/>
            <w:vAlign w:val="center"/>
            <w:hideMark/>
          </w:tcPr>
          <w:p w14:paraId="1D8870A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01" w:type="dxa"/>
            <w:vMerge/>
            <w:vAlign w:val="center"/>
            <w:hideMark/>
          </w:tcPr>
          <w:p w14:paraId="16575EC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15" w:type="dxa"/>
            <w:vMerge/>
            <w:vAlign w:val="center"/>
            <w:hideMark/>
          </w:tcPr>
          <w:p w14:paraId="30DC18D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0" w:type="dxa"/>
            <w:shd w:val="clear" w:color="auto" w:fill="BDD7EE"/>
            <w:vAlign w:val="center"/>
            <w:hideMark/>
          </w:tcPr>
          <w:p w14:paraId="06B2B9F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080" w:type="dxa"/>
            <w:shd w:val="clear" w:color="auto" w:fill="BDD7EE"/>
            <w:vAlign w:val="center"/>
            <w:hideMark/>
          </w:tcPr>
          <w:p w14:paraId="11941C5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960" w:type="dxa"/>
            <w:shd w:val="clear" w:color="auto" w:fill="BDD7EE"/>
            <w:vAlign w:val="center"/>
            <w:hideMark/>
          </w:tcPr>
          <w:p w14:paraId="7A10A5A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960" w:type="dxa"/>
            <w:shd w:val="clear" w:color="auto" w:fill="BDD7EE"/>
            <w:vAlign w:val="center"/>
            <w:hideMark/>
          </w:tcPr>
          <w:p w14:paraId="6BB0B6C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840" w:type="dxa"/>
            <w:shd w:val="clear" w:color="auto" w:fill="BDD7EE"/>
            <w:vAlign w:val="center"/>
            <w:hideMark/>
          </w:tcPr>
          <w:p w14:paraId="75612E3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593" w:type="dxa"/>
            <w:vMerge/>
            <w:vAlign w:val="center"/>
            <w:hideMark/>
          </w:tcPr>
          <w:p w14:paraId="2C379F5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7169DCD8" w14:textId="77777777">
        <w:trPr>
          <w:trHeight w:val="309"/>
          <w:jc w:val="center"/>
        </w:trPr>
        <w:tc>
          <w:tcPr>
            <w:tcW w:w="562" w:type="dxa"/>
            <w:shd w:val="clear" w:color="auto" w:fill="C6EFCE"/>
            <w:noWrap/>
          </w:tcPr>
          <w:p w14:paraId="071B887E" w14:textId="6150D89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93</w:t>
            </w:r>
          </w:p>
          <w:p w14:paraId="5E910849" w14:textId="77777777" w:rsidR="00302FC1" w:rsidRPr="00AB26B3" w:rsidRDefault="00302FC1">
            <w:pPr>
              <w:rPr>
                <w:rFonts w:ascii="Times New Roman" w:eastAsia="Times New Roman" w:hAnsi="Times New Roman" w:cs="Times New Roman"/>
                <w:noProof/>
                <w:spacing w:val="-6"/>
                <w:sz w:val="18"/>
                <w:szCs w:val="18"/>
                <w:lang w:val="sk-SK"/>
              </w:rPr>
            </w:pPr>
          </w:p>
        </w:tc>
        <w:tc>
          <w:tcPr>
            <w:tcW w:w="1985" w:type="dxa"/>
            <w:shd w:val="clear" w:color="auto" w:fill="C6EFCE"/>
            <w:noWrap/>
          </w:tcPr>
          <w:p w14:paraId="7CF7D259" w14:textId="6366B0F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16778_Digitalizácia archívov</w:t>
            </w:r>
            <w:r w:rsidR="00AB26B3" w:rsidRPr="00AB26B3">
              <w:rPr>
                <w:noProof/>
                <w:spacing w:val="-6"/>
                <w:lang w:val="sk-SK"/>
              </w:rPr>
              <w:t xml:space="preserve"> a </w:t>
            </w:r>
            <w:r w:rsidRPr="00AB26B3">
              <w:rPr>
                <w:noProof/>
                <w:spacing w:val="-6"/>
                <w:lang w:val="sk-SK"/>
              </w:rPr>
              <w:t>súvisiacich služieb</w:t>
            </w:r>
          </w:p>
        </w:tc>
        <w:tc>
          <w:tcPr>
            <w:tcW w:w="1092" w:type="dxa"/>
            <w:shd w:val="clear" w:color="auto" w:fill="C6EFCE"/>
            <w:noWrap/>
          </w:tcPr>
          <w:p w14:paraId="4A4DAD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01" w:type="dxa"/>
            <w:shd w:val="clear" w:color="auto" w:fill="C6EFCE"/>
            <w:noWrap/>
          </w:tcPr>
          <w:p w14:paraId="21142280" w14:textId="77777777" w:rsidR="00302FC1" w:rsidRPr="00AB26B3" w:rsidRDefault="00D64F26">
            <w:pPr>
              <w:pStyle w:val="P68B1DB1-Normal12"/>
              <w:spacing w:after="0" w:line="240" w:lineRule="auto"/>
              <w:rPr>
                <w:rFonts w:eastAsia="Times New Roman"/>
                <w:iCs/>
                <w:noProof/>
                <w:spacing w:val="-6"/>
                <w:lang w:val="sk-SK"/>
              </w:rPr>
            </w:pPr>
            <w:r w:rsidRPr="00AB26B3">
              <w:rPr>
                <w:noProof/>
                <w:spacing w:val="-6"/>
                <w:lang w:val="sk-SK"/>
              </w:rPr>
              <w:t>Zadanie zákazky (zákaziek) na digitalizáciu archívov</w:t>
            </w:r>
          </w:p>
        </w:tc>
        <w:tc>
          <w:tcPr>
            <w:tcW w:w="1715" w:type="dxa"/>
            <w:shd w:val="clear" w:color="auto" w:fill="C6EFCE"/>
            <w:noWrap/>
          </w:tcPr>
          <w:p w14:paraId="1C7C3DDA" w14:textId="2FF107C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 xml:space="preserve">zadaní zákazky (zákaziek) vzťahujúce sa na všetkých 9 podprojektov projektu digitalizácie archívov </w:t>
            </w:r>
          </w:p>
        </w:tc>
        <w:tc>
          <w:tcPr>
            <w:tcW w:w="1200" w:type="dxa"/>
            <w:shd w:val="clear" w:color="auto" w:fill="C6EFCE"/>
            <w:noWrap/>
          </w:tcPr>
          <w:p w14:paraId="655D944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shd w:val="clear" w:color="auto" w:fill="C6EFCE"/>
            <w:noWrap/>
          </w:tcPr>
          <w:p w14:paraId="520D8D6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6CF78C8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6FD7E40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40" w:type="dxa"/>
            <w:shd w:val="clear" w:color="auto" w:fill="C6EFCE"/>
            <w:noWrap/>
          </w:tcPr>
          <w:p w14:paraId="48539C1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593" w:type="dxa"/>
            <w:shd w:val="clear" w:color="auto" w:fill="C6EFCE"/>
            <w:noWrap/>
          </w:tcPr>
          <w:p w14:paraId="25EA7453" w14:textId="7533C6A0" w:rsidR="00AB26B3" w:rsidRPr="00AB26B3" w:rsidRDefault="00D64F26">
            <w:pPr>
              <w:pStyle w:val="P68B1DB1-Normal12"/>
              <w:spacing w:after="0" w:line="240" w:lineRule="auto"/>
              <w:rPr>
                <w:noProof/>
                <w:spacing w:val="-6"/>
                <w:lang w:val="sk-SK"/>
              </w:rPr>
            </w:pPr>
            <w:r w:rsidRPr="00AB26B3">
              <w:rPr>
                <w:noProof/>
                <w:spacing w:val="-6"/>
                <w:lang w:val="sk-SK"/>
              </w:rPr>
              <w:t>Zadanie zákazky (zákaziek) na pokrytie každého</w:t>
            </w:r>
            <w:r w:rsidR="00AB26B3" w:rsidRPr="00AB26B3">
              <w:rPr>
                <w:noProof/>
                <w:spacing w:val="-6"/>
                <w:lang w:val="sk-SK"/>
              </w:rPr>
              <w:t xml:space="preserve"> z </w:t>
            </w:r>
            <w:r w:rsidRPr="00AB26B3">
              <w:rPr>
                <w:noProof/>
                <w:spacing w:val="-6"/>
                <w:lang w:val="sk-SK"/>
              </w:rPr>
              <w:t>týchto 9 čiastkových projektov vrátane všetkých ich zložiek</w:t>
            </w:r>
            <w:r w:rsidR="00AB26B3" w:rsidRPr="00AB26B3">
              <w:rPr>
                <w:noProof/>
                <w:spacing w:val="-6"/>
                <w:lang w:val="sk-SK"/>
              </w:rPr>
              <w:t>:</w:t>
            </w:r>
          </w:p>
          <w:p w14:paraId="622E01DC" w14:textId="1D2B6C67" w:rsidR="00302FC1" w:rsidRPr="00AB26B3" w:rsidRDefault="00D64F26">
            <w:pPr>
              <w:pStyle w:val="P68B1DB1-Normal12"/>
              <w:numPr>
                <w:ilvl w:val="0"/>
                <w:numId w:val="18"/>
              </w:numPr>
              <w:spacing w:before="120" w:after="160" w:line="259" w:lineRule="auto"/>
              <w:ind w:left="220" w:hanging="169"/>
              <w:contextualSpacing/>
              <w:jc w:val="both"/>
              <w:rPr>
                <w:rFonts w:eastAsia="Times New Roman"/>
                <w:noProof/>
                <w:spacing w:val="-6"/>
                <w:lang w:val="sk-SK"/>
              </w:rPr>
            </w:pPr>
            <w:r w:rsidRPr="00AB26B3">
              <w:rPr>
                <w:noProof/>
                <w:spacing w:val="-6"/>
                <w:lang w:val="sk-SK"/>
              </w:rPr>
              <w:t>Čiastkový projekt 1: Digitalizácia archívov justičného systému</w:t>
            </w:r>
          </w:p>
          <w:p w14:paraId="1A0A477D" w14:textId="77777777"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Čiastkový projekt 2: Digitalizácia archívov systému verejného zdravia</w:t>
            </w:r>
          </w:p>
          <w:p w14:paraId="176555D6" w14:textId="77777777"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Čiastkový projekt 3: Digitalizácia všeobecných archívov štátu</w:t>
            </w:r>
          </w:p>
          <w:p w14:paraId="259ABAE6" w14:textId="1BB0152E"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Čiastkový projekt 4: Digitalizácia archívov prisťahovaleckého</w:t>
            </w:r>
            <w:r w:rsidR="00AB26B3" w:rsidRPr="00AB26B3">
              <w:rPr>
                <w:noProof/>
                <w:spacing w:val="-6"/>
                <w:lang w:val="sk-SK"/>
              </w:rPr>
              <w:t xml:space="preserve"> a </w:t>
            </w:r>
            <w:r w:rsidRPr="00AB26B3">
              <w:rPr>
                <w:noProof/>
                <w:spacing w:val="-6"/>
                <w:lang w:val="sk-SK"/>
              </w:rPr>
              <w:t>azylového systému</w:t>
            </w:r>
          </w:p>
          <w:p w14:paraId="3C00E052" w14:textId="77777777"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Čiastkový projekt 5: Digitalizácia archívov vyvlastnenia</w:t>
            </w:r>
          </w:p>
          <w:p w14:paraId="08AA90AB" w14:textId="77777777"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Čiastkový projekt 6: Digitalizácia archívov agentúr územného plánovania</w:t>
            </w:r>
          </w:p>
          <w:p w14:paraId="127CB2A9" w14:textId="77777777"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Podprojekt 7A – Digitalizácia archívov katastra (Ktimatologio)</w:t>
            </w:r>
          </w:p>
          <w:p w14:paraId="54DEBC42" w14:textId="77777777"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Podprojekt 7B – Zlepšené digitálne služby katastra</w:t>
            </w:r>
          </w:p>
          <w:p w14:paraId="7FE91906" w14:textId="77777777"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Podprojekt 8 – Digitalizácia námorných archívov</w:t>
            </w:r>
          </w:p>
          <w:p w14:paraId="2C71EE59" w14:textId="413EBB37" w:rsidR="00302FC1" w:rsidRPr="00AB26B3" w:rsidRDefault="00D64F26">
            <w:pPr>
              <w:pStyle w:val="P68B1DB1-Normal12"/>
              <w:numPr>
                <w:ilvl w:val="0"/>
                <w:numId w:val="18"/>
              </w:numPr>
              <w:spacing w:before="120" w:after="0" w:line="259" w:lineRule="auto"/>
              <w:ind w:left="220" w:hanging="169"/>
              <w:contextualSpacing/>
              <w:jc w:val="both"/>
              <w:rPr>
                <w:rFonts w:eastAsia="Times New Roman"/>
                <w:noProof/>
                <w:spacing w:val="-6"/>
                <w:lang w:val="sk-SK"/>
              </w:rPr>
            </w:pPr>
            <w:r w:rsidRPr="00AB26B3">
              <w:rPr>
                <w:noProof/>
                <w:spacing w:val="-6"/>
                <w:lang w:val="sk-SK"/>
              </w:rPr>
              <w:t>Čiastkový projekt 9: Bezpečné skladovanie vo verejnom sektore</w:t>
            </w:r>
            <w:r w:rsidR="00AB26B3" w:rsidRPr="00AB26B3">
              <w:rPr>
                <w:noProof/>
                <w:spacing w:val="-6"/>
                <w:lang w:val="sk-SK"/>
              </w:rPr>
              <w:t xml:space="preserve"> a </w:t>
            </w:r>
            <w:r w:rsidRPr="00AB26B3">
              <w:rPr>
                <w:noProof/>
                <w:spacing w:val="-6"/>
                <w:lang w:val="sk-SK"/>
              </w:rPr>
              <w:t>„širší“ verejný sektor</w:t>
            </w:r>
          </w:p>
          <w:p w14:paraId="1B6D6C68" w14:textId="578EE0B0" w:rsidR="00AB26B3" w:rsidRPr="00AB26B3" w:rsidRDefault="00D64F26">
            <w:pPr>
              <w:pStyle w:val="P68B1DB1-Normal12"/>
              <w:spacing w:after="0" w:line="240" w:lineRule="auto"/>
              <w:rPr>
                <w:noProof/>
                <w:spacing w:val="-6"/>
                <w:lang w:val="sk-SK"/>
              </w:rPr>
            </w:pPr>
            <w:r w:rsidRPr="00AB26B3">
              <w:rPr>
                <w:noProof/>
                <w:spacing w:val="-6"/>
                <w:lang w:val="sk-SK"/>
              </w:rPr>
              <w:t>Špecifikácie zahŕňajú harmonogramy</w:t>
            </w:r>
            <w:r w:rsidR="00AB26B3" w:rsidRPr="00AB26B3">
              <w:rPr>
                <w:noProof/>
                <w:spacing w:val="-6"/>
                <w:lang w:val="sk-SK"/>
              </w:rPr>
              <w:t xml:space="preserve"> a </w:t>
            </w:r>
            <w:r w:rsidRPr="00AB26B3">
              <w:rPr>
                <w:noProof/>
                <w:spacing w:val="-6"/>
                <w:lang w:val="sk-SK"/>
              </w:rPr>
              <w:t>ciele</w:t>
            </w:r>
            <w:r w:rsidR="00AB26B3" w:rsidRPr="00AB26B3">
              <w:rPr>
                <w:noProof/>
                <w:spacing w:val="-6"/>
                <w:lang w:val="sk-SK"/>
              </w:rPr>
              <w:t xml:space="preserve"> a </w:t>
            </w:r>
            <w:r w:rsidRPr="00AB26B3">
              <w:rPr>
                <w:noProof/>
                <w:spacing w:val="-6"/>
                <w:lang w:val="sk-SK"/>
              </w:rPr>
              <w:t>pre každý</w:t>
            </w:r>
            <w:r w:rsidR="00AB26B3" w:rsidRPr="00AB26B3">
              <w:rPr>
                <w:noProof/>
                <w:spacing w:val="-6"/>
                <w:lang w:val="sk-SK"/>
              </w:rPr>
              <w:t xml:space="preserve"> z </w:t>
            </w:r>
            <w:r w:rsidRPr="00AB26B3">
              <w:rPr>
                <w:noProof/>
                <w:spacing w:val="-6"/>
                <w:lang w:val="sk-SK"/>
              </w:rPr>
              <w:t>9 čiastkových projektov sa</w:t>
            </w:r>
            <w:r w:rsidR="00AB26B3" w:rsidRPr="00AB26B3">
              <w:rPr>
                <w:noProof/>
                <w:spacing w:val="-6"/>
                <w:lang w:val="sk-SK"/>
              </w:rPr>
              <w:t xml:space="preserve"> v </w:t>
            </w:r>
            <w:r w:rsidRPr="00AB26B3">
              <w:rPr>
                <w:noProof/>
                <w:spacing w:val="-6"/>
                <w:lang w:val="sk-SK"/>
              </w:rPr>
              <w:t>nich podrobne uvádza</w:t>
            </w:r>
            <w:r w:rsidR="00AB26B3" w:rsidRPr="00AB26B3">
              <w:rPr>
                <w:noProof/>
                <w:spacing w:val="-6"/>
                <w:lang w:val="sk-SK"/>
              </w:rPr>
              <w:t>:</w:t>
            </w:r>
          </w:p>
          <w:p w14:paraId="44C823CE" w14:textId="77777777" w:rsidR="00AB26B3" w:rsidRPr="00AB26B3" w:rsidRDefault="00D64F26">
            <w:pPr>
              <w:pStyle w:val="P68B1DB1-Normal12"/>
              <w:spacing w:after="0" w:line="240" w:lineRule="auto"/>
              <w:rPr>
                <w:noProof/>
                <w:spacing w:val="-6"/>
                <w:lang w:val="sk-SK"/>
              </w:rPr>
            </w:pPr>
            <w:r w:rsidRPr="00AB26B3">
              <w:rPr>
                <w:noProof/>
                <w:spacing w:val="-6"/>
                <w:lang w:val="sk-SK"/>
              </w:rPr>
              <w:t>1.digitalizácia fyzických záznamov</w:t>
            </w:r>
          </w:p>
          <w:p w14:paraId="3AF99B20" w14:textId="53A6E5B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migrácia digitálnych záznamov do existujúcich systémov (vrátane súdnych spisov</w:t>
            </w:r>
            <w:r w:rsidR="00AB26B3" w:rsidRPr="00AB26B3">
              <w:rPr>
                <w:noProof/>
                <w:spacing w:val="-6"/>
                <w:lang w:val="sk-SK"/>
              </w:rPr>
              <w:t xml:space="preserve"> v </w:t>
            </w:r>
            <w:r w:rsidRPr="00AB26B3">
              <w:rPr>
                <w:noProof/>
                <w:spacing w:val="-6"/>
                <w:lang w:val="sk-SK"/>
              </w:rPr>
              <w:t>OSDDY-PP/OSDDY-DD; vlastnícke práva</w:t>
            </w:r>
            <w:r w:rsidR="00AB26B3" w:rsidRPr="00AB26B3">
              <w:rPr>
                <w:noProof/>
                <w:spacing w:val="-6"/>
                <w:lang w:val="sk-SK"/>
              </w:rPr>
              <w:t xml:space="preserve"> v </w:t>
            </w:r>
            <w:r w:rsidRPr="00AB26B3">
              <w:rPr>
                <w:noProof/>
                <w:spacing w:val="-6"/>
                <w:lang w:val="sk-SK"/>
              </w:rPr>
              <w:t>informačnom systéme národného katastra nehnuteľností)</w:t>
            </w:r>
          </w:p>
          <w:p w14:paraId="14C0E5B5" w14:textId="336D0D7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analýza, návrh</w:t>
            </w:r>
            <w:r w:rsidR="00AB26B3" w:rsidRPr="00AB26B3">
              <w:rPr>
                <w:noProof/>
                <w:spacing w:val="-6"/>
                <w:lang w:val="sk-SK"/>
              </w:rPr>
              <w:t xml:space="preserve"> a </w:t>
            </w:r>
            <w:r w:rsidRPr="00AB26B3">
              <w:rPr>
                <w:noProof/>
                <w:spacing w:val="-6"/>
                <w:lang w:val="sk-SK"/>
              </w:rPr>
              <w:t>realizácia dátových centier</w:t>
            </w:r>
            <w:r w:rsidR="00AB26B3" w:rsidRPr="00AB26B3">
              <w:rPr>
                <w:noProof/>
                <w:spacing w:val="-6"/>
                <w:lang w:val="sk-SK"/>
              </w:rPr>
              <w:t xml:space="preserve"> a </w:t>
            </w:r>
            <w:r w:rsidRPr="00AB26B3">
              <w:rPr>
                <w:noProof/>
                <w:spacing w:val="-6"/>
                <w:lang w:val="sk-SK"/>
              </w:rPr>
              <w:t>infraštruktúry umiestnených</w:t>
            </w:r>
            <w:r w:rsidR="00AB26B3" w:rsidRPr="00AB26B3">
              <w:rPr>
                <w:noProof/>
                <w:spacing w:val="-6"/>
                <w:lang w:val="sk-SK"/>
              </w:rPr>
              <w:t xml:space="preserve"> v </w:t>
            </w:r>
            <w:r w:rsidRPr="00AB26B3">
              <w:rPr>
                <w:noProof/>
                <w:spacing w:val="-6"/>
                <w:lang w:val="sk-SK"/>
              </w:rPr>
              <w:t>miestnych agentúrach spolu</w:t>
            </w:r>
            <w:r w:rsidR="00AB26B3" w:rsidRPr="00AB26B3">
              <w:rPr>
                <w:noProof/>
                <w:spacing w:val="-6"/>
                <w:lang w:val="sk-SK"/>
              </w:rPr>
              <w:t xml:space="preserve"> s </w:t>
            </w:r>
            <w:r w:rsidRPr="00AB26B3">
              <w:rPr>
                <w:noProof/>
                <w:spacing w:val="-6"/>
                <w:lang w:val="sk-SK"/>
              </w:rPr>
              <w:t>príslušným jednotným kontaktným miestom (vrátane centrálneho úložiska záznamov</w:t>
            </w:r>
            <w:r w:rsidR="00AB26B3" w:rsidRPr="00AB26B3">
              <w:rPr>
                <w:noProof/>
                <w:spacing w:val="-6"/>
                <w:lang w:val="sk-SK"/>
              </w:rPr>
              <w:t xml:space="preserve"> o </w:t>
            </w:r>
            <w:r w:rsidRPr="00AB26B3">
              <w:rPr>
                <w:noProof/>
                <w:spacing w:val="-6"/>
                <w:lang w:val="sk-SK"/>
              </w:rPr>
              <w:t>pacientoch; Integrovaný geografický informačný systém jednotnej digitálnej mapy vyvlastnenia</w:t>
            </w:r>
            <w:r w:rsidR="00AB26B3" w:rsidRPr="00AB26B3">
              <w:rPr>
                <w:noProof/>
                <w:spacing w:val="-6"/>
                <w:lang w:val="sk-SK"/>
              </w:rPr>
              <w:t xml:space="preserve"> a </w:t>
            </w:r>
            <w:r w:rsidRPr="00AB26B3">
              <w:rPr>
                <w:noProof/>
                <w:spacing w:val="-6"/>
                <w:lang w:val="sk-SK"/>
              </w:rPr>
              <w:t>nárokov na vyvlastnenie; Systém správy dokumentov</w:t>
            </w:r>
            <w:r w:rsidR="00AB26B3" w:rsidRPr="00AB26B3">
              <w:rPr>
                <w:noProof/>
                <w:spacing w:val="-6"/>
                <w:lang w:val="sk-SK"/>
              </w:rPr>
              <w:t xml:space="preserve"> a </w:t>
            </w:r>
            <w:r w:rsidRPr="00AB26B3">
              <w:rPr>
                <w:noProof/>
                <w:spacing w:val="-6"/>
                <w:lang w:val="sk-SK"/>
              </w:rPr>
              <w:t>digitálnych súborov (DMS/DAS) pre katastrálne záznamy, inštalácia softvéru na správu archívu).</w:t>
            </w:r>
          </w:p>
          <w:p w14:paraId="47390461" w14:textId="32602C9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podporné služby (vrátane nových elektronických služieb súvisiacich</w:t>
            </w:r>
            <w:r w:rsidR="00AB26B3" w:rsidRPr="00AB26B3">
              <w:rPr>
                <w:noProof/>
                <w:spacing w:val="-6"/>
                <w:lang w:val="sk-SK"/>
              </w:rPr>
              <w:t xml:space="preserve"> s </w:t>
            </w:r>
            <w:r w:rsidRPr="00AB26B3">
              <w:rPr>
                <w:noProof/>
                <w:spacing w:val="-6"/>
                <w:lang w:val="sk-SK"/>
              </w:rPr>
              <w:t>vyhľadávaním</w:t>
            </w:r>
            <w:r w:rsidR="00AB26B3" w:rsidRPr="00AB26B3">
              <w:rPr>
                <w:noProof/>
                <w:spacing w:val="-6"/>
                <w:lang w:val="sk-SK"/>
              </w:rPr>
              <w:t xml:space="preserve"> a </w:t>
            </w:r>
            <w:r w:rsidRPr="00AB26B3">
              <w:rPr>
                <w:noProof/>
                <w:spacing w:val="-6"/>
                <w:lang w:val="sk-SK"/>
              </w:rPr>
              <w:t>získavaním súborov pre občanov; verejná správa; výskumní pracovníci pre štátne archívy).</w:t>
            </w:r>
          </w:p>
        </w:tc>
      </w:tr>
      <w:tr w:rsidR="00302FC1" w:rsidRPr="00AB26B3" w14:paraId="28EBE233" w14:textId="77777777">
        <w:trPr>
          <w:trHeight w:val="309"/>
          <w:jc w:val="center"/>
        </w:trPr>
        <w:tc>
          <w:tcPr>
            <w:tcW w:w="562" w:type="dxa"/>
            <w:shd w:val="clear" w:color="auto" w:fill="C6EFCE"/>
            <w:noWrap/>
            <w:hideMark/>
          </w:tcPr>
          <w:p w14:paraId="054A41F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95</w:t>
            </w:r>
          </w:p>
        </w:tc>
        <w:tc>
          <w:tcPr>
            <w:tcW w:w="1985" w:type="dxa"/>
            <w:shd w:val="clear" w:color="auto" w:fill="C6EFCE"/>
            <w:noWrap/>
            <w:hideMark/>
          </w:tcPr>
          <w:p w14:paraId="0CD2093D" w14:textId="1DA3D6A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16778_Digitalizácia archívov</w:t>
            </w:r>
            <w:r w:rsidR="00AB26B3" w:rsidRPr="00AB26B3">
              <w:rPr>
                <w:noProof/>
                <w:spacing w:val="-6"/>
                <w:lang w:val="sk-SK"/>
              </w:rPr>
              <w:t xml:space="preserve"> a </w:t>
            </w:r>
            <w:r w:rsidRPr="00AB26B3">
              <w:rPr>
                <w:noProof/>
                <w:spacing w:val="-6"/>
                <w:lang w:val="sk-SK"/>
              </w:rPr>
              <w:t>súvisiacich služieb</w:t>
            </w:r>
          </w:p>
        </w:tc>
        <w:tc>
          <w:tcPr>
            <w:tcW w:w="1092" w:type="dxa"/>
            <w:shd w:val="clear" w:color="auto" w:fill="C6EFCE"/>
            <w:noWrap/>
            <w:hideMark/>
          </w:tcPr>
          <w:p w14:paraId="70B90E79" w14:textId="4254B31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01" w:type="dxa"/>
            <w:shd w:val="clear" w:color="auto" w:fill="C6EFCE"/>
            <w:noWrap/>
            <w:hideMark/>
          </w:tcPr>
          <w:p w14:paraId="066D2355" w14:textId="54A66AE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Digitalizácia archívov</w:t>
            </w:r>
          </w:p>
        </w:tc>
        <w:tc>
          <w:tcPr>
            <w:tcW w:w="1715" w:type="dxa"/>
            <w:shd w:val="clear" w:color="auto" w:fill="C6EFCE"/>
            <w:noWrap/>
            <w:hideMark/>
          </w:tcPr>
          <w:p w14:paraId="23F13299" w14:textId="0C9BC9A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Digitalizácia, metaúdaje</w:t>
            </w:r>
            <w:r w:rsidR="00AB26B3" w:rsidRPr="00AB26B3">
              <w:rPr>
                <w:noProof/>
                <w:spacing w:val="-6"/>
                <w:lang w:val="sk-SK"/>
              </w:rPr>
              <w:t xml:space="preserve"> a </w:t>
            </w:r>
            <w:r w:rsidRPr="00AB26B3">
              <w:rPr>
                <w:noProof/>
                <w:spacing w:val="-6"/>
                <w:lang w:val="sk-SK"/>
              </w:rPr>
              <w:t>migrácia archívov do existujúcich systémov</w:t>
            </w:r>
            <w:r w:rsidR="00AB26B3" w:rsidRPr="00AB26B3">
              <w:rPr>
                <w:noProof/>
                <w:spacing w:val="-6"/>
                <w:lang w:val="sk-SK"/>
              </w:rPr>
              <w:t xml:space="preserve"> a </w:t>
            </w:r>
            <w:r w:rsidRPr="00AB26B3">
              <w:rPr>
                <w:noProof/>
                <w:spacing w:val="-6"/>
                <w:lang w:val="sk-SK"/>
              </w:rPr>
              <w:t>realizácia projektu „Digitálne služby pre kataster“</w:t>
            </w:r>
            <w:r w:rsidR="00AB26B3" w:rsidRPr="00AB26B3">
              <w:rPr>
                <w:noProof/>
                <w:spacing w:val="-6"/>
                <w:lang w:val="sk-SK"/>
              </w:rPr>
              <w:t xml:space="preserve"> a </w:t>
            </w:r>
            <w:r w:rsidRPr="00AB26B3">
              <w:rPr>
                <w:noProof/>
                <w:spacing w:val="-6"/>
                <w:lang w:val="sk-SK"/>
              </w:rPr>
              <w:t>projektu „Bezpečné uchovávanie archívov verejného sektora</w:t>
            </w:r>
            <w:r w:rsidR="00AB26B3" w:rsidRPr="00AB26B3">
              <w:rPr>
                <w:noProof/>
                <w:spacing w:val="-6"/>
                <w:lang w:val="sk-SK"/>
              </w:rPr>
              <w:t xml:space="preserve"> a </w:t>
            </w:r>
            <w:r w:rsidRPr="00AB26B3">
              <w:rPr>
                <w:noProof/>
                <w:spacing w:val="-6"/>
                <w:lang w:val="sk-SK"/>
              </w:rPr>
              <w:t>širšieho verejného sektora“</w:t>
            </w:r>
          </w:p>
        </w:tc>
        <w:tc>
          <w:tcPr>
            <w:tcW w:w="1200" w:type="dxa"/>
            <w:shd w:val="clear" w:color="auto" w:fill="C6EFCE"/>
            <w:noWrap/>
            <w:hideMark/>
          </w:tcPr>
          <w:p w14:paraId="772ECC5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shd w:val="clear" w:color="auto" w:fill="C6EFCE"/>
            <w:noWrap/>
            <w:hideMark/>
          </w:tcPr>
          <w:p w14:paraId="5961ADE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hideMark/>
          </w:tcPr>
          <w:p w14:paraId="135A16D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hideMark/>
          </w:tcPr>
          <w:p w14:paraId="022C1E37" w14:textId="3094A02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40" w:type="dxa"/>
            <w:shd w:val="clear" w:color="auto" w:fill="C6EFCE"/>
            <w:noWrap/>
            <w:hideMark/>
          </w:tcPr>
          <w:p w14:paraId="718FD61B" w14:textId="6D1CAFB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593" w:type="dxa"/>
            <w:shd w:val="clear" w:color="auto" w:fill="C6EFCE"/>
            <w:noWrap/>
            <w:hideMark/>
          </w:tcPr>
          <w:p w14:paraId="42FAC941" w14:textId="008959CE" w:rsidR="00AB26B3" w:rsidRPr="00AB26B3" w:rsidRDefault="00D64F26">
            <w:pPr>
              <w:pStyle w:val="P68B1DB1-Normal12"/>
              <w:spacing w:after="0" w:line="240" w:lineRule="auto"/>
              <w:rPr>
                <w:noProof/>
                <w:spacing w:val="-6"/>
                <w:lang w:val="sk-SK"/>
              </w:rPr>
            </w:pPr>
            <w:r w:rsidRPr="00AB26B3">
              <w:rPr>
                <w:noProof/>
                <w:spacing w:val="-6"/>
                <w:lang w:val="sk-SK"/>
              </w:rPr>
              <w:t>Digitalizácia vrátane metaúdajov</w:t>
            </w:r>
            <w:r w:rsidR="00AB26B3" w:rsidRPr="00AB26B3">
              <w:rPr>
                <w:noProof/>
                <w:spacing w:val="-6"/>
                <w:lang w:val="sk-SK"/>
              </w:rPr>
              <w:t xml:space="preserve"> a </w:t>
            </w:r>
            <w:r w:rsidRPr="00AB26B3">
              <w:rPr>
                <w:noProof/>
                <w:spacing w:val="-6"/>
                <w:lang w:val="sk-SK"/>
              </w:rPr>
              <w:t>migrácia do existujúcich systémov</w:t>
            </w:r>
            <w:r w:rsidR="00AB26B3" w:rsidRPr="00AB26B3">
              <w:rPr>
                <w:noProof/>
                <w:spacing w:val="-6"/>
                <w:lang w:val="sk-SK"/>
              </w:rPr>
              <w:t xml:space="preserve"> v </w:t>
            </w:r>
            <w:r w:rsidRPr="00AB26B3">
              <w:rPr>
                <w:noProof/>
                <w:spacing w:val="-6"/>
                <w:lang w:val="sk-SK"/>
              </w:rPr>
              <w:t>rozsahu najmenej 1035000000 strán</w:t>
            </w:r>
            <w:r w:rsidR="00AB26B3" w:rsidRPr="00AB26B3">
              <w:rPr>
                <w:noProof/>
                <w:spacing w:val="-6"/>
                <w:lang w:val="sk-SK"/>
              </w:rPr>
              <w:t>.</w:t>
            </w:r>
          </w:p>
          <w:p w14:paraId="7A2DBDC8" w14:textId="15AA57E6"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7EB9BA73" w14:textId="0D166C18" w:rsidR="00AB26B3" w:rsidRPr="00AB26B3" w:rsidRDefault="00D64F26">
            <w:pPr>
              <w:pStyle w:val="P68B1DB1-Normal12"/>
              <w:spacing w:after="0" w:line="240" w:lineRule="auto"/>
              <w:rPr>
                <w:noProof/>
                <w:spacing w:val="-6"/>
                <w:lang w:val="sk-SK"/>
              </w:rPr>
            </w:pPr>
            <w:r w:rsidRPr="00AB26B3">
              <w:rPr>
                <w:noProof/>
                <w:spacing w:val="-6"/>
                <w:lang w:val="sk-SK"/>
              </w:rPr>
              <w:t>Realizácia podprojektu „Zlepšené digitálne služby pre kataster“ na digitalizáciu služieb, ktoré ponúka grécky kataster,</w:t>
            </w:r>
            <w:r w:rsidR="00AB26B3" w:rsidRPr="00AB26B3">
              <w:rPr>
                <w:noProof/>
                <w:spacing w:val="-6"/>
                <w:lang w:val="sk-SK"/>
              </w:rPr>
              <w:t xml:space="preserve"> a </w:t>
            </w:r>
            <w:r w:rsidRPr="00AB26B3">
              <w:rPr>
                <w:noProof/>
                <w:spacing w:val="-6"/>
                <w:lang w:val="sk-SK"/>
              </w:rPr>
              <w:t>podprojektu „Bezpečné uchovávanie archívov verejného sektora</w:t>
            </w:r>
            <w:r w:rsidR="00AB26B3" w:rsidRPr="00AB26B3">
              <w:rPr>
                <w:noProof/>
                <w:spacing w:val="-6"/>
                <w:lang w:val="sk-SK"/>
              </w:rPr>
              <w:t xml:space="preserve"> a </w:t>
            </w:r>
            <w:r w:rsidRPr="00AB26B3">
              <w:rPr>
                <w:noProof/>
                <w:spacing w:val="-6"/>
                <w:lang w:val="sk-SK"/>
              </w:rPr>
              <w:t>širšieho verejného sektora“ na bezpečné uchovávanie fyzických súborov</w:t>
            </w:r>
            <w:r w:rsidR="00AB26B3" w:rsidRPr="00AB26B3">
              <w:rPr>
                <w:noProof/>
                <w:spacing w:val="-6"/>
                <w:lang w:val="sk-SK"/>
              </w:rPr>
              <w:t xml:space="preserve"> v </w:t>
            </w:r>
            <w:r w:rsidRPr="00AB26B3">
              <w:rPr>
                <w:noProof/>
                <w:spacing w:val="-6"/>
                <w:lang w:val="sk-SK"/>
              </w:rPr>
              <w:t>iných archívoch verejného sektora</w:t>
            </w:r>
            <w:r w:rsidR="00AB26B3" w:rsidRPr="00AB26B3">
              <w:rPr>
                <w:noProof/>
                <w:spacing w:val="-6"/>
                <w:lang w:val="sk-SK"/>
              </w:rPr>
              <w:t>.</w:t>
            </w:r>
          </w:p>
          <w:p w14:paraId="0CFB8A0E" w14:textId="2A078D05"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bl>
    <w:p w14:paraId="7C519152"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35A9B2F5" w14:textId="7F87EEF2"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Kľúčová reforma 5: Smerom</w:t>
      </w:r>
      <w:r w:rsidR="00AB26B3" w:rsidRPr="00AB26B3">
        <w:rPr>
          <w:rFonts w:ascii="Times New Roman" w:hAnsi="Times New Roman"/>
          <w:noProof/>
          <w:spacing w:val="-6"/>
          <w:lang w:val="sk-SK"/>
        </w:rPr>
        <w:t xml:space="preserve"> k </w:t>
      </w:r>
      <w:r w:rsidRPr="00AB26B3">
        <w:rPr>
          <w:rFonts w:ascii="Times New Roman" w:hAnsi="Times New Roman"/>
          <w:noProof/>
          <w:spacing w:val="-6"/>
          <w:lang w:val="sk-SK"/>
        </w:rPr>
        <w:t>službám verejnej správy orientovaným na „zákazníka“ prostredníctvom zjednodušenia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zlepšenia procesov – Prepojenie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interoperabilita registrov, systémov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služieb</w:t>
      </w:r>
    </w:p>
    <w:tbl>
      <w:tblPr>
        <w:tblpPr w:leftFromText="180" w:rightFromText="180" w:vertAnchor="text" w:tblpXSpec="center" w:tblpY="1"/>
        <w:tblOverlap w:val="neve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6"/>
        <w:gridCol w:w="1105"/>
        <w:gridCol w:w="1383"/>
        <w:gridCol w:w="1701"/>
        <w:gridCol w:w="992"/>
        <w:gridCol w:w="992"/>
        <w:gridCol w:w="851"/>
        <w:gridCol w:w="992"/>
        <w:gridCol w:w="723"/>
        <w:gridCol w:w="3989"/>
      </w:tblGrid>
      <w:tr w:rsidR="00302FC1" w:rsidRPr="00AB26B3" w14:paraId="5666BD29" w14:textId="77777777">
        <w:trPr>
          <w:trHeight w:val="939"/>
          <w:tblHeader/>
          <w:jc w:val="center"/>
        </w:trPr>
        <w:tc>
          <w:tcPr>
            <w:tcW w:w="708" w:type="dxa"/>
            <w:vMerge w:val="restart"/>
            <w:shd w:val="clear" w:color="auto" w:fill="BDD7EE"/>
            <w:vAlign w:val="center"/>
            <w:hideMark/>
          </w:tcPr>
          <w:p w14:paraId="4A433260" w14:textId="6EE8075C"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A nasl. Nie.</w:t>
            </w:r>
          </w:p>
        </w:tc>
        <w:tc>
          <w:tcPr>
            <w:tcW w:w="2866" w:type="dxa"/>
            <w:vMerge w:val="restart"/>
            <w:shd w:val="clear" w:color="auto" w:fill="BDD7EE"/>
            <w:vAlign w:val="center"/>
            <w:hideMark/>
          </w:tcPr>
          <w:p w14:paraId="56E2F690" w14:textId="77777777" w:rsidR="00AB26B3" w:rsidRPr="00AB26B3" w:rsidRDefault="00D64F26">
            <w:pPr>
              <w:pStyle w:val="P68B1DB1-Normal10"/>
              <w:spacing w:after="0" w:line="240" w:lineRule="auto"/>
              <w:jc w:val="center"/>
              <w:rPr>
                <w:noProof/>
                <w:spacing w:val="-6"/>
                <w:lang w:val="sk-SK"/>
              </w:rPr>
            </w:pPr>
            <w:r w:rsidRPr="00AB26B3">
              <w:rPr>
                <w:noProof/>
                <w:spacing w:val="-6"/>
                <w:lang w:val="sk-SK"/>
              </w:rPr>
              <w:t>Súvisiace opatrenie</w:t>
            </w:r>
          </w:p>
          <w:p w14:paraId="39227AD3" w14:textId="4D126CC1"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(Reforma alebo investícia)</w:t>
            </w:r>
          </w:p>
        </w:tc>
        <w:tc>
          <w:tcPr>
            <w:tcW w:w="1105" w:type="dxa"/>
            <w:vMerge w:val="restart"/>
            <w:shd w:val="clear" w:color="auto" w:fill="BDD7EE"/>
            <w:vAlign w:val="center"/>
            <w:hideMark/>
          </w:tcPr>
          <w:p w14:paraId="7ACEBAE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383" w:type="dxa"/>
            <w:vMerge w:val="restart"/>
            <w:shd w:val="clear" w:color="auto" w:fill="BDD7EE"/>
            <w:vAlign w:val="center"/>
            <w:hideMark/>
          </w:tcPr>
          <w:p w14:paraId="67E5305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701" w:type="dxa"/>
            <w:vMerge w:val="restart"/>
            <w:shd w:val="clear" w:color="auto" w:fill="BDD7EE"/>
            <w:vAlign w:val="center"/>
            <w:hideMark/>
          </w:tcPr>
          <w:p w14:paraId="5E7C86B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835" w:type="dxa"/>
            <w:gridSpan w:val="3"/>
            <w:shd w:val="clear" w:color="auto" w:fill="BDD7EE"/>
            <w:vAlign w:val="center"/>
            <w:hideMark/>
          </w:tcPr>
          <w:p w14:paraId="6A4835A0" w14:textId="0B1A9D90"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715" w:type="dxa"/>
            <w:gridSpan w:val="2"/>
            <w:shd w:val="clear" w:color="auto" w:fill="BDD7EE"/>
            <w:vAlign w:val="center"/>
            <w:hideMark/>
          </w:tcPr>
          <w:p w14:paraId="6F3E289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989" w:type="dxa"/>
            <w:vMerge w:val="restart"/>
            <w:shd w:val="clear" w:color="auto" w:fill="BDD7EE"/>
            <w:vAlign w:val="center"/>
            <w:hideMark/>
          </w:tcPr>
          <w:p w14:paraId="3EA83785" w14:textId="59960D32"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28CD3E28" w14:textId="77777777">
        <w:trPr>
          <w:trHeight w:val="612"/>
          <w:jc w:val="center"/>
        </w:trPr>
        <w:tc>
          <w:tcPr>
            <w:tcW w:w="708" w:type="dxa"/>
            <w:vMerge/>
            <w:vAlign w:val="center"/>
            <w:hideMark/>
          </w:tcPr>
          <w:p w14:paraId="3E73B18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866" w:type="dxa"/>
            <w:vMerge/>
            <w:vAlign w:val="center"/>
            <w:hideMark/>
          </w:tcPr>
          <w:p w14:paraId="776F380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05" w:type="dxa"/>
            <w:vMerge/>
            <w:vAlign w:val="center"/>
            <w:hideMark/>
          </w:tcPr>
          <w:p w14:paraId="00C53B2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83" w:type="dxa"/>
            <w:vMerge/>
            <w:vAlign w:val="center"/>
            <w:hideMark/>
          </w:tcPr>
          <w:p w14:paraId="297B6CD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01" w:type="dxa"/>
            <w:vMerge/>
            <w:vAlign w:val="center"/>
            <w:hideMark/>
          </w:tcPr>
          <w:p w14:paraId="7F0B188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92" w:type="dxa"/>
            <w:shd w:val="clear" w:color="auto" w:fill="BDD7EE"/>
            <w:vAlign w:val="center"/>
            <w:hideMark/>
          </w:tcPr>
          <w:p w14:paraId="67B8964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2" w:type="dxa"/>
            <w:shd w:val="clear" w:color="auto" w:fill="BDD7EE"/>
            <w:vAlign w:val="center"/>
          </w:tcPr>
          <w:p w14:paraId="2F6ABA1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Základná</w:t>
            </w:r>
          </w:p>
        </w:tc>
        <w:tc>
          <w:tcPr>
            <w:tcW w:w="851" w:type="dxa"/>
            <w:shd w:val="clear" w:color="auto" w:fill="BDD7EE"/>
            <w:vAlign w:val="center"/>
            <w:hideMark/>
          </w:tcPr>
          <w:p w14:paraId="2C723EC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Cieľ</w:t>
            </w:r>
          </w:p>
        </w:tc>
        <w:tc>
          <w:tcPr>
            <w:tcW w:w="992" w:type="dxa"/>
            <w:shd w:val="clear" w:color="auto" w:fill="BDD7EE"/>
            <w:vAlign w:val="center"/>
            <w:hideMark/>
          </w:tcPr>
          <w:p w14:paraId="35DF2F2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23" w:type="dxa"/>
            <w:shd w:val="clear" w:color="auto" w:fill="BDD7EE"/>
            <w:vAlign w:val="center"/>
            <w:hideMark/>
          </w:tcPr>
          <w:p w14:paraId="4E20193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989" w:type="dxa"/>
            <w:vMerge/>
            <w:vAlign w:val="center"/>
            <w:hideMark/>
          </w:tcPr>
          <w:p w14:paraId="407377F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64963F49" w14:textId="77777777">
        <w:trPr>
          <w:trHeight w:val="313"/>
          <w:jc w:val="center"/>
        </w:trPr>
        <w:tc>
          <w:tcPr>
            <w:tcW w:w="708" w:type="dxa"/>
            <w:shd w:val="clear" w:color="auto" w:fill="C6EFCE"/>
            <w:noWrap/>
          </w:tcPr>
          <w:p w14:paraId="64D643B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96</w:t>
            </w:r>
          </w:p>
        </w:tc>
        <w:tc>
          <w:tcPr>
            <w:tcW w:w="2866" w:type="dxa"/>
            <w:shd w:val="clear" w:color="auto" w:fill="C6EFCE"/>
            <w:noWrap/>
          </w:tcPr>
          <w:p w14:paraId="0AEFE23A" w14:textId="02CCCD9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16929_Smerom</w:t>
            </w:r>
            <w:r w:rsidR="00AB26B3" w:rsidRPr="00AB26B3">
              <w:rPr>
                <w:noProof/>
                <w:spacing w:val="-6"/>
                <w:lang w:val="sk-SK"/>
              </w:rPr>
              <w:t xml:space="preserve"> k </w:t>
            </w:r>
            <w:r w:rsidRPr="00AB26B3">
              <w:rPr>
                <w:noProof/>
                <w:spacing w:val="-6"/>
                <w:lang w:val="sk-SK"/>
              </w:rPr>
              <w:t>službám verejnej správy orientovaným na „zákazníkov“ prostredníctvom zjednodušenia</w:t>
            </w:r>
            <w:r w:rsidR="00AB26B3" w:rsidRPr="00AB26B3">
              <w:rPr>
                <w:noProof/>
                <w:spacing w:val="-6"/>
                <w:lang w:val="sk-SK"/>
              </w:rPr>
              <w:t xml:space="preserve"> a </w:t>
            </w:r>
            <w:r w:rsidRPr="00AB26B3">
              <w:rPr>
                <w:noProof/>
                <w:spacing w:val="-6"/>
                <w:lang w:val="sk-SK"/>
              </w:rPr>
              <w:t>zlepšenia procesov, zlepšenia systémov</w:t>
            </w:r>
            <w:r w:rsidR="00AB26B3" w:rsidRPr="00AB26B3">
              <w:rPr>
                <w:noProof/>
                <w:spacing w:val="-6"/>
                <w:lang w:val="sk-SK"/>
              </w:rPr>
              <w:t xml:space="preserve"> a </w:t>
            </w:r>
            <w:r w:rsidRPr="00AB26B3">
              <w:rPr>
                <w:noProof/>
                <w:spacing w:val="-6"/>
                <w:lang w:val="sk-SK"/>
              </w:rPr>
              <w:t>súladu</w:t>
            </w:r>
            <w:r w:rsidR="00AB26B3" w:rsidRPr="00AB26B3">
              <w:rPr>
                <w:noProof/>
                <w:spacing w:val="-6"/>
                <w:lang w:val="sk-SK"/>
              </w:rPr>
              <w:t xml:space="preserve"> s </w:t>
            </w:r>
            <w:r w:rsidRPr="00AB26B3">
              <w:rPr>
                <w:noProof/>
                <w:spacing w:val="-6"/>
                <w:lang w:val="sk-SK"/>
              </w:rPr>
              <w:t>európskymi stratégiami</w:t>
            </w:r>
            <w:r w:rsidR="00AB26B3" w:rsidRPr="00AB26B3">
              <w:rPr>
                <w:noProof/>
                <w:spacing w:val="-6"/>
                <w:lang w:val="sk-SK"/>
              </w:rPr>
              <w:t xml:space="preserve"> a </w:t>
            </w:r>
            <w:r w:rsidRPr="00AB26B3">
              <w:rPr>
                <w:noProof/>
                <w:spacing w:val="-6"/>
                <w:lang w:val="sk-SK"/>
              </w:rPr>
              <w:t>politikami</w:t>
            </w:r>
          </w:p>
        </w:tc>
        <w:tc>
          <w:tcPr>
            <w:tcW w:w="1105" w:type="dxa"/>
            <w:shd w:val="clear" w:color="auto" w:fill="C6EFCE"/>
            <w:noWrap/>
          </w:tcPr>
          <w:p w14:paraId="2FC6876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83" w:type="dxa"/>
            <w:shd w:val="clear" w:color="auto" w:fill="C6EFCE"/>
            <w:noWrap/>
          </w:tcPr>
          <w:p w14:paraId="6E44C345" w14:textId="2DA7615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Zriadenie národného registra postupov</w:t>
            </w:r>
            <w:r w:rsidR="00AB26B3" w:rsidRPr="00AB26B3">
              <w:rPr>
                <w:noProof/>
                <w:spacing w:val="-6"/>
                <w:lang w:val="sk-SK"/>
              </w:rPr>
              <w:t xml:space="preserve"> a </w:t>
            </w:r>
            <w:r w:rsidRPr="00AB26B3">
              <w:rPr>
                <w:noProof/>
                <w:spacing w:val="-6"/>
                <w:lang w:val="sk-SK"/>
              </w:rPr>
              <w:t>vykonávanie národného plánu na zjednodušenie procesu (prvá fáza)</w:t>
            </w:r>
          </w:p>
        </w:tc>
        <w:tc>
          <w:tcPr>
            <w:tcW w:w="1701" w:type="dxa"/>
            <w:shd w:val="clear" w:color="auto" w:fill="C6EFCE"/>
            <w:noWrap/>
          </w:tcPr>
          <w:p w14:paraId="5F0413E4" w14:textId="78AB943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ministerstva pre digitálnu správu, ktorou sa potvrdzuje sprevádzkovanie vnútroštátneho registra postupov</w:t>
            </w:r>
            <w:r w:rsidR="00AB26B3" w:rsidRPr="00AB26B3">
              <w:rPr>
                <w:noProof/>
                <w:spacing w:val="-6"/>
                <w:lang w:val="sk-SK"/>
              </w:rPr>
              <w:t xml:space="preserve"> a </w:t>
            </w:r>
            <w:r w:rsidRPr="00AB26B3">
              <w:rPr>
                <w:noProof/>
                <w:spacing w:val="-6"/>
                <w:lang w:val="sk-SK"/>
              </w:rPr>
              <w:t>dokončenie pracovných tokov</w:t>
            </w:r>
            <w:r w:rsidR="00AB26B3" w:rsidRPr="00AB26B3">
              <w:rPr>
                <w:noProof/>
                <w:spacing w:val="-6"/>
                <w:lang w:val="sk-SK"/>
              </w:rPr>
              <w:t xml:space="preserve"> v </w:t>
            </w:r>
            <w:r w:rsidRPr="00AB26B3">
              <w:rPr>
                <w:noProof/>
                <w:spacing w:val="-6"/>
                <w:lang w:val="sk-SK"/>
              </w:rPr>
              <w:t xml:space="preserve">rámci prvej fázy národného programu zjednodušenia procesov </w:t>
            </w:r>
          </w:p>
        </w:tc>
        <w:tc>
          <w:tcPr>
            <w:tcW w:w="992" w:type="dxa"/>
            <w:shd w:val="clear" w:color="auto" w:fill="C6EFCE"/>
            <w:noWrap/>
          </w:tcPr>
          <w:p w14:paraId="3A7C0C5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tcPr>
          <w:p w14:paraId="43F2186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399F2D7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tcPr>
          <w:p w14:paraId="2AA0065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23" w:type="dxa"/>
            <w:shd w:val="clear" w:color="auto" w:fill="C6EFCE"/>
            <w:noWrap/>
          </w:tcPr>
          <w:p w14:paraId="58204F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989" w:type="dxa"/>
            <w:shd w:val="clear" w:color="auto" w:fill="C6EFCE"/>
            <w:noWrap/>
          </w:tcPr>
          <w:p w14:paraId="6A8AA985" w14:textId="241AA487" w:rsidR="00302FC1" w:rsidRPr="00AB26B3" w:rsidRDefault="00D64F26">
            <w:pPr>
              <w:pStyle w:val="P68B1DB1-Normal12"/>
              <w:spacing w:before="120" w:after="120" w:line="240" w:lineRule="auto"/>
              <w:jc w:val="both"/>
              <w:rPr>
                <w:rFonts w:eastAsia="Times New Roman"/>
                <w:noProof/>
                <w:spacing w:val="-6"/>
                <w:lang w:val="sk-SK"/>
              </w:rPr>
            </w:pPr>
            <w:r w:rsidRPr="00AB26B3">
              <w:rPr>
                <w:noProof/>
                <w:spacing w:val="-6"/>
                <w:lang w:val="sk-SK"/>
              </w:rPr>
              <w:t xml:space="preserve">Sprevádzkovanie vnútroštátneho registra postupov („Diavlos“ podľa článku 90 zákona </w:t>
            </w:r>
            <w:r w:rsidR="00AB26B3" w:rsidRPr="00AB26B3">
              <w:rPr>
                <w:noProof/>
                <w:spacing w:val="-6"/>
                <w:lang w:val="sk-SK"/>
              </w:rPr>
              <w:t>č. </w:t>
            </w:r>
            <w:r w:rsidRPr="00AB26B3">
              <w:rPr>
                <w:noProof/>
                <w:spacing w:val="-6"/>
                <w:lang w:val="sk-SK"/>
              </w:rPr>
              <w:t>4727/2020)</w:t>
            </w:r>
            <w:r w:rsidR="00AB26B3" w:rsidRPr="00AB26B3">
              <w:rPr>
                <w:noProof/>
                <w:spacing w:val="-6"/>
                <w:lang w:val="sk-SK"/>
              </w:rPr>
              <w:t xml:space="preserve"> a </w:t>
            </w:r>
            <w:r w:rsidRPr="00AB26B3">
              <w:rPr>
                <w:noProof/>
                <w:spacing w:val="-6"/>
                <w:lang w:val="sk-SK"/>
              </w:rPr>
              <w:t>integrácia do portálu gov.gr;</w:t>
            </w:r>
            <w:r w:rsidR="00AB26B3" w:rsidRPr="00AB26B3">
              <w:rPr>
                <w:noProof/>
                <w:spacing w:val="-6"/>
                <w:lang w:val="sk-SK"/>
              </w:rPr>
              <w:t xml:space="preserve"> a </w:t>
            </w:r>
            <w:r w:rsidRPr="00AB26B3">
              <w:rPr>
                <w:noProof/>
                <w:spacing w:val="-6"/>
                <w:lang w:val="sk-SK"/>
              </w:rPr>
              <w:t>dokončenie prvej fázy pracovných okruhov zameraných na zjednodušenie podľa harmonogramu stanoveného</w:t>
            </w:r>
            <w:r w:rsidR="00AB26B3" w:rsidRPr="00AB26B3">
              <w:rPr>
                <w:noProof/>
                <w:spacing w:val="-6"/>
                <w:lang w:val="sk-SK"/>
              </w:rPr>
              <w:t xml:space="preserve"> v </w:t>
            </w:r>
            <w:r w:rsidRPr="00AB26B3">
              <w:rPr>
                <w:noProof/>
                <w:spacing w:val="-6"/>
                <w:lang w:val="sk-SK"/>
              </w:rPr>
              <w:t>štvorročnom národnom programe zjednodušenia procesov vrátane digitalizácie postupov verejného obstarávania.</w:t>
            </w:r>
          </w:p>
        </w:tc>
      </w:tr>
      <w:tr w:rsidR="00302FC1" w:rsidRPr="00AB26B3" w14:paraId="3F0F0814" w14:textId="77777777">
        <w:trPr>
          <w:trHeight w:val="313"/>
          <w:jc w:val="center"/>
        </w:trPr>
        <w:tc>
          <w:tcPr>
            <w:tcW w:w="708" w:type="dxa"/>
            <w:shd w:val="clear" w:color="auto" w:fill="C6EFCE"/>
            <w:noWrap/>
          </w:tcPr>
          <w:p w14:paraId="7306C9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97</w:t>
            </w:r>
          </w:p>
        </w:tc>
        <w:tc>
          <w:tcPr>
            <w:tcW w:w="2866" w:type="dxa"/>
            <w:shd w:val="clear" w:color="auto" w:fill="C6EFCE"/>
            <w:noWrap/>
          </w:tcPr>
          <w:p w14:paraId="667CA2D2" w14:textId="41D0F1C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16929_Smerom</w:t>
            </w:r>
            <w:r w:rsidR="00AB26B3" w:rsidRPr="00AB26B3">
              <w:rPr>
                <w:noProof/>
                <w:spacing w:val="-6"/>
                <w:lang w:val="sk-SK"/>
              </w:rPr>
              <w:t xml:space="preserve"> k </w:t>
            </w:r>
            <w:r w:rsidRPr="00AB26B3">
              <w:rPr>
                <w:noProof/>
                <w:spacing w:val="-6"/>
                <w:lang w:val="sk-SK"/>
              </w:rPr>
              <w:t>službám verejnej správy orientovaným na „zákazníkov“ prostredníctvom zjednodušenia</w:t>
            </w:r>
            <w:r w:rsidR="00AB26B3" w:rsidRPr="00AB26B3">
              <w:rPr>
                <w:noProof/>
                <w:spacing w:val="-6"/>
                <w:lang w:val="sk-SK"/>
              </w:rPr>
              <w:t xml:space="preserve"> a </w:t>
            </w:r>
            <w:r w:rsidRPr="00AB26B3">
              <w:rPr>
                <w:noProof/>
                <w:spacing w:val="-6"/>
                <w:lang w:val="sk-SK"/>
              </w:rPr>
              <w:t>zlepšenia procesov, zlepšenia systémov</w:t>
            </w:r>
            <w:r w:rsidR="00AB26B3" w:rsidRPr="00AB26B3">
              <w:rPr>
                <w:noProof/>
                <w:spacing w:val="-6"/>
                <w:lang w:val="sk-SK"/>
              </w:rPr>
              <w:t xml:space="preserve"> a </w:t>
            </w:r>
            <w:r w:rsidRPr="00AB26B3">
              <w:rPr>
                <w:noProof/>
                <w:spacing w:val="-6"/>
                <w:lang w:val="sk-SK"/>
              </w:rPr>
              <w:t>súladu</w:t>
            </w:r>
            <w:r w:rsidR="00AB26B3" w:rsidRPr="00AB26B3">
              <w:rPr>
                <w:noProof/>
                <w:spacing w:val="-6"/>
                <w:lang w:val="sk-SK"/>
              </w:rPr>
              <w:t xml:space="preserve"> s </w:t>
            </w:r>
            <w:r w:rsidRPr="00AB26B3">
              <w:rPr>
                <w:noProof/>
                <w:spacing w:val="-6"/>
                <w:lang w:val="sk-SK"/>
              </w:rPr>
              <w:t>európskymi stratégiami</w:t>
            </w:r>
            <w:r w:rsidR="00AB26B3" w:rsidRPr="00AB26B3">
              <w:rPr>
                <w:noProof/>
                <w:spacing w:val="-6"/>
                <w:lang w:val="sk-SK"/>
              </w:rPr>
              <w:t xml:space="preserve"> a </w:t>
            </w:r>
            <w:r w:rsidRPr="00AB26B3">
              <w:rPr>
                <w:noProof/>
                <w:spacing w:val="-6"/>
                <w:lang w:val="sk-SK"/>
              </w:rPr>
              <w:t>politikami</w:t>
            </w:r>
          </w:p>
        </w:tc>
        <w:tc>
          <w:tcPr>
            <w:tcW w:w="1105" w:type="dxa"/>
            <w:shd w:val="clear" w:color="auto" w:fill="C6EFCE"/>
            <w:noWrap/>
          </w:tcPr>
          <w:p w14:paraId="567F2E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83" w:type="dxa"/>
            <w:shd w:val="clear" w:color="auto" w:fill="C6EFCE"/>
            <w:noWrap/>
          </w:tcPr>
          <w:p w14:paraId="6828BB8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národného plánu na zjednodušenie procesu (druhá fáza)</w:t>
            </w:r>
          </w:p>
        </w:tc>
        <w:tc>
          <w:tcPr>
            <w:tcW w:w="1701" w:type="dxa"/>
            <w:shd w:val="clear" w:color="auto" w:fill="C6EFCE"/>
            <w:noWrap/>
          </w:tcPr>
          <w:p w14:paraId="7DAECC48" w14:textId="2B76691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ministerstva vnútra potvrdzujúca dokončenie druhej fázy pracovných okruhov zjednodušenia</w:t>
            </w:r>
            <w:r w:rsidR="00AB26B3" w:rsidRPr="00AB26B3">
              <w:rPr>
                <w:noProof/>
                <w:spacing w:val="-6"/>
                <w:lang w:val="sk-SK"/>
              </w:rPr>
              <w:t xml:space="preserve"> v </w:t>
            </w:r>
            <w:r w:rsidRPr="00AB26B3">
              <w:rPr>
                <w:noProof/>
                <w:spacing w:val="-6"/>
                <w:lang w:val="sk-SK"/>
              </w:rPr>
              <w:t xml:space="preserve">rámci národného programu zjednodušenia procesu </w:t>
            </w:r>
          </w:p>
        </w:tc>
        <w:tc>
          <w:tcPr>
            <w:tcW w:w="992" w:type="dxa"/>
            <w:shd w:val="clear" w:color="auto" w:fill="C6EFCE"/>
            <w:noWrap/>
          </w:tcPr>
          <w:p w14:paraId="35DFE6B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tcPr>
          <w:p w14:paraId="69A3887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41B6689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tcPr>
          <w:p w14:paraId="0DD62C6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3" w:type="dxa"/>
            <w:shd w:val="clear" w:color="auto" w:fill="C6EFCE"/>
            <w:noWrap/>
          </w:tcPr>
          <w:p w14:paraId="6C7298A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989" w:type="dxa"/>
            <w:shd w:val="clear" w:color="auto" w:fill="C6EFCE"/>
            <w:noWrap/>
          </w:tcPr>
          <w:p w14:paraId="035716B6" w14:textId="28142EF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Dokončiť druhú fázu pracovných okruhov zameraných na zjednodušenie</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harmonogramom stanoveným</w:t>
            </w:r>
            <w:r w:rsidR="00AB26B3" w:rsidRPr="00AB26B3">
              <w:rPr>
                <w:noProof/>
                <w:spacing w:val="-6"/>
                <w:lang w:val="sk-SK"/>
              </w:rPr>
              <w:t xml:space="preserve"> v </w:t>
            </w:r>
            <w:r w:rsidRPr="00AB26B3">
              <w:rPr>
                <w:noProof/>
                <w:spacing w:val="-6"/>
                <w:lang w:val="sk-SK"/>
              </w:rPr>
              <w:t>štvorročnom národnom programe zjednodušenia procesu vrátane digitalizácie procesov posudzovania vplyvu, začatia činnosti podnikov</w:t>
            </w:r>
            <w:r w:rsidR="00AB26B3" w:rsidRPr="00AB26B3">
              <w:rPr>
                <w:noProof/>
                <w:spacing w:val="-6"/>
                <w:lang w:val="sk-SK"/>
              </w:rPr>
              <w:t xml:space="preserve"> s </w:t>
            </w:r>
            <w:r w:rsidRPr="00AB26B3">
              <w:rPr>
                <w:noProof/>
                <w:spacing w:val="-6"/>
                <w:lang w:val="sk-SK"/>
              </w:rPr>
              <w:t>jediným vlastníkom, zjednodušenia postupov týkajúcich sa občianskych „životných udalostí“ vrátane narodenia, úmrtia</w:t>
            </w:r>
            <w:r w:rsidR="00AB26B3" w:rsidRPr="00AB26B3">
              <w:rPr>
                <w:noProof/>
                <w:spacing w:val="-6"/>
                <w:lang w:val="sk-SK"/>
              </w:rPr>
              <w:t xml:space="preserve"> a </w:t>
            </w:r>
            <w:r w:rsidRPr="00AB26B3">
              <w:rPr>
                <w:noProof/>
                <w:spacing w:val="-6"/>
                <w:lang w:val="sk-SK"/>
              </w:rPr>
              <w:t>rozvodu, zjednodušenia justičných postupov týkajúcich sa právnikov, súdnych rozhodnutí, digitálnych podpisov, osvedčení vydaných súdmi, obnovenia vodičského preukazu</w:t>
            </w:r>
            <w:r w:rsidR="00AB26B3" w:rsidRPr="00AB26B3">
              <w:rPr>
                <w:noProof/>
                <w:spacing w:val="-6"/>
                <w:lang w:val="sk-SK"/>
              </w:rPr>
              <w:t xml:space="preserve"> a </w:t>
            </w:r>
            <w:r w:rsidRPr="00AB26B3">
              <w:rPr>
                <w:noProof/>
                <w:spacing w:val="-6"/>
                <w:lang w:val="sk-SK"/>
              </w:rPr>
              <w:t>prevádzky aplikácie myfoto.gov.gr</w:t>
            </w:r>
            <w:r w:rsidR="00AB26B3" w:rsidRPr="00AB26B3">
              <w:rPr>
                <w:noProof/>
                <w:spacing w:val="-6"/>
                <w:lang w:val="sk-SK"/>
              </w:rPr>
              <w:t xml:space="preserve"> a </w:t>
            </w:r>
            <w:r w:rsidRPr="00AB26B3">
              <w:rPr>
                <w:noProof/>
                <w:spacing w:val="-6"/>
                <w:lang w:val="sk-SK"/>
              </w:rPr>
              <w:t>elektronického obehu dokumentov</w:t>
            </w:r>
            <w:r w:rsidR="00AB26B3" w:rsidRPr="00AB26B3">
              <w:rPr>
                <w:noProof/>
                <w:spacing w:val="-6"/>
                <w:lang w:val="sk-SK"/>
              </w:rPr>
              <w:t xml:space="preserve"> v </w:t>
            </w:r>
            <w:r w:rsidRPr="00AB26B3">
              <w:rPr>
                <w:noProof/>
                <w:spacing w:val="-6"/>
                <w:lang w:val="sk-SK"/>
              </w:rPr>
              <w:t>rámci verejnej správy (osvedčených vydanými obežníkmi).</w:t>
            </w:r>
          </w:p>
        </w:tc>
      </w:tr>
      <w:tr w:rsidR="00302FC1" w:rsidRPr="00AB26B3" w14:paraId="6C22D353" w14:textId="77777777">
        <w:trPr>
          <w:trHeight w:val="313"/>
          <w:jc w:val="center"/>
        </w:trPr>
        <w:tc>
          <w:tcPr>
            <w:tcW w:w="708" w:type="dxa"/>
            <w:shd w:val="clear" w:color="auto" w:fill="C6EFCE"/>
            <w:noWrap/>
          </w:tcPr>
          <w:p w14:paraId="3EB5B7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98</w:t>
            </w:r>
          </w:p>
        </w:tc>
        <w:tc>
          <w:tcPr>
            <w:tcW w:w="2866" w:type="dxa"/>
            <w:shd w:val="clear" w:color="auto" w:fill="C6EFCE"/>
            <w:noWrap/>
          </w:tcPr>
          <w:p w14:paraId="5C4B2B29" w14:textId="18F165D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16782_Prepojenie</w:t>
            </w:r>
            <w:r w:rsidR="00AB26B3" w:rsidRPr="00AB26B3">
              <w:rPr>
                <w:noProof/>
                <w:spacing w:val="-6"/>
                <w:lang w:val="sk-SK"/>
              </w:rPr>
              <w:t xml:space="preserve"> a </w:t>
            </w:r>
            <w:r w:rsidRPr="00AB26B3">
              <w:rPr>
                <w:noProof/>
                <w:spacing w:val="-6"/>
                <w:lang w:val="sk-SK"/>
              </w:rPr>
              <w:t>interoperabilita registrov, systémov</w:t>
            </w:r>
            <w:r w:rsidR="00AB26B3" w:rsidRPr="00AB26B3">
              <w:rPr>
                <w:noProof/>
                <w:spacing w:val="-6"/>
                <w:lang w:val="sk-SK"/>
              </w:rPr>
              <w:t xml:space="preserve"> a </w:t>
            </w:r>
            <w:r w:rsidRPr="00AB26B3">
              <w:rPr>
                <w:noProof/>
                <w:spacing w:val="-6"/>
                <w:lang w:val="sk-SK"/>
              </w:rPr>
              <w:t>služieb na výmenu údajov medzi vnútroštátnymi verejnými organizáciami</w:t>
            </w:r>
          </w:p>
        </w:tc>
        <w:tc>
          <w:tcPr>
            <w:tcW w:w="1105" w:type="dxa"/>
            <w:shd w:val="clear" w:color="auto" w:fill="C6EFCE"/>
            <w:noWrap/>
          </w:tcPr>
          <w:p w14:paraId="4AC3BE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83" w:type="dxa"/>
            <w:shd w:val="clear" w:color="auto" w:fill="C6EFCE"/>
            <w:noWrap/>
          </w:tcPr>
          <w:p w14:paraId="65BF5A12" w14:textId="77777777" w:rsidR="00AB26B3" w:rsidRPr="00AB26B3" w:rsidRDefault="00D64F26">
            <w:pPr>
              <w:pStyle w:val="P68B1DB1-Normal12"/>
              <w:spacing w:after="0" w:line="240" w:lineRule="auto"/>
              <w:rPr>
                <w:noProof/>
                <w:spacing w:val="-6"/>
                <w:lang w:val="sk-SK"/>
              </w:rPr>
            </w:pPr>
            <w:r w:rsidRPr="00AB26B3">
              <w:rPr>
                <w:noProof/>
                <w:spacing w:val="-6"/>
                <w:lang w:val="sk-SK"/>
              </w:rPr>
              <w:t>Regulačný základ pre prepojenie</w:t>
            </w:r>
            <w:r w:rsidR="00AB26B3" w:rsidRPr="00AB26B3">
              <w:rPr>
                <w:noProof/>
                <w:spacing w:val="-6"/>
                <w:lang w:val="sk-SK"/>
              </w:rPr>
              <w:t xml:space="preserve"> a</w:t>
            </w:r>
          </w:p>
          <w:p w14:paraId="5263AEF8" w14:textId="5C19D2F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interoperabilita registrov</w:t>
            </w:r>
          </w:p>
        </w:tc>
        <w:tc>
          <w:tcPr>
            <w:tcW w:w="1701" w:type="dxa"/>
            <w:shd w:val="clear" w:color="auto" w:fill="C6EFCE"/>
            <w:noWrap/>
          </w:tcPr>
          <w:p w14:paraId="553C4C24" w14:textId="371DDF2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regulačných zmien vrátane súvisiacich primárnych</w:t>
            </w:r>
            <w:r w:rsidR="00AB26B3" w:rsidRPr="00AB26B3">
              <w:rPr>
                <w:noProof/>
                <w:spacing w:val="-6"/>
                <w:lang w:val="sk-SK"/>
              </w:rPr>
              <w:t xml:space="preserve"> a </w:t>
            </w:r>
            <w:r w:rsidRPr="00AB26B3">
              <w:rPr>
                <w:noProof/>
                <w:spacing w:val="-6"/>
                <w:lang w:val="sk-SK"/>
              </w:rPr>
              <w:t>sekundárnych právnych predpisov na prepojenie</w:t>
            </w:r>
            <w:r w:rsidR="00AB26B3" w:rsidRPr="00AB26B3">
              <w:rPr>
                <w:noProof/>
                <w:spacing w:val="-6"/>
                <w:lang w:val="sk-SK"/>
              </w:rPr>
              <w:t xml:space="preserve"> a </w:t>
            </w:r>
            <w:r w:rsidRPr="00AB26B3">
              <w:rPr>
                <w:noProof/>
                <w:spacing w:val="-6"/>
                <w:lang w:val="sk-SK"/>
              </w:rPr>
              <w:t>interoperabilitu registrov</w:t>
            </w:r>
            <w:r w:rsidR="00AB26B3" w:rsidRPr="00AB26B3">
              <w:rPr>
                <w:noProof/>
                <w:spacing w:val="-6"/>
                <w:lang w:val="sk-SK"/>
              </w:rPr>
              <w:t xml:space="preserve"> a </w:t>
            </w:r>
            <w:r w:rsidRPr="00AB26B3">
              <w:rPr>
                <w:noProof/>
                <w:spacing w:val="-6"/>
                <w:lang w:val="sk-SK"/>
              </w:rPr>
              <w:t>služieb</w:t>
            </w:r>
          </w:p>
        </w:tc>
        <w:tc>
          <w:tcPr>
            <w:tcW w:w="992" w:type="dxa"/>
            <w:shd w:val="clear" w:color="auto" w:fill="C6EFCE"/>
            <w:noWrap/>
          </w:tcPr>
          <w:p w14:paraId="0541D81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tcPr>
          <w:p w14:paraId="4A0AFFF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230A36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tcPr>
          <w:p w14:paraId="59DB327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3" w:type="dxa"/>
            <w:shd w:val="clear" w:color="auto" w:fill="C6EFCE"/>
            <w:noWrap/>
          </w:tcPr>
          <w:p w14:paraId="492C9D8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989" w:type="dxa"/>
            <w:shd w:val="clear" w:color="auto" w:fill="C6EFCE"/>
            <w:noWrap/>
          </w:tcPr>
          <w:p w14:paraId="4FA4461E" w14:textId="71247755" w:rsidR="00302FC1" w:rsidRPr="00AB26B3" w:rsidRDefault="00D64F26">
            <w:pPr>
              <w:pStyle w:val="P68B1DB1-Normal12"/>
              <w:spacing w:before="120" w:after="120" w:line="240" w:lineRule="auto"/>
              <w:jc w:val="both"/>
              <w:rPr>
                <w:rFonts w:eastAsia="Times New Roman"/>
                <w:noProof/>
                <w:spacing w:val="-6"/>
                <w:lang w:val="sk-SK"/>
              </w:rPr>
            </w:pPr>
            <w:r w:rsidRPr="00AB26B3">
              <w:rPr>
                <w:noProof/>
                <w:spacing w:val="-6"/>
                <w:lang w:val="sk-SK"/>
              </w:rPr>
              <w:t>Prijatie regulačných zmien</w:t>
            </w:r>
            <w:r w:rsidR="00AB26B3" w:rsidRPr="00AB26B3">
              <w:rPr>
                <w:noProof/>
                <w:spacing w:val="-6"/>
                <w:lang w:val="sk-SK"/>
              </w:rPr>
              <w:t xml:space="preserve"> s </w:t>
            </w:r>
            <w:r w:rsidRPr="00AB26B3">
              <w:rPr>
                <w:noProof/>
                <w:spacing w:val="-6"/>
                <w:lang w:val="sk-SK"/>
              </w:rPr>
              <w:t>cieľom vytvoriť regulačný základ pre prepojenie</w:t>
            </w:r>
            <w:r w:rsidR="00AB26B3" w:rsidRPr="00AB26B3">
              <w:rPr>
                <w:noProof/>
                <w:spacing w:val="-6"/>
                <w:lang w:val="sk-SK"/>
              </w:rPr>
              <w:t xml:space="preserve"> a </w:t>
            </w:r>
            <w:r w:rsidRPr="00AB26B3">
              <w:rPr>
                <w:noProof/>
                <w:spacing w:val="-6"/>
                <w:lang w:val="sk-SK"/>
              </w:rPr>
              <w:t>interoperabilitu registrov</w:t>
            </w:r>
            <w:r w:rsidR="00AB26B3" w:rsidRPr="00AB26B3">
              <w:rPr>
                <w:noProof/>
                <w:spacing w:val="-6"/>
                <w:lang w:val="sk-SK"/>
              </w:rPr>
              <w:t xml:space="preserve"> a </w:t>
            </w:r>
            <w:r w:rsidRPr="00AB26B3">
              <w:rPr>
                <w:noProof/>
                <w:spacing w:val="-6"/>
                <w:lang w:val="sk-SK"/>
              </w:rPr>
              <w:t>služieb na výmenu údajov medzi vnútroštátnymi verejnými organizáciami</w:t>
            </w:r>
          </w:p>
        </w:tc>
      </w:tr>
      <w:tr w:rsidR="00302FC1" w:rsidRPr="00AB26B3" w14:paraId="78ED3571" w14:textId="77777777">
        <w:trPr>
          <w:trHeight w:val="313"/>
          <w:jc w:val="center"/>
        </w:trPr>
        <w:tc>
          <w:tcPr>
            <w:tcW w:w="708" w:type="dxa"/>
            <w:shd w:val="clear" w:color="auto" w:fill="C6EFCE"/>
            <w:noWrap/>
            <w:hideMark/>
          </w:tcPr>
          <w:p w14:paraId="0F11FC9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99</w:t>
            </w:r>
          </w:p>
        </w:tc>
        <w:tc>
          <w:tcPr>
            <w:tcW w:w="2866" w:type="dxa"/>
            <w:shd w:val="clear" w:color="auto" w:fill="C6EFCE"/>
            <w:noWrap/>
            <w:hideMark/>
          </w:tcPr>
          <w:p w14:paraId="40149E0D" w14:textId="428132B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16929_Smerom</w:t>
            </w:r>
            <w:r w:rsidR="00AB26B3" w:rsidRPr="00AB26B3">
              <w:rPr>
                <w:noProof/>
                <w:spacing w:val="-6"/>
                <w:lang w:val="sk-SK"/>
              </w:rPr>
              <w:t xml:space="preserve"> k </w:t>
            </w:r>
            <w:r w:rsidRPr="00AB26B3">
              <w:rPr>
                <w:noProof/>
                <w:spacing w:val="-6"/>
                <w:lang w:val="sk-SK"/>
              </w:rPr>
              <w:t>službám verejnej správy orientovaným na „zákazníkov“ prostredníctvom zjednodušenia</w:t>
            </w:r>
            <w:r w:rsidR="00AB26B3" w:rsidRPr="00AB26B3">
              <w:rPr>
                <w:noProof/>
                <w:spacing w:val="-6"/>
                <w:lang w:val="sk-SK"/>
              </w:rPr>
              <w:t xml:space="preserve"> a </w:t>
            </w:r>
            <w:r w:rsidRPr="00AB26B3">
              <w:rPr>
                <w:noProof/>
                <w:spacing w:val="-6"/>
                <w:lang w:val="sk-SK"/>
              </w:rPr>
              <w:t>zlepšenia procesov, zlepšenia systémov</w:t>
            </w:r>
            <w:r w:rsidR="00AB26B3" w:rsidRPr="00AB26B3">
              <w:rPr>
                <w:noProof/>
                <w:spacing w:val="-6"/>
                <w:lang w:val="sk-SK"/>
              </w:rPr>
              <w:t xml:space="preserve"> a </w:t>
            </w:r>
            <w:r w:rsidRPr="00AB26B3">
              <w:rPr>
                <w:noProof/>
                <w:spacing w:val="-6"/>
                <w:lang w:val="sk-SK"/>
              </w:rPr>
              <w:t>súladu</w:t>
            </w:r>
            <w:r w:rsidR="00AB26B3" w:rsidRPr="00AB26B3">
              <w:rPr>
                <w:noProof/>
                <w:spacing w:val="-6"/>
                <w:lang w:val="sk-SK"/>
              </w:rPr>
              <w:t xml:space="preserve"> s </w:t>
            </w:r>
            <w:r w:rsidRPr="00AB26B3">
              <w:rPr>
                <w:noProof/>
                <w:spacing w:val="-6"/>
                <w:lang w:val="sk-SK"/>
              </w:rPr>
              <w:t>európskymi stratégiami</w:t>
            </w:r>
            <w:r w:rsidR="00AB26B3" w:rsidRPr="00AB26B3">
              <w:rPr>
                <w:noProof/>
                <w:spacing w:val="-6"/>
                <w:lang w:val="sk-SK"/>
              </w:rPr>
              <w:t xml:space="preserve"> a </w:t>
            </w:r>
            <w:r w:rsidRPr="00AB26B3">
              <w:rPr>
                <w:noProof/>
                <w:spacing w:val="-6"/>
                <w:lang w:val="sk-SK"/>
              </w:rPr>
              <w:t>politikami</w:t>
            </w:r>
          </w:p>
        </w:tc>
        <w:tc>
          <w:tcPr>
            <w:tcW w:w="1105" w:type="dxa"/>
            <w:shd w:val="clear" w:color="auto" w:fill="C6EFCE"/>
            <w:noWrap/>
            <w:hideMark/>
          </w:tcPr>
          <w:p w14:paraId="7200271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83" w:type="dxa"/>
            <w:shd w:val="clear" w:color="auto" w:fill="C6EFCE"/>
            <w:noWrap/>
            <w:hideMark/>
          </w:tcPr>
          <w:p w14:paraId="0AE8C3C6"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Zníženie administratívnej záťaže vo verejnej správe </w:t>
            </w:r>
          </w:p>
        </w:tc>
        <w:tc>
          <w:tcPr>
            <w:tcW w:w="1701" w:type="dxa"/>
            <w:shd w:val="clear" w:color="auto" w:fill="C6EFCE"/>
            <w:noWrap/>
            <w:hideMark/>
          </w:tcPr>
          <w:p w14:paraId="1EAB46BE" w14:textId="648DC9CA" w:rsidR="00302FC1" w:rsidRPr="00AB26B3" w:rsidRDefault="00D64F26">
            <w:pPr>
              <w:pStyle w:val="P68B1DB1-Normal12"/>
              <w:spacing w:after="0" w:line="240" w:lineRule="auto"/>
              <w:rPr>
                <w:noProof/>
                <w:spacing w:val="-6"/>
                <w:lang w:val="sk-SK"/>
              </w:rPr>
            </w:pPr>
            <w:r w:rsidRPr="00AB26B3">
              <w:rPr>
                <w:noProof/>
                <w:spacing w:val="-6"/>
                <w:lang w:val="sk-SK"/>
              </w:rPr>
              <w:t>Realizácia opatrení na monitorovanie</w:t>
            </w:r>
            <w:r w:rsidR="00AB26B3" w:rsidRPr="00AB26B3">
              <w:rPr>
                <w:noProof/>
                <w:spacing w:val="-6"/>
                <w:lang w:val="sk-SK"/>
              </w:rPr>
              <w:t xml:space="preserve"> a </w:t>
            </w:r>
            <w:r w:rsidRPr="00AB26B3">
              <w:rPr>
                <w:noProof/>
                <w:spacing w:val="-6"/>
                <w:lang w:val="sk-SK"/>
              </w:rPr>
              <w:t>meranie administratívnej záťaže</w:t>
            </w:r>
            <w:r w:rsidR="00AB26B3" w:rsidRPr="00AB26B3">
              <w:rPr>
                <w:noProof/>
                <w:spacing w:val="-6"/>
                <w:lang w:val="sk-SK"/>
              </w:rPr>
              <w:t xml:space="preserve"> a </w:t>
            </w:r>
            <w:r w:rsidRPr="00AB26B3">
              <w:rPr>
                <w:noProof/>
                <w:spacing w:val="-6"/>
                <w:lang w:val="sk-SK"/>
              </w:rPr>
              <w:t>na podporu procesu posudzovania regulačného vplyvu</w:t>
            </w:r>
            <w:r w:rsidR="00AB26B3" w:rsidRPr="00AB26B3">
              <w:rPr>
                <w:noProof/>
                <w:spacing w:val="-6"/>
                <w:lang w:val="sk-SK"/>
              </w:rPr>
              <w:t xml:space="preserve"> a </w:t>
            </w:r>
            <w:r w:rsidRPr="00AB26B3">
              <w:rPr>
                <w:noProof/>
                <w:spacing w:val="-6"/>
                <w:lang w:val="sk-SK"/>
              </w:rPr>
              <w:t>ustanovenie</w:t>
            </w:r>
            <w:r w:rsidR="00AB26B3" w:rsidRPr="00AB26B3">
              <w:rPr>
                <w:noProof/>
                <w:spacing w:val="-6"/>
                <w:lang w:val="sk-SK"/>
              </w:rPr>
              <w:t xml:space="preserve"> v </w:t>
            </w:r>
            <w:r w:rsidRPr="00AB26B3">
              <w:rPr>
                <w:noProof/>
                <w:spacing w:val="-6"/>
                <w:lang w:val="sk-SK"/>
              </w:rPr>
              <w:t>Jednotnom zákone</w:t>
            </w:r>
            <w:r w:rsidR="00AB26B3" w:rsidRPr="00AB26B3">
              <w:rPr>
                <w:noProof/>
                <w:spacing w:val="-6"/>
                <w:lang w:val="sk-SK"/>
              </w:rPr>
              <w:t xml:space="preserve"> o </w:t>
            </w:r>
            <w:r w:rsidRPr="00AB26B3">
              <w:rPr>
                <w:noProof/>
                <w:spacing w:val="-6"/>
                <w:lang w:val="sk-SK"/>
              </w:rPr>
              <w:t>miestnej správe,</w:t>
            </w:r>
            <w:r w:rsidR="00AB26B3" w:rsidRPr="00AB26B3">
              <w:rPr>
                <w:noProof/>
                <w:spacing w:val="-6"/>
                <w:lang w:val="sk-SK"/>
              </w:rPr>
              <w:t xml:space="preserve"> v </w:t>
            </w:r>
            <w:r w:rsidRPr="00AB26B3">
              <w:rPr>
                <w:noProof/>
                <w:spacing w:val="-6"/>
                <w:lang w:val="sk-SK"/>
              </w:rPr>
              <w:t xml:space="preserve">ktorom sa uvádza nadobudnutie účinnosti  </w:t>
            </w:r>
          </w:p>
        </w:tc>
        <w:tc>
          <w:tcPr>
            <w:tcW w:w="992" w:type="dxa"/>
            <w:shd w:val="clear" w:color="auto" w:fill="C6EFCE"/>
            <w:noWrap/>
            <w:hideMark/>
          </w:tcPr>
          <w:p w14:paraId="2BC5A94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tcPr>
          <w:p w14:paraId="58FB38B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hideMark/>
          </w:tcPr>
          <w:p w14:paraId="38BAD7D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tcPr>
          <w:p w14:paraId="72F6F80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3" w:type="dxa"/>
            <w:shd w:val="clear" w:color="auto" w:fill="C6EFCE"/>
            <w:noWrap/>
            <w:hideMark/>
          </w:tcPr>
          <w:p w14:paraId="0796ACE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89" w:type="dxa"/>
            <w:shd w:val="clear" w:color="auto" w:fill="C6EFCE"/>
            <w:noWrap/>
            <w:hideMark/>
          </w:tcPr>
          <w:p w14:paraId="7B1EFD2C" w14:textId="6805A2F6" w:rsidR="00302FC1" w:rsidRPr="00AB26B3" w:rsidRDefault="00D64F26">
            <w:pPr>
              <w:pStyle w:val="P68B1DB1-ListParagraph19"/>
              <w:numPr>
                <w:ilvl w:val="0"/>
                <w:numId w:val="20"/>
              </w:numPr>
              <w:spacing w:after="0" w:line="240" w:lineRule="auto"/>
              <w:ind w:left="203" w:hanging="203"/>
              <w:rPr>
                <w:noProof/>
                <w:spacing w:val="-6"/>
                <w:lang w:val="sk-SK"/>
              </w:rPr>
            </w:pPr>
            <w:r w:rsidRPr="00AB26B3">
              <w:rPr>
                <w:noProof/>
                <w:spacing w:val="-6"/>
                <w:lang w:val="sk-SK"/>
              </w:rPr>
              <w:t>Nadobudnutie účinnosti kapitol jednotného zákonníka</w:t>
            </w:r>
            <w:r w:rsidR="00AB26B3" w:rsidRPr="00AB26B3">
              <w:rPr>
                <w:noProof/>
                <w:spacing w:val="-6"/>
                <w:lang w:val="sk-SK"/>
              </w:rPr>
              <w:t xml:space="preserve"> o </w:t>
            </w:r>
            <w:r w:rsidRPr="00AB26B3">
              <w:rPr>
                <w:noProof/>
                <w:spacing w:val="-6"/>
                <w:lang w:val="sk-SK"/>
              </w:rPr>
              <w:t>miestnej správe týkajúcich sa regulácie organizačných otázok</w:t>
            </w:r>
            <w:r w:rsidR="00AB26B3" w:rsidRPr="00AB26B3">
              <w:rPr>
                <w:noProof/>
                <w:spacing w:val="-6"/>
                <w:lang w:val="sk-SK"/>
              </w:rPr>
              <w:t xml:space="preserve"> a </w:t>
            </w:r>
            <w:r w:rsidRPr="00AB26B3">
              <w:rPr>
                <w:noProof/>
                <w:spacing w:val="-6"/>
                <w:lang w:val="sk-SK"/>
              </w:rPr>
              <w:t>regulácie rámca finančnej operácie</w:t>
            </w:r>
            <w:r w:rsidR="00AB26B3" w:rsidRPr="00AB26B3">
              <w:rPr>
                <w:noProof/>
                <w:spacing w:val="-6"/>
                <w:lang w:val="sk-SK"/>
              </w:rPr>
              <w:t xml:space="preserve"> a </w:t>
            </w:r>
            <w:r w:rsidRPr="00AB26B3">
              <w:rPr>
                <w:noProof/>
                <w:spacing w:val="-6"/>
                <w:lang w:val="sk-SK"/>
              </w:rPr>
              <w:t>riadenia.</w:t>
            </w:r>
          </w:p>
          <w:p w14:paraId="6EE36BC1" w14:textId="14792035" w:rsidR="00302FC1" w:rsidRPr="00AB26B3" w:rsidRDefault="00D64F26">
            <w:pPr>
              <w:pStyle w:val="P68B1DB1-ListParagraph19"/>
              <w:numPr>
                <w:ilvl w:val="0"/>
                <w:numId w:val="19"/>
              </w:numPr>
              <w:spacing w:after="0" w:line="240" w:lineRule="auto"/>
              <w:ind w:left="203" w:hanging="203"/>
              <w:rPr>
                <w:noProof/>
                <w:spacing w:val="-6"/>
                <w:lang w:val="sk-SK"/>
              </w:rPr>
            </w:pPr>
            <w:r w:rsidRPr="00AB26B3">
              <w:rPr>
                <w:noProof/>
                <w:spacing w:val="-6"/>
                <w:lang w:val="sk-SK"/>
              </w:rPr>
              <w:t>Štandardizácia metodiky</w:t>
            </w:r>
            <w:r w:rsidR="00AB26B3" w:rsidRPr="00AB26B3">
              <w:rPr>
                <w:noProof/>
                <w:spacing w:val="-6"/>
                <w:lang w:val="sk-SK"/>
              </w:rPr>
              <w:t xml:space="preserve"> a </w:t>
            </w:r>
            <w:r w:rsidRPr="00AB26B3">
              <w:rPr>
                <w:noProof/>
                <w:spacing w:val="-6"/>
                <w:lang w:val="sk-SK"/>
              </w:rPr>
              <w:t>postupov merania administratívnej záťaže.</w:t>
            </w:r>
          </w:p>
          <w:p w14:paraId="25A9C52C" w14:textId="77777777" w:rsidR="00302FC1" w:rsidRPr="00AB26B3" w:rsidRDefault="00D64F26">
            <w:pPr>
              <w:pStyle w:val="P68B1DB1-ListParagraph19"/>
              <w:numPr>
                <w:ilvl w:val="0"/>
                <w:numId w:val="19"/>
              </w:numPr>
              <w:ind w:left="203" w:hanging="203"/>
              <w:rPr>
                <w:noProof/>
                <w:spacing w:val="-6"/>
                <w:lang w:val="sk-SK"/>
              </w:rPr>
            </w:pPr>
            <w:r w:rsidRPr="00AB26B3">
              <w:rPr>
                <w:noProof/>
                <w:spacing w:val="-6"/>
                <w:lang w:val="sk-SK"/>
              </w:rPr>
              <w:t>Vytvorenie indexu merania byrokracie (BMI).</w:t>
            </w:r>
          </w:p>
          <w:p w14:paraId="7CFDFEC6" w14:textId="3E790656" w:rsidR="00302FC1" w:rsidRPr="00AB26B3" w:rsidRDefault="00D64F26">
            <w:pPr>
              <w:pStyle w:val="P68B1DB1-ListParagraph19"/>
              <w:numPr>
                <w:ilvl w:val="0"/>
                <w:numId w:val="19"/>
              </w:numPr>
              <w:spacing w:after="0" w:line="240" w:lineRule="auto"/>
              <w:ind w:left="203" w:hanging="203"/>
              <w:rPr>
                <w:noProof/>
                <w:spacing w:val="-6"/>
                <w:lang w:val="sk-SK"/>
              </w:rPr>
            </w:pPr>
            <w:r w:rsidRPr="00AB26B3">
              <w:rPr>
                <w:noProof/>
                <w:spacing w:val="-6"/>
                <w:lang w:val="sk-SK"/>
              </w:rPr>
              <w:t>Vytvorenie mechanizmu na podporu analýzy vplyvu regulácie.</w:t>
            </w:r>
          </w:p>
          <w:p w14:paraId="3723F14F" w14:textId="77777777" w:rsidR="00302FC1" w:rsidRPr="00AB26B3" w:rsidRDefault="00D64F26">
            <w:pPr>
              <w:pStyle w:val="P68B1DB1-ListParagraph19"/>
              <w:numPr>
                <w:ilvl w:val="0"/>
                <w:numId w:val="19"/>
              </w:numPr>
              <w:spacing w:after="0" w:line="240" w:lineRule="auto"/>
              <w:ind w:left="203" w:hanging="203"/>
              <w:rPr>
                <w:rFonts w:eastAsia="Times New Roman"/>
                <w:noProof/>
                <w:spacing w:val="-6"/>
                <w:lang w:val="sk-SK"/>
              </w:rPr>
            </w:pPr>
            <w:r w:rsidRPr="00AB26B3">
              <w:rPr>
                <w:noProof/>
                <w:spacing w:val="-6"/>
                <w:lang w:val="sk-SK"/>
              </w:rPr>
              <w:t>Uverejnenie meraní administratívnej záťaže pomocou štandardného modelu nákladov.</w:t>
            </w:r>
          </w:p>
        </w:tc>
      </w:tr>
    </w:tbl>
    <w:p w14:paraId="5D9E408F" w14:textId="77777777" w:rsidR="00302FC1" w:rsidRPr="00AB26B3" w:rsidRDefault="00302FC1">
      <w:pPr>
        <w:spacing w:after="0" w:line="240" w:lineRule="auto"/>
        <w:rPr>
          <w:rFonts w:ascii="Times New Roman" w:hAnsi="Times New Roman"/>
          <w:noProof/>
          <w:color w:val="365F91"/>
          <w:spacing w:val="-6"/>
          <w:sz w:val="24"/>
          <w:lang w:val="sk-SK"/>
        </w:rPr>
        <w:sectPr w:rsidR="00302FC1" w:rsidRPr="00AB26B3" w:rsidSect="00315FC0">
          <w:headerReference w:type="even" r:id="rId122"/>
          <w:headerReference w:type="default" r:id="rId123"/>
          <w:footerReference w:type="even" r:id="rId124"/>
          <w:footerReference w:type="default" r:id="rId125"/>
          <w:headerReference w:type="first" r:id="rId126"/>
          <w:footerReference w:type="first" r:id="rId127"/>
          <w:pgSz w:w="16839" w:h="11907" w:orient="landscape"/>
          <w:pgMar w:top="720" w:right="720" w:bottom="720" w:left="720" w:header="709" w:footer="709" w:gutter="0"/>
          <w:cols w:space="720"/>
          <w:docGrid w:linePitch="360"/>
        </w:sectPr>
      </w:pPr>
    </w:p>
    <w:p w14:paraId="04CA1430" w14:textId="4986BF8C" w:rsidR="00302FC1" w:rsidRPr="00AB26B3" w:rsidRDefault="00D64F26">
      <w:pPr>
        <w:pStyle w:val="P68B1DB1-Normal9"/>
        <w:spacing w:after="0" w:line="240" w:lineRule="auto"/>
        <w:rPr>
          <w:rFonts w:ascii="Times New Roman" w:hAnsi="Times New Roman"/>
          <w:noProof/>
          <w:spacing w:val="-6"/>
          <w:lang w:val="sk-SK"/>
        </w:rPr>
      </w:pPr>
      <w:r w:rsidRPr="00AB26B3">
        <w:rPr>
          <w:rFonts w:ascii="Times New Roman" w:hAnsi="Times New Roman"/>
          <w:noProof/>
          <w:spacing w:val="-6"/>
          <w:lang w:val="sk-SK"/>
        </w:rPr>
        <w:t>Skupina 9: Iniciatívy súvisiace</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posilnenými bezpečnými digitálnymi službami orientovanými na zákazníka, ktoré využívajú interoperabilné informačné systémy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politiky otvoreného prístupu</w:t>
      </w:r>
      <w:r w:rsidR="00AB26B3" w:rsidRPr="00AB26B3">
        <w:rPr>
          <w:rFonts w:ascii="Times New Roman" w:hAnsi="Times New Roman"/>
          <w:noProof/>
          <w:spacing w:val="-6"/>
          <w:lang w:val="sk-SK"/>
        </w:rPr>
        <w:t xml:space="preserve"> k </w:t>
      </w:r>
      <w:r w:rsidRPr="00AB26B3">
        <w:rPr>
          <w:rFonts w:ascii="Times New Roman" w:hAnsi="Times New Roman"/>
          <w:noProof/>
          <w:spacing w:val="-6"/>
          <w:lang w:val="sk-SK"/>
        </w:rPr>
        <w:t>údajom</w:t>
      </w:r>
    </w:p>
    <w:p w14:paraId="57752923" w14:textId="77777777" w:rsidR="00302FC1" w:rsidRPr="00AB26B3" w:rsidRDefault="00D64F26">
      <w:pPr>
        <w:pStyle w:val="P68B1DB1-Normal5"/>
        <w:spacing w:before="120" w:after="120" w:line="240" w:lineRule="auto"/>
        <w:ind w:left="709"/>
        <w:rPr>
          <w:rFonts w:cs="Times New Roman"/>
          <w:noProof/>
          <w:spacing w:val="-6"/>
          <w:lang w:val="sk-SK"/>
        </w:rPr>
      </w:pPr>
      <w:r w:rsidRPr="00AB26B3">
        <w:rPr>
          <w:noProof/>
          <w:spacing w:val="-6"/>
          <w:lang w:val="sk-SK"/>
        </w:rPr>
        <w:t>Do tejto skupiny patria tieto opatrenia:</w:t>
      </w:r>
    </w:p>
    <w:p w14:paraId="44B80A4B" w14:textId="77777777" w:rsidR="00302FC1" w:rsidRPr="00AB26B3" w:rsidRDefault="00D64F26">
      <w:pPr>
        <w:spacing w:before="120" w:after="120" w:line="240" w:lineRule="auto"/>
        <w:ind w:left="709"/>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Riadenie vzťahov so zákazníkmi pre verejnú správu (ID: 16810)</w:t>
      </w:r>
    </w:p>
    <w:p w14:paraId="636FAC45" w14:textId="77777777" w:rsidR="00302FC1" w:rsidRPr="00AB26B3" w:rsidRDefault="00D64F26">
      <w:pPr>
        <w:spacing w:before="120" w:after="120" w:line="240" w:lineRule="auto"/>
        <w:ind w:left="709"/>
        <w:rPr>
          <w:rFonts w:ascii="Times New Roman" w:hAnsi="Times New Roman" w:cs="Times New Roman"/>
          <w:noProof/>
          <w:spacing w:val="-6"/>
          <w:sz w:val="24"/>
          <w:szCs w:val="24"/>
          <w:lang w:val="sk-SK"/>
        </w:rPr>
      </w:pPr>
      <w:r w:rsidRPr="00AB26B3">
        <w:rPr>
          <w:rFonts w:ascii="Times New Roman" w:hAnsi="Times New Roman"/>
          <w:noProof/>
          <w:spacing w:val="-6"/>
          <w:sz w:val="24"/>
          <w:szCs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szCs w:val="24"/>
          <w:lang w:val="sk-SK"/>
        </w:rPr>
        <w:t>Modernizácia jednotných kontaktných miest verejnej správy (ID: 16780)</w:t>
      </w:r>
    </w:p>
    <w:p w14:paraId="4E30C8C7" w14:textId="77777777" w:rsidR="00302FC1" w:rsidRPr="00AB26B3" w:rsidRDefault="00D64F26">
      <w:pPr>
        <w:spacing w:before="120" w:after="120" w:line="240" w:lineRule="auto"/>
        <w:ind w:left="709"/>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Nový systém verejného obstarávania (ID: 16736)</w:t>
      </w:r>
    </w:p>
    <w:p w14:paraId="409361D8" w14:textId="77777777" w:rsidR="00302FC1" w:rsidRPr="00AB26B3" w:rsidRDefault="00D64F26">
      <w:pPr>
        <w:spacing w:before="120" w:after="120" w:line="240" w:lineRule="auto"/>
        <w:ind w:left="709"/>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Digitálna transformácia ministerstva zahraničných vecí (ID: 16742)</w:t>
      </w:r>
    </w:p>
    <w:p w14:paraId="711D765B" w14:textId="77777777" w:rsidR="00302FC1" w:rsidRPr="00AB26B3" w:rsidRDefault="00D64F26">
      <w:pPr>
        <w:spacing w:before="120" w:after="120" w:line="240" w:lineRule="auto"/>
        <w:ind w:left="709"/>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Programy na zlepšenie digitálnych zručností brancov (ID: 16826)</w:t>
      </w:r>
    </w:p>
    <w:p w14:paraId="12526790" w14:textId="77777777" w:rsidR="00302FC1" w:rsidRPr="00AB26B3" w:rsidRDefault="00D64F26">
      <w:pPr>
        <w:spacing w:before="120" w:after="120" w:line="240" w:lineRule="auto"/>
        <w:ind w:left="709"/>
        <w:rPr>
          <w:rFonts w:ascii="Times New Roman" w:hAnsi="Times New Roman" w:cs="Times New Roman"/>
          <w:noProof/>
          <w:spacing w:val="-6"/>
          <w:sz w:val="24"/>
          <w:szCs w:val="24"/>
          <w:lang w:val="sk-SK"/>
        </w:rPr>
      </w:pPr>
      <w:r w:rsidRPr="00AB26B3">
        <w:rPr>
          <w:rFonts w:ascii="Times New Roman" w:hAnsi="Times New Roman"/>
          <w:noProof/>
          <w:spacing w:val="-6"/>
          <w:sz w:val="24"/>
          <w:szCs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szCs w:val="24"/>
          <w:lang w:val="sk-SK"/>
        </w:rPr>
        <w:t>Digitálna transformácia gréckej národnej organizácie cestovného ruchu (ID: 16791)</w:t>
      </w:r>
    </w:p>
    <w:p w14:paraId="7E5BC55E" w14:textId="33E0B261" w:rsidR="00302FC1" w:rsidRPr="00AB26B3" w:rsidRDefault="00D64F26">
      <w:pPr>
        <w:spacing w:before="120" w:after="120" w:line="240" w:lineRule="auto"/>
        <w:ind w:left="709"/>
        <w:rPr>
          <w:rFonts w:ascii="Times New Roman" w:hAnsi="Times New Roman" w:cs="Times New Roman"/>
          <w:noProof/>
          <w:spacing w:val="-6"/>
          <w:sz w:val="24"/>
          <w:szCs w:val="24"/>
          <w:lang w:val="sk-SK"/>
        </w:rPr>
      </w:pPr>
      <w:r w:rsidRPr="00AB26B3">
        <w:rPr>
          <w:rFonts w:ascii="Times New Roman" w:hAnsi="Times New Roman"/>
          <w:noProof/>
          <w:spacing w:val="-6"/>
          <w:sz w:val="24"/>
          <w:szCs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szCs w:val="24"/>
          <w:lang w:val="sk-SK"/>
        </w:rPr>
        <w:t>Stratégia kybernetickej bezpečnosti</w:t>
      </w:r>
      <w:r w:rsidR="00AB26B3" w:rsidRPr="00AB26B3">
        <w:rPr>
          <w:rFonts w:ascii="Times New Roman" w:hAnsi="Times New Roman"/>
          <w:noProof/>
          <w:spacing w:val="-6"/>
          <w:sz w:val="24"/>
          <w:szCs w:val="24"/>
          <w:lang w:val="sk-SK"/>
        </w:rPr>
        <w:t xml:space="preserve"> a </w:t>
      </w:r>
      <w:r w:rsidRPr="00AB26B3">
        <w:rPr>
          <w:rFonts w:ascii="Times New Roman" w:hAnsi="Times New Roman"/>
          <w:noProof/>
          <w:spacing w:val="-6"/>
          <w:sz w:val="24"/>
          <w:szCs w:val="24"/>
          <w:lang w:val="sk-SK"/>
        </w:rPr>
        <w:t>národné operačné centrum kybernetickej bezpečnosti (ID: 16823)</w:t>
      </w:r>
    </w:p>
    <w:p w14:paraId="21AFA0FC" w14:textId="711A6EFA" w:rsidR="00302FC1" w:rsidRPr="00AB26B3" w:rsidRDefault="00D64F26">
      <w:pPr>
        <w:spacing w:before="120" w:after="120" w:line="240" w:lineRule="auto"/>
        <w:ind w:left="709"/>
        <w:rPr>
          <w:rFonts w:ascii="Times New Roman" w:hAnsi="Times New Roman" w:cs="Times New Roman"/>
          <w:noProof/>
          <w:spacing w:val="-6"/>
          <w:sz w:val="24"/>
          <w:szCs w:val="24"/>
          <w:lang w:val="sk-SK"/>
        </w:rPr>
      </w:pPr>
      <w:r w:rsidRPr="00AB26B3">
        <w:rPr>
          <w:rFonts w:ascii="Times New Roman" w:hAnsi="Times New Roman"/>
          <w:noProof/>
          <w:spacing w:val="-6"/>
          <w:sz w:val="24"/>
          <w:szCs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szCs w:val="24"/>
          <w:lang w:val="sk-SK"/>
        </w:rPr>
        <w:t>Webové služby</w:t>
      </w:r>
      <w:r w:rsidR="00AB26B3" w:rsidRPr="00AB26B3">
        <w:rPr>
          <w:rFonts w:ascii="Times New Roman" w:hAnsi="Times New Roman"/>
          <w:noProof/>
          <w:spacing w:val="-6"/>
          <w:sz w:val="24"/>
          <w:szCs w:val="24"/>
          <w:lang w:val="sk-SK"/>
        </w:rPr>
        <w:t xml:space="preserve"> a </w:t>
      </w:r>
      <w:r w:rsidRPr="00AB26B3">
        <w:rPr>
          <w:rFonts w:ascii="Times New Roman" w:hAnsi="Times New Roman"/>
          <w:noProof/>
          <w:spacing w:val="-6"/>
          <w:sz w:val="24"/>
          <w:szCs w:val="24"/>
          <w:lang w:val="sk-SK"/>
        </w:rPr>
        <w:t>centrum interoperability novej generácie (KED) (ID: 16779)</w:t>
      </w:r>
    </w:p>
    <w:p w14:paraId="69BFA482" w14:textId="77777777" w:rsidR="00302FC1" w:rsidRPr="00AB26B3" w:rsidRDefault="00D64F26">
      <w:pPr>
        <w:spacing w:before="120" w:after="120" w:line="240" w:lineRule="auto"/>
        <w:ind w:left="709"/>
        <w:rPr>
          <w:rFonts w:ascii="Times New Roman" w:hAnsi="Times New Roman" w:cs="Times New Roman"/>
          <w:noProof/>
          <w:spacing w:val="-6"/>
          <w:sz w:val="24"/>
          <w:lang w:val="sk-SK"/>
        </w:rPr>
      </w:pPr>
      <w:r w:rsidRPr="00AB26B3">
        <w:rPr>
          <w:rFonts w:ascii="Times New Roman" w:hAnsi="Times New Roman"/>
          <w:noProof/>
          <w:spacing w:val="-6"/>
          <w:sz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Registre E (identifikačné číslo: 16824)</w:t>
      </w:r>
    </w:p>
    <w:p w14:paraId="2882434B" w14:textId="79BE331F" w:rsidR="00302FC1" w:rsidRPr="00AB26B3" w:rsidRDefault="00D64F26">
      <w:pPr>
        <w:spacing w:before="120" w:after="120" w:line="240" w:lineRule="auto"/>
        <w:ind w:left="709"/>
        <w:rPr>
          <w:rFonts w:ascii="Times New Roman" w:hAnsi="Times New Roman"/>
          <w:noProof/>
          <w:spacing w:val="-6"/>
          <w:sz w:val="24"/>
          <w:lang w:val="sk-SK"/>
        </w:rPr>
      </w:pPr>
      <w:r w:rsidRPr="00AB26B3">
        <w:rPr>
          <w:rFonts w:ascii="Times New Roman" w:hAnsi="Times New Roman"/>
          <w:noProof/>
          <w:spacing w:val="-6"/>
          <w:sz w:val="24"/>
          <w:szCs w:val="24"/>
          <w:lang w:val="sk-SK"/>
        </w:rPr>
        <w:t>●</w:t>
      </w:r>
      <w:r w:rsidRPr="00AB26B3">
        <w:rPr>
          <w:rFonts w:ascii="Times New Roman" w:hAnsi="Times New Roman"/>
          <w:noProof/>
          <w:spacing w:val="-6"/>
          <w:lang w:val="sk-SK"/>
        </w:rPr>
        <w:t xml:space="preserve"> </w:t>
      </w:r>
      <w:r w:rsidRPr="00AB26B3">
        <w:rPr>
          <w:rFonts w:ascii="Times New Roman" w:hAnsi="Times New Roman"/>
          <w:noProof/>
          <w:spacing w:val="-6"/>
          <w:sz w:val="24"/>
          <w:lang w:val="sk-SK"/>
        </w:rPr>
        <w:t>Centrálny systém správy dokumentov (ID: 16738)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18"/>
        <w:gridCol w:w="1165"/>
        <w:gridCol w:w="1507"/>
        <w:gridCol w:w="2215"/>
        <w:gridCol w:w="858"/>
        <w:gridCol w:w="923"/>
        <w:gridCol w:w="726"/>
        <w:gridCol w:w="1103"/>
        <w:gridCol w:w="630"/>
        <w:gridCol w:w="3664"/>
      </w:tblGrid>
      <w:tr w:rsidR="00302FC1" w:rsidRPr="00AB26B3" w14:paraId="4BB46508" w14:textId="77777777">
        <w:trPr>
          <w:trHeight w:val="939"/>
          <w:tblHeader/>
          <w:jc w:val="center"/>
        </w:trPr>
        <w:tc>
          <w:tcPr>
            <w:tcW w:w="817" w:type="dxa"/>
            <w:vMerge w:val="restart"/>
            <w:shd w:val="clear" w:color="auto" w:fill="BDD7EE"/>
            <w:vAlign w:val="center"/>
            <w:hideMark/>
          </w:tcPr>
          <w:p w14:paraId="285C52E3" w14:textId="17584539"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2051" w:type="dxa"/>
            <w:vMerge w:val="restart"/>
            <w:shd w:val="clear" w:color="auto" w:fill="BDD7EE"/>
            <w:vAlign w:val="center"/>
            <w:hideMark/>
          </w:tcPr>
          <w:p w14:paraId="78E4A29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82" w:type="dxa"/>
            <w:vMerge w:val="restart"/>
            <w:shd w:val="clear" w:color="auto" w:fill="BDD7EE"/>
            <w:vAlign w:val="center"/>
            <w:hideMark/>
          </w:tcPr>
          <w:p w14:paraId="763F13D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530" w:type="dxa"/>
            <w:vMerge w:val="restart"/>
            <w:shd w:val="clear" w:color="auto" w:fill="BDD7EE"/>
            <w:vAlign w:val="center"/>
            <w:hideMark/>
          </w:tcPr>
          <w:p w14:paraId="6CE8D89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2251" w:type="dxa"/>
            <w:vMerge w:val="restart"/>
            <w:shd w:val="clear" w:color="auto" w:fill="BDD7EE"/>
            <w:vAlign w:val="center"/>
            <w:hideMark/>
          </w:tcPr>
          <w:p w14:paraId="3BC96588" w14:textId="706DAFE7" w:rsidR="00302FC1" w:rsidRPr="00AB26B3" w:rsidRDefault="00D64F26">
            <w:pPr>
              <w:pStyle w:val="P68B1DB1-Normal18"/>
              <w:spacing w:after="0" w:line="240" w:lineRule="auto"/>
              <w:jc w:val="center"/>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 xml:space="preserve">Kvalitatívne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 xml:space="preserve"> (pre míľniky)</w:t>
            </w:r>
          </w:p>
        </w:tc>
        <w:tc>
          <w:tcPr>
            <w:tcW w:w="2541" w:type="dxa"/>
            <w:gridSpan w:val="3"/>
            <w:shd w:val="clear" w:color="auto" w:fill="BDD7EE"/>
            <w:vAlign w:val="center"/>
            <w:hideMark/>
          </w:tcPr>
          <w:p w14:paraId="3848DC10" w14:textId="68B14B1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516" w:type="dxa"/>
            <w:gridSpan w:val="2"/>
            <w:shd w:val="clear" w:color="auto" w:fill="BDD7EE"/>
            <w:vAlign w:val="center"/>
            <w:hideMark/>
          </w:tcPr>
          <w:p w14:paraId="5E2F1A7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727" w:type="dxa"/>
            <w:vMerge w:val="restart"/>
            <w:shd w:val="clear" w:color="auto" w:fill="BDD7EE"/>
            <w:vAlign w:val="center"/>
            <w:hideMark/>
          </w:tcPr>
          <w:p w14:paraId="501834F4" w14:textId="5E08E53B"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24AF463" w14:textId="77777777">
        <w:trPr>
          <w:trHeight w:val="462"/>
          <w:tblHeader/>
          <w:jc w:val="center"/>
        </w:trPr>
        <w:tc>
          <w:tcPr>
            <w:tcW w:w="817" w:type="dxa"/>
            <w:vMerge/>
            <w:vAlign w:val="center"/>
            <w:hideMark/>
          </w:tcPr>
          <w:p w14:paraId="6294CF6D"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2051" w:type="dxa"/>
            <w:vMerge/>
            <w:vAlign w:val="center"/>
            <w:hideMark/>
          </w:tcPr>
          <w:p w14:paraId="01E67B8B"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182" w:type="dxa"/>
            <w:vMerge/>
            <w:vAlign w:val="center"/>
            <w:hideMark/>
          </w:tcPr>
          <w:p w14:paraId="021E290A"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530" w:type="dxa"/>
            <w:vMerge/>
            <w:vAlign w:val="center"/>
            <w:hideMark/>
          </w:tcPr>
          <w:p w14:paraId="5A19182F"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2251" w:type="dxa"/>
            <w:vMerge/>
            <w:vAlign w:val="center"/>
            <w:hideMark/>
          </w:tcPr>
          <w:p w14:paraId="0FC1B2B7"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870" w:type="dxa"/>
            <w:shd w:val="clear" w:color="auto" w:fill="BDD7EE"/>
            <w:vAlign w:val="center"/>
            <w:hideMark/>
          </w:tcPr>
          <w:p w14:paraId="14F1DB0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36" w:type="dxa"/>
            <w:shd w:val="clear" w:color="auto" w:fill="BDD7EE"/>
            <w:vAlign w:val="center"/>
            <w:hideMark/>
          </w:tcPr>
          <w:p w14:paraId="1D6CF03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735" w:type="dxa"/>
            <w:shd w:val="clear" w:color="auto" w:fill="BDD7EE"/>
            <w:vAlign w:val="center"/>
            <w:hideMark/>
          </w:tcPr>
          <w:p w14:paraId="77474E4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79" w:type="dxa"/>
            <w:shd w:val="clear" w:color="auto" w:fill="BDD7EE"/>
            <w:vAlign w:val="center"/>
            <w:hideMark/>
          </w:tcPr>
          <w:p w14:paraId="0594039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637" w:type="dxa"/>
            <w:shd w:val="clear" w:color="auto" w:fill="BDD7EE"/>
            <w:vAlign w:val="center"/>
            <w:hideMark/>
          </w:tcPr>
          <w:p w14:paraId="1A5B92D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727" w:type="dxa"/>
            <w:vMerge/>
            <w:vAlign w:val="center"/>
            <w:hideMark/>
          </w:tcPr>
          <w:p w14:paraId="461D6F7D"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r>
      <w:tr w:rsidR="00302FC1" w:rsidRPr="00AB26B3" w14:paraId="7801A812" w14:textId="77777777">
        <w:trPr>
          <w:trHeight w:val="313"/>
          <w:jc w:val="center"/>
        </w:trPr>
        <w:tc>
          <w:tcPr>
            <w:tcW w:w="817" w:type="dxa"/>
            <w:shd w:val="clear" w:color="auto" w:fill="C6EFCE"/>
            <w:noWrap/>
          </w:tcPr>
          <w:p w14:paraId="408E5BF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100</w:t>
            </w:r>
          </w:p>
        </w:tc>
        <w:tc>
          <w:tcPr>
            <w:tcW w:w="2051" w:type="dxa"/>
            <w:shd w:val="clear" w:color="auto" w:fill="C6EFCE"/>
            <w:noWrap/>
          </w:tcPr>
          <w:p w14:paraId="306B296A" w14:textId="6E9B62F3" w:rsidR="00302FC1" w:rsidRPr="00AB26B3" w:rsidRDefault="00D64F26">
            <w:pPr>
              <w:pStyle w:val="P68B1DB1-Normal12"/>
              <w:spacing w:after="0" w:line="240" w:lineRule="auto"/>
              <w:rPr>
                <w:noProof/>
                <w:spacing w:val="-6"/>
                <w:lang w:val="sk-SK"/>
              </w:rPr>
            </w:pPr>
            <w:r w:rsidRPr="00AB26B3">
              <w:rPr>
                <w:noProof/>
                <w:spacing w:val="-6"/>
                <w:lang w:val="sk-SK"/>
              </w:rPr>
              <w:t>6 – 2.2. Modernizujme – 16779_Interoperabilita</w:t>
            </w:r>
            <w:r w:rsidR="00AB26B3" w:rsidRPr="00AB26B3">
              <w:rPr>
                <w:noProof/>
                <w:spacing w:val="-6"/>
                <w:lang w:val="sk-SK"/>
              </w:rPr>
              <w:t xml:space="preserve"> a </w:t>
            </w:r>
            <w:r w:rsidRPr="00AB26B3">
              <w:rPr>
                <w:noProof/>
                <w:spacing w:val="-6"/>
                <w:lang w:val="sk-SK"/>
              </w:rPr>
              <w:t>rozvoj webových služieb</w:t>
            </w:r>
          </w:p>
        </w:tc>
        <w:tc>
          <w:tcPr>
            <w:tcW w:w="1182" w:type="dxa"/>
            <w:shd w:val="clear" w:color="auto" w:fill="C6EFCE"/>
            <w:noWrap/>
          </w:tcPr>
          <w:p w14:paraId="1A2085B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6CB5F4B9" w14:textId="7B20C2C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projekt interoperability</w:t>
            </w:r>
            <w:r w:rsidR="00AB26B3" w:rsidRPr="00AB26B3">
              <w:rPr>
                <w:noProof/>
                <w:spacing w:val="-6"/>
                <w:lang w:val="sk-SK"/>
              </w:rPr>
              <w:t xml:space="preserve"> a </w:t>
            </w:r>
            <w:r w:rsidRPr="00AB26B3">
              <w:rPr>
                <w:noProof/>
                <w:spacing w:val="-6"/>
                <w:lang w:val="sk-SK"/>
              </w:rPr>
              <w:t>rozvoja webových služieb</w:t>
            </w:r>
          </w:p>
        </w:tc>
        <w:tc>
          <w:tcPr>
            <w:tcW w:w="2251" w:type="dxa"/>
            <w:shd w:val="clear" w:color="auto" w:fill="C6EFCE"/>
            <w:noWrap/>
          </w:tcPr>
          <w:p w14:paraId="1B7A4F1A" w14:textId="5537F32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870" w:type="dxa"/>
            <w:shd w:val="clear" w:color="auto" w:fill="C6EFCE"/>
            <w:noWrap/>
          </w:tcPr>
          <w:p w14:paraId="3E394F8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37AC683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6C263FE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126F20F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4C4FA01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727" w:type="dxa"/>
            <w:shd w:val="clear" w:color="auto" w:fill="C6EFCE"/>
            <w:noWrap/>
          </w:tcPr>
          <w:p w14:paraId="54218F8F" w14:textId="71F9F15B" w:rsidR="00AB26B3" w:rsidRPr="00AB26B3" w:rsidRDefault="00D64F26">
            <w:pPr>
              <w:pStyle w:val="P68B1DB1-Normal12"/>
              <w:spacing w:after="0" w:line="240" w:lineRule="auto"/>
              <w:rPr>
                <w:noProof/>
                <w:spacing w:val="-6"/>
                <w:lang w:val="sk-SK"/>
              </w:rPr>
            </w:pPr>
            <w:r w:rsidRPr="00AB26B3">
              <w:rPr>
                <w:noProof/>
                <w:spacing w:val="-6"/>
                <w:lang w:val="sk-SK"/>
              </w:rPr>
              <w:t>Zadanie zákazky na projekt rozvoja interoperability</w:t>
            </w:r>
            <w:r w:rsidR="00AB26B3" w:rsidRPr="00AB26B3">
              <w:rPr>
                <w:noProof/>
                <w:spacing w:val="-6"/>
                <w:lang w:val="sk-SK"/>
              </w:rPr>
              <w:t xml:space="preserve"> a </w:t>
            </w:r>
            <w:r w:rsidRPr="00AB26B3">
              <w:rPr>
                <w:noProof/>
                <w:spacing w:val="-6"/>
                <w:lang w:val="sk-SK"/>
              </w:rPr>
              <w:t>webových služieb</w:t>
            </w:r>
            <w:r w:rsidR="00AB26B3" w:rsidRPr="00AB26B3">
              <w:rPr>
                <w:noProof/>
                <w:spacing w:val="-6"/>
                <w:lang w:val="sk-SK"/>
              </w:rPr>
              <w:t>.</w:t>
            </w:r>
          </w:p>
          <w:p w14:paraId="629B39B4" w14:textId="2895839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Ministerstvo/Generálny sekretariát informačných systémov pre verejný sektor/DK informačnej spoločnosti preskúma všetky predložené návrhy</w:t>
            </w:r>
            <w:r w:rsidR="00AB26B3" w:rsidRPr="00AB26B3">
              <w:rPr>
                <w:noProof/>
                <w:spacing w:val="-6"/>
                <w:lang w:val="sk-SK"/>
              </w:rPr>
              <w:t xml:space="preserve"> a </w:t>
            </w:r>
            <w:r w:rsidRPr="00AB26B3">
              <w:rPr>
                <w:noProof/>
                <w:spacing w:val="-6"/>
                <w:lang w:val="sk-SK"/>
              </w:rPr>
              <w:t>potvrdí, či žiadosti náležite zodpovedajú požiadavkám RFP. Po výbere vhodného dodávateľa ministerstvo pristúpi</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oboch zmluvných strán.</w:t>
            </w:r>
          </w:p>
        </w:tc>
      </w:tr>
      <w:tr w:rsidR="00302FC1" w:rsidRPr="00AB26B3" w14:paraId="1EE0C20B" w14:textId="77777777">
        <w:trPr>
          <w:trHeight w:val="313"/>
          <w:jc w:val="center"/>
        </w:trPr>
        <w:tc>
          <w:tcPr>
            <w:tcW w:w="817" w:type="dxa"/>
            <w:shd w:val="clear" w:color="auto" w:fill="C6EFCE"/>
            <w:noWrap/>
          </w:tcPr>
          <w:p w14:paraId="7299BA2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101</w:t>
            </w:r>
          </w:p>
        </w:tc>
        <w:tc>
          <w:tcPr>
            <w:tcW w:w="2051" w:type="dxa"/>
            <w:shd w:val="clear" w:color="auto" w:fill="C6EFCE"/>
            <w:noWrap/>
          </w:tcPr>
          <w:p w14:paraId="0E86DDC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16810_CRM pre verejnú správu</w:t>
            </w:r>
          </w:p>
        </w:tc>
        <w:tc>
          <w:tcPr>
            <w:tcW w:w="1182" w:type="dxa"/>
            <w:shd w:val="clear" w:color="auto" w:fill="C6EFCE"/>
            <w:noWrap/>
          </w:tcPr>
          <w:p w14:paraId="66F802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539319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Zadanie zákazky na kapacitný mechanizmus pre verejnú správu </w:t>
            </w:r>
          </w:p>
        </w:tc>
        <w:tc>
          <w:tcPr>
            <w:tcW w:w="2251" w:type="dxa"/>
            <w:shd w:val="clear" w:color="auto" w:fill="C6EFCE"/>
            <w:noWrap/>
          </w:tcPr>
          <w:p w14:paraId="4D4434F5" w14:textId="6113A3B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870" w:type="dxa"/>
            <w:shd w:val="clear" w:color="auto" w:fill="C6EFCE"/>
            <w:noWrap/>
          </w:tcPr>
          <w:p w14:paraId="4CB06F3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27A7BDD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692ABCA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2794C49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1147825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727" w:type="dxa"/>
            <w:shd w:val="clear" w:color="auto" w:fill="C6EFCE"/>
            <w:noWrap/>
          </w:tcPr>
          <w:p w14:paraId="13DB8022" w14:textId="64F1FD1B" w:rsidR="00AB26B3" w:rsidRPr="00AB26B3" w:rsidRDefault="00D64F26">
            <w:pPr>
              <w:pStyle w:val="P68B1DB1-Normal12"/>
              <w:spacing w:after="0" w:line="240" w:lineRule="auto"/>
              <w:rPr>
                <w:noProof/>
                <w:spacing w:val="-6"/>
                <w:lang w:val="sk-SK"/>
              </w:rPr>
            </w:pPr>
            <w:r w:rsidRPr="00AB26B3">
              <w:rPr>
                <w:noProof/>
                <w:spacing w:val="-6"/>
                <w:lang w:val="sk-SK"/>
              </w:rPr>
              <w:t>Zadanie zákazky na kapacitný mechanizmus pre verejnú správu. Ministerstvo/Generálny sekretariát informačných systémov pre verejný sektor/DK informačnej spoločnosti preskúma všetky predložené návrhy</w:t>
            </w:r>
            <w:r w:rsidR="00AB26B3" w:rsidRPr="00AB26B3">
              <w:rPr>
                <w:noProof/>
                <w:spacing w:val="-6"/>
                <w:lang w:val="sk-SK"/>
              </w:rPr>
              <w:t xml:space="preserve"> a </w:t>
            </w:r>
            <w:r w:rsidRPr="00AB26B3">
              <w:rPr>
                <w:noProof/>
                <w:spacing w:val="-6"/>
                <w:lang w:val="sk-SK"/>
              </w:rPr>
              <w:t>potvrdí, či žiadosti náležite zodpovedajú požiadavkám RFP</w:t>
            </w:r>
            <w:r w:rsidR="00AB26B3" w:rsidRPr="00AB26B3">
              <w:rPr>
                <w:noProof/>
                <w:spacing w:val="-6"/>
                <w:lang w:val="sk-SK"/>
              </w:rPr>
              <w:t>.</w:t>
            </w:r>
          </w:p>
          <w:p w14:paraId="4D21A5C1" w14:textId="242B6D2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 výbere vhodného externého partnera ministerstvo pristúpi</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oboch zmluvných strán.</w:t>
            </w:r>
          </w:p>
        </w:tc>
      </w:tr>
      <w:tr w:rsidR="00302FC1" w:rsidRPr="00AB26B3" w14:paraId="74E05E75" w14:textId="77777777">
        <w:trPr>
          <w:trHeight w:val="313"/>
          <w:jc w:val="center"/>
        </w:trPr>
        <w:tc>
          <w:tcPr>
            <w:tcW w:w="817" w:type="dxa"/>
            <w:shd w:val="clear" w:color="auto" w:fill="C6EFCE"/>
            <w:noWrap/>
          </w:tcPr>
          <w:p w14:paraId="2F80ED2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102</w:t>
            </w:r>
          </w:p>
        </w:tc>
        <w:tc>
          <w:tcPr>
            <w:tcW w:w="2051" w:type="dxa"/>
            <w:shd w:val="clear" w:color="auto" w:fill="C6EFCE"/>
            <w:noWrap/>
          </w:tcPr>
          <w:p w14:paraId="00178E4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16780_Modernizácia jednotných kontaktných miest verejnej správy</w:t>
            </w:r>
          </w:p>
        </w:tc>
        <w:tc>
          <w:tcPr>
            <w:tcW w:w="1182" w:type="dxa"/>
            <w:shd w:val="clear" w:color="auto" w:fill="C6EFCE"/>
            <w:noWrap/>
          </w:tcPr>
          <w:p w14:paraId="22B9CC6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4CE25A8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ďalšiu modernizáciu jednotných kontaktných miest verejnej správy</w:t>
            </w:r>
          </w:p>
        </w:tc>
        <w:tc>
          <w:tcPr>
            <w:tcW w:w="2251" w:type="dxa"/>
            <w:shd w:val="clear" w:color="auto" w:fill="C6EFCE"/>
            <w:noWrap/>
          </w:tcPr>
          <w:p w14:paraId="22B740B0" w14:textId="3EC26D7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870" w:type="dxa"/>
            <w:shd w:val="clear" w:color="auto" w:fill="C6EFCE"/>
            <w:noWrap/>
          </w:tcPr>
          <w:p w14:paraId="6B39656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13F3BC2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0885930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07659D1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6047CA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727" w:type="dxa"/>
            <w:shd w:val="clear" w:color="auto" w:fill="C6EFCE"/>
            <w:noWrap/>
          </w:tcPr>
          <w:p w14:paraId="3CECCF89" w14:textId="77777777" w:rsidR="00AB26B3" w:rsidRPr="00AB26B3" w:rsidRDefault="00D64F26">
            <w:pPr>
              <w:pStyle w:val="P68B1DB1-Normal12"/>
              <w:spacing w:after="0" w:line="240" w:lineRule="auto"/>
              <w:rPr>
                <w:noProof/>
                <w:spacing w:val="-6"/>
                <w:lang w:val="sk-SK"/>
              </w:rPr>
            </w:pPr>
            <w:r w:rsidRPr="00AB26B3">
              <w:rPr>
                <w:noProof/>
                <w:spacing w:val="-6"/>
                <w:lang w:val="sk-SK"/>
              </w:rPr>
              <w:t>Zadanie zákazky na modernizáciu jednotných kontaktných miest verejnej správy</w:t>
            </w:r>
            <w:r w:rsidR="00AB26B3" w:rsidRPr="00AB26B3">
              <w:rPr>
                <w:noProof/>
                <w:spacing w:val="-6"/>
                <w:lang w:val="sk-SK"/>
              </w:rPr>
              <w:t>.</w:t>
            </w:r>
          </w:p>
          <w:p w14:paraId="76FA2167" w14:textId="296D171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Ministerstvo/Generálny sekretariát informačných systémov pre verejný sektor/DDO zabezpečí, aby sa všetky predložené návrhy preskúmali,</w:t>
            </w:r>
            <w:r w:rsidR="00AB26B3" w:rsidRPr="00AB26B3">
              <w:rPr>
                <w:noProof/>
                <w:spacing w:val="-6"/>
                <w:lang w:val="sk-SK"/>
              </w:rPr>
              <w:t xml:space="preserve"> a </w:t>
            </w:r>
            <w:r w:rsidRPr="00AB26B3">
              <w:rPr>
                <w:noProof/>
                <w:spacing w:val="-6"/>
                <w:lang w:val="sk-SK"/>
              </w:rPr>
              <w:t>potvrdí, či žiadosti riadne spĺňajú požiadavky RFP. Po výbere vhodného externého partnera ministerstvo pristúpi</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oboch zmluvných strán.</w:t>
            </w:r>
          </w:p>
        </w:tc>
      </w:tr>
      <w:tr w:rsidR="00302FC1" w:rsidRPr="00AB26B3" w14:paraId="0930DFF4" w14:textId="77777777">
        <w:trPr>
          <w:trHeight w:val="313"/>
          <w:jc w:val="center"/>
        </w:trPr>
        <w:tc>
          <w:tcPr>
            <w:tcW w:w="817" w:type="dxa"/>
            <w:shd w:val="clear" w:color="auto" w:fill="C6EFCE"/>
            <w:noWrap/>
          </w:tcPr>
          <w:p w14:paraId="5E949A0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103</w:t>
            </w:r>
          </w:p>
        </w:tc>
        <w:tc>
          <w:tcPr>
            <w:tcW w:w="2051" w:type="dxa"/>
            <w:shd w:val="clear" w:color="auto" w:fill="C6EFCE"/>
            <w:noWrap/>
          </w:tcPr>
          <w:p w14:paraId="05E5CB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16736_Nový systém verejného obstarávania</w:t>
            </w:r>
          </w:p>
        </w:tc>
        <w:tc>
          <w:tcPr>
            <w:tcW w:w="1182" w:type="dxa"/>
            <w:shd w:val="clear" w:color="auto" w:fill="C6EFCE"/>
            <w:noWrap/>
          </w:tcPr>
          <w:p w14:paraId="5BB1100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32C0FF1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nový systém verejného obstarávania</w:t>
            </w:r>
          </w:p>
        </w:tc>
        <w:tc>
          <w:tcPr>
            <w:tcW w:w="2251" w:type="dxa"/>
            <w:shd w:val="clear" w:color="auto" w:fill="C6EFCE"/>
            <w:noWrap/>
          </w:tcPr>
          <w:p w14:paraId="3105E1D4" w14:textId="340B598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870" w:type="dxa"/>
            <w:shd w:val="clear" w:color="auto" w:fill="C6EFCE"/>
            <w:noWrap/>
          </w:tcPr>
          <w:p w14:paraId="49B553C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4C5B403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63BAAEA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0BCA48F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6A5E8D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727" w:type="dxa"/>
            <w:shd w:val="clear" w:color="auto" w:fill="C6EFCE"/>
            <w:noWrap/>
          </w:tcPr>
          <w:p w14:paraId="486C98DB" w14:textId="0C6B380C" w:rsidR="00302FC1" w:rsidRPr="00AB26B3" w:rsidRDefault="00D64F26">
            <w:pPr>
              <w:pStyle w:val="P68B1DB1-Normal12"/>
              <w:spacing w:after="0" w:line="240" w:lineRule="auto"/>
              <w:rPr>
                <w:noProof/>
                <w:spacing w:val="-6"/>
                <w:lang w:val="sk-SK"/>
              </w:rPr>
            </w:pPr>
            <w:r w:rsidRPr="00AB26B3">
              <w:rPr>
                <w:noProof/>
                <w:spacing w:val="-6"/>
                <w:lang w:val="sk-SK"/>
              </w:rPr>
              <w:t>Zadanie zákazky na projekt nový systém verejného obstarávania. Ministerstvo/generálny sekretariát informačných systémov pre verejný sektor/dozorný orgán pre informačnú spoločnosť preskúma všetky predložené návrhy</w:t>
            </w:r>
            <w:r w:rsidR="00AB26B3" w:rsidRPr="00AB26B3">
              <w:rPr>
                <w:noProof/>
                <w:spacing w:val="-6"/>
                <w:lang w:val="sk-SK"/>
              </w:rPr>
              <w:t xml:space="preserve"> a </w:t>
            </w:r>
            <w:r w:rsidRPr="00AB26B3">
              <w:rPr>
                <w:noProof/>
                <w:spacing w:val="-6"/>
                <w:lang w:val="sk-SK"/>
              </w:rPr>
              <w:t>potvrdí, či žiadosti náležite spĺňajú požiadavky uvedené</w:t>
            </w:r>
            <w:r w:rsidR="00AB26B3" w:rsidRPr="00AB26B3">
              <w:rPr>
                <w:noProof/>
                <w:spacing w:val="-6"/>
                <w:lang w:val="sk-SK"/>
              </w:rPr>
              <w:t xml:space="preserve"> v </w:t>
            </w:r>
            <w:r w:rsidRPr="00AB26B3">
              <w:rPr>
                <w:noProof/>
                <w:spacing w:val="-6"/>
                <w:lang w:val="sk-SK"/>
              </w:rPr>
              <w:t>žiadosti</w:t>
            </w:r>
            <w:r w:rsidR="00AB26B3" w:rsidRPr="00AB26B3">
              <w:rPr>
                <w:noProof/>
                <w:spacing w:val="-6"/>
                <w:lang w:val="sk-SK"/>
              </w:rPr>
              <w:t xml:space="preserve"> o </w:t>
            </w:r>
            <w:r w:rsidRPr="00AB26B3">
              <w:rPr>
                <w:noProof/>
                <w:spacing w:val="-6"/>
                <w:lang w:val="sk-SK"/>
              </w:rPr>
              <w:t>registráciu. Po výbere vhodného dodávateľa zodpovedný orgán pristúpi</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oboch zmluvných strán.</w:t>
            </w:r>
          </w:p>
        </w:tc>
      </w:tr>
      <w:tr w:rsidR="00302FC1" w:rsidRPr="00AB26B3" w14:paraId="47F2B366" w14:textId="77777777">
        <w:trPr>
          <w:trHeight w:val="313"/>
          <w:jc w:val="center"/>
        </w:trPr>
        <w:tc>
          <w:tcPr>
            <w:tcW w:w="817" w:type="dxa"/>
            <w:shd w:val="clear" w:color="auto" w:fill="C6EFCE"/>
            <w:noWrap/>
          </w:tcPr>
          <w:p w14:paraId="330C57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104</w:t>
            </w:r>
          </w:p>
        </w:tc>
        <w:tc>
          <w:tcPr>
            <w:tcW w:w="2051" w:type="dxa"/>
            <w:shd w:val="clear" w:color="auto" w:fill="C6EFCE"/>
            <w:noWrap/>
          </w:tcPr>
          <w:p w14:paraId="7B8C5EFC" w14:textId="2475DF8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16823_Stratégia</w:t>
            </w:r>
            <w:r w:rsidR="00AB26B3" w:rsidRPr="00AB26B3">
              <w:rPr>
                <w:noProof/>
                <w:spacing w:val="-6"/>
                <w:lang w:val="sk-SK"/>
              </w:rPr>
              <w:t xml:space="preserve"> a </w:t>
            </w:r>
            <w:r w:rsidRPr="00AB26B3">
              <w:rPr>
                <w:noProof/>
                <w:spacing w:val="-6"/>
                <w:lang w:val="sk-SK"/>
              </w:rPr>
              <w:t>politiky kybernetickej bezpečnosti pre verejný sektor</w:t>
            </w:r>
            <w:r w:rsidR="00AB26B3" w:rsidRPr="00AB26B3">
              <w:rPr>
                <w:noProof/>
                <w:spacing w:val="-6"/>
                <w:lang w:val="sk-SK"/>
              </w:rPr>
              <w:t xml:space="preserve"> a </w:t>
            </w:r>
            <w:r w:rsidRPr="00AB26B3">
              <w:rPr>
                <w:noProof/>
                <w:spacing w:val="-6"/>
                <w:lang w:val="sk-SK"/>
              </w:rPr>
              <w:t>pokročilé bezpečnostné služby pre vnútroštátne kritické infraštruktúry</w:t>
            </w:r>
          </w:p>
        </w:tc>
        <w:tc>
          <w:tcPr>
            <w:tcW w:w="1182" w:type="dxa"/>
            <w:shd w:val="clear" w:color="auto" w:fill="C6EFCE"/>
            <w:noWrap/>
          </w:tcPr>
          <w:p w14:paraId="5324F34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4B954C26" w14:textId="3544FF9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w:t>
            </w:r>
            <w:r w:rsidR="00AB26B3" w:rsidRPr="00AB26B3">
              <w:rPr>
                <w:noProof/>
                <w:spacing w:val="-6"/>
                <w:lang w:val="sk-SK"/>
              </w:rPr>
              <w:t xml:space="preserve"> v </w:t>
            </w:r>
            <w:r w:rsidRPr="00AB26B3">
              <w:rPr>
                <w:noProof/>
                <w:spacing w:val="-6"/>
                <w:lang w:val="sk-SK"/>
              </w:rPr>
              <w:t>súvislosti so stratégiou kybernetickej bezpečnosti</w:t>
            </w:r>
          </w:p>
        </w:tc>
        <w:tc>
          <w:tcPr>
            <w:tcW w:w="2251" w:type="dxa"/>
            <w:shd w:val="clear" w:color="auto" w:fill="C6EFCE"/>
            <w:noWrap/>
          </w:tcPr>
          <w:p w14:paraId="39971C7B" w14:textId="011A459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870" w:type="dxa"/>
            <w:shd w:val="clear" w:color="auto" w:fill="C6EFCE"/>
            <w:noWrap/>
          </w:tcPr>
          <w:p w14:paraId="752C69E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43E6DCB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0AAE3B9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5931B56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6309E3B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727" w:type="dxa"/>
            <w:shd w:val="clear" w:color="auto" w:fill="C6EFCE"/>
            <w:noWrap/>
          </w:tcPr>
          <w:p w14:paraId="0D712059" w14:textId="545FC6E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stratégiu</w:t>
            </w:r>
            <w:r w:rsidR="00AB26B3" w:rsidRPr="00AB26B3">
              <w:rPr>
                <w:noProof/>
                <w:spacing w:val="-6"/>
                <w:lang w:val="sk-SK"/>
              </w:rPr>
              <w:t xml:space="preserve"> a </w:t>
            </w:r>
            <w:r w:rsidRPr="00AB26B3">
              <w:rPr>
                <w:noProof/>
                <w:spacing w:val="-6"/>
                <w:lang w:val="sk-SK"/>
              </w:rPr>
              <w:t>politiky kybernetickej bezpečnosti projektu pre verejný sektor</w:t>
            </w:r>
            <w:r w:rsidR="00AB26B3" w:rsidRPr="00AB26B3">
              <w:rPr>
                <w:noProof/>
                <w:spacing w:val="-6"/>
                <w:lang w:val="sk-SK"/>
              </w:rPr>
              <w:t xml:space="preserve"> a </w:t>
            </w:r>
            <w:r w:rsidRPr="00AB26B3">
              <w:rPr>
                <w:noProof/>
                <w:spacing w:val="-6"/>
                <w:lang w:val="sk-SK"/>
              </w:rPr>
              <w:t>pokročilé bezpečnostné služby pre vnútroštátne kritické infraštruktúry. Po výbere vhodného externého konzultanta ministerstvo pristúpi</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oboch zmluvných strán.</w:t>
            </w:r>
          </w:p>
        </w:tc>
      </w:tr>
      <w:tr w:rsidR="00302FC1" w:rsidRPr="00AB26B3" w14:paraId="4207597A" w14:textId="77777777">
        <w:trPr>
          <w:trHeight w:val="313"/>
          <w:jc w:val="center"/>
        </w:trPr>
        <w:tc>
          <w:tcPr>
            <w:tcW w:w="817" w:type="dxa"/>
            <w:shd w:val="clear" w:color="auto" w:fill="C6EFCE"/>
            <w:noWrap/>
          </w:tcPr>
          <w:p w14:paraId="44D92B5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105</w:t>
            </w:r>
          </w:p>
        </w:tc>
        <w:tc>
          <w:tcPr>
            <w:tcW w:w="2051" w:type="dxa"/>
            <w:shd w:val="clear" w:color="auto" w:fill="C6EFCE"/>
            <w:noWrap/>
          </w:tcPr>
          <w:p w14:paraId="5A5FA56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16826_Programy modernizácie digitálnych zručností pre brancov</w:t>
            </w:r>
          </w:p>
        </w:tc>
        <w:tc>
          <w:tcPr>
            <w:tcW w:w="1182" w:type="dxa"/>
            <w:shd w:val="clear" w:color="auto" w:fill="C6EFCE"/>
            <w:noWrap/>
          </w:tcPr>
          <w:p w14:paraId="22595E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598EE8E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programy modernizácie digitálnych zručností pre brancov</w:t>
            </w:r>
          </w:p>
        </w:tc>
        <w:tc>
          <w:tcPr>
            <w:tcW w:w="2251" w:type="dxa"/>
            <w:shd w:val="clear" w:color="auto" w:fill="C6EFCE"/>
            <w:noWrap/>
          </w:tcPr>
          <w:p w14:paraId="5A8AA1AA" w14:textId="5F29A3A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870" w:type="dxa"/>
            <w:shd w:val="clear" w:color="auto" w:fill="C6EFCE"/>
            <w:noWrap/>
          </w:tcPr>
          <w:p w14:paraId="1368E13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399572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35581DB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107963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1BEEEE8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727" w:type="dxa"/>
            <w:shd w:val="clear" w:color="auto" w:fill="C6EFCE"/>
            <w:noWrap/>
          </w:tcPr>
          <w:p w14:paraId="384173E1" w14:textId="2DEFE87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programy modernizácie digitálnych zručností pre brancov. Ministerstvo preskúma všetky predložené návrhy</w:t>
            </w:r>
            <w:r w:rsidR="00AB26B3" w:rsidRPr="00AB26B3">
              <w:rPr>
                <w:noProof/>
                <w:spacing w:val="-6"/>
                <w:lang w:val="sk-SK"/>
              </w:rPr>
              <w:t xml:space="preserve"> a </w:t>
            </w:r>
            <w:r w:rsidRPr="00AB26B3">
              <w:rPr>
                <w:noProof/>
                <w:spacing w:val="-6"/>
                <w:lang w:val="sk-SK"/>
              </w:rPr>
              <w:t>potvrdí, či žiadosti riadne zodpovedajú požiadavkám RFP. Po výbere vhodného externého partnera ministerstvo pristúpi</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oboch zmluvných strán.</w:t>
            </w:r>
          </w:p>
        </w:tc>
      </w:tr>
      <w:tr w:rsidR="00302FC1" w:rsidRPr="00AB26B3" w14:paraId="1CCC8DE2" w14:textId="77777777">
        <w:trPr>
          <w:trHeight w:val="313"/>
          <w:jc w:val="center"/>
        </w:trPr>
        <w:tc>
          <w:tcPr>
            <w:tcW w:w="817" w:type="dxa"/>
            <w:shd w:val="clear" w:color="auto" w:fill="C6EFCE"/>
            <w:noWrap/>
          </w:tcPr>
          <w:p w14:paraId="2F0075E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106</w:t>
            </w:r>
          </w:p>
        </w:tc>
        <w:tc>
          <w:tcPr>
            <w:tcW w:w="2051" w:type="dxa"/>
            <w:shd w:val="clear" w:color="auto" w:fill="C6EFCE"/>
            <w:noWrap/>
          </w:tcPr>
          <w:p w14:paraId="3FB753C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16742_Digitálna transformácia ministerstva zahraničných vecí</w:t>
            </w:r>
          </w:p>
        </w:tc>
        <w:tc>
          <w:tcPr>
            <w:tcW w:w="1182" w:type="dxa"/>
            <w:shd w:val="clear" w:color="auto" w:fill="C6EFCE"/>
            <w:noWrap/>
          </w:tcPr>
          <w:p w14:paraId="771558E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090143F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digitálnu transformáciu ministerstva zahraničných vecí</w:t>
            </w:r>
          </w:p>
        </w:tc>
        <w:tc>
          <w:tcPr>
            <w:tcW w:w="2251" w:type="dxa"/>
            <w:shd w:val="clear" w:color="auto" w:fill="C6EFCE"/>
            <w:noWrap/>
          </w:tcPr>
          <w:p w14:paraId="1098C8FA" w14:textId="55E3C4C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870" w:type="dxa"/>
            <w:shd w:val="clear" w:color="auto" w:fill="C6EFCE"/>
            <w:noWrap/>
          </w:tcPr>
          <w:p w14:paraId="5062D06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79E2A28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06816F4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2E96E20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6D698A8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727" w:type="dxa"/>
            <w:shd w:val="clear" w:color="auto" w:fill="C6EFCE"/>
            <w:noWrap/>
          </w:tcPr>
          <w:p w14:paraId="04F3ECB5" w14:textId="31BB453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ministerstva zahraničných vecí na digitálnu transformáciu. Ministerstvo preskúma všetky predložené návrhy</w:t>
            </w:r>
            <w:r w:rsidR="00AB26B3" w:rsidRPr="00AB26B3">
              <w:rPr>
                <w:noProof/>
                <w:spacing w:val="-6"/>
                <w:lang w:val="sk-SK"/>
              </w:rPr>
              <w:t xml:space="preserve"> a </w:t>
            </w:r>
            <w:r w:rsidRPr="00AB26B3">
              <w:rPr>
                <w:noProof/>
                <w:spacing w:val="-6"/>
                <w:lang w:val="sk-SK"/>
              </w:rPr>
              <w:t>potvrdí, či žiadosti riadne zodpovedajú požiadavkám RFP. Po výbere vhodného externého partnera ministerstvo pristúpi</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oboch zmluvných strán.</w:t>
            </w:r>
          </w:p>
        </w:tc>
      </w:tr>
      <w:tr w:rsidR="00302FC1" w:rsidRPr="00AB26B3" w14:paraId="572EE7A9" w14:textId="77777777">
        <w:trPr>
          <w:trHeight w:val="313"/>
          <w:jc w:val="center"/>
        </w:trPr>
        <w:tc>
          <w:tcPr>
            <w:tcW w:w="817" w:type="dxa"/>
            <w:shd w:val="clear" w:color="auto" w:fill="C6EFCE"/>
            <w:noWrap/>
          </w:tcPr>
          <w:p w14:paraId="6E6BDE6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107</w:t>
            </w:r>
          </w:p>
        </w:tc>
        <w:tc>
          <w:tcPr>
            <w:tcW w:w="2051" w:type="dxa"/>
            <w:shd w:val="clear" w:color="auto" w:fill="C6EFCE"/>
            <w:noWrap/>
          </w:tcPr>
          <w:p w14:paraId="3B411F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16824_ERegistries</w:t>
            </w:r>
          </w:p>
        </w:tc>
        <w:tc>
          <w:tcPr>
            <w:tcW w:w="1182" w:type="dxa"/>
            <w:shd w:val="clear" w:color="auto" w:fill="C6EFCE"/>
            <w:noWrap/>
          </w:tcPr>
          <w:p w14:paraId="4C557C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0689B61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Zadávanie zákaziek pre elektronické registre</w:t>
            </w:r>
          </w:p>
        </w:tc>
        <w:tc>
          <w:tcPr>
            <w:tcW w:w="2251" w:type="dxa"/>
            <w:shd w:val="clear" w:color="auto" w:fill="C6EFCE"/>
            <w:noWrap/>
          </w:tcPr>
          <w:p w14:paraId="6C1B9833" w14:textId="3A5D18C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870" w:type="dxa"/>
            <w:shd w:val="clear" w:color="auto" w:fill="C6EFCE"/>
            <w:noWrap/>
          </w:tcPr>
          <w:p w14:paraId="79AAC26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26F1D10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25EBBB2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5F778BF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0840DFB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727" w:type="dxa"/>
            <w:shd w:val="clear" w:color="auto" w:fill="C6EFCE"/>
            <w:noWrap/>
          </w:tcPr>
          <w:p w14:paraId="3BD4362B" w14:textId="6FD7E39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projekt elektronických registrov. Ministerstvo/Generálny sekretariát informačných systémov pre verejný sektor/DK informačnej spoločnosti preskúma všetky predložené návrhy</w:t>
            </w:r>
            <w:r w:rsidR="00AB26B3" w:rsidRPr="00AB26B3">
              <w:rPr>
                <w:noProof/>
                <w:spacing w:val="-6"/>
                <w:lang w:val="sk-SK"/>
              </w:rPr>
              <w:t xml:space="preserve"> a </w:t>
            </w:r>
            <w:r w:rsidRPr="00AB26B3">
              <w:rPr>
                <w:noProof/>
                <w:spacing w:val="-6"/>
                <w:lang w:val="sk-SK"/>
              </w:rPr>
              <w:t>potvrdí, či žiadosti náležite zodpovedajú požiadavkám RFP. Po výbere vhodného externého partnera ministerstvo pristúpi</w:t>
            </w:r>
            <w:r w:rsidR="00AB26B3" w:rsidRPr="00AB26B3">
              <w:rPr>
                <w:noProof/>
                <w:spacing w:val="-6"/>
                <w:lang w:val="sk-SK"/>
              </w:rPr>
              <w:t xml:space="preserve"> k </w:t>
            </w:r>
            <w:r w:rsidRPr="00AB26B3">
              <w:rPr>
                <w:noProof/>
                <w:spacing w:val="-6"/>
                <w:lang w:val="sk-SK"/>
              </w:rPr>
              <w:t>zadaniu zákazky,</w:t>
            </w:r>
            <w:r w:rsidR="00AB26B3" w:rsidRPr="00AB26B3">
              <w:rPr>
                <w:noProof/>
                <w:spacing w:val="-6"/>
                <w:lang w:val="sk-SK"/>
              </w:rPr>
              <w:t xml:space="preserve"> v </w:t>
            </w:r>
            <w:r w:rsidRPr="00AB26B3">
              <w:rPr>
                <w:noProof/>
                <w:spacing w:val="-6"/>
                <w:lang w:val="sk-SK"/>
              </w:rPr>
              <w:t>ktorej sa vymedzia povinnosti, úlohy</w:t>
            </w:r>
            <w:r w:rsidR="00AB26B3" w:rsidRPr="00AB26B3">
              <w:rPr>
                <w:noProof/>
                <w:spacing w:val="-6"/>
                <w:lang w:val="sk-SK"/>
              </w:rPr>
              <w:t xml:space="preserve"> a </w:t>
            </w:r>
            <w:r w:rsidRPr="00AB26B3">
              <w:rPr>
                <w:noProof/>
                <w:spacing w:val="-6"/>
                <w:lang w:val="sk-SK"/>
              </w:rPr>
              <w:t>zodpovednosti oboch zmluvných strán.</w:t>
            </w:r>
          </w:p>
        </w:tc>
      </w:tr>
      <w:tr w:rsidR="00302FC1" w:rsidRPr="00AB26B3" w14:paraId="071ED0E1" w14:textId="77777777">
        <w:trPr>
          <w:trHeight w:val="313"/>
          <w:jc w:val="center"/>
        </w:trPr>
        <w:tc>
          <w:tcPr>
            <w:tcW w:w="817" w:type="dxa"/>
            <w:shd w:val="clear" w:color="auto" w:fill="C6EFCE"/>
            <w:noWrap/>
          </w:tcPr>
          <w:p w14:paraId="3D7A28A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108</w:t>
            </w:r>
          </w:p>
        </w:tc>
        <w:tc>
          <w:tcPr>
            <w:tcW w:w="2051" w:type="dxa"/>
            <w:shd w:val="clear" w:color="auto" w:fill="C6EFCE"/>
            <w:noWrap/>
          </w:tcPr>
          <w:p w14:paraId="12760B26" w14:textId="60219ADD" w:rsidR="00302FC1" w:rsidRPr="00AB26B3" w:rsidRDefault="00D64F26">
            <w:pPr>
              <w:pStyle w:val="P68B1DB1-Normal12"/>
              <w:spacing w:after="0" w:line="240" w:lineRule="auto"/>
              <w:rPr>
                <w:noProof/>
                <w:spacing w:val="-6"/>
                <w:lang w:val="sk-SK"/>
              </w:rPr>
            </w:pPr>
            <w:r w:rsidRPr="00AB26B3">
              <w:rPr>
                <w:noProof/>
                <w:spacing w:val="-6"/>
                <w:lang w:val="sk-SK"/>
              </w:rPr>
              <w:t>6 – 2.2. Modernizujte – 16779_ Webové služby</w:t>
            </w:r>
            <w:r w:rsidR="00AB26B3" w:rsidRPr="00AB26B3">
              <w:rPr>
                <w:noProof/>
                <w:spacing w:val="-6"/>
                <w:lang w:val="sk-SK"/>
              </w:rPr>
              <w:t xml:space="preserve"> a </w:t>
            </w:r>
            <w:r w:rsidRPr="00AB26B3">
              <w:rPr>
                <w:noProof/>
                <w:spacing w:val="-6"/>
                <w:lang w:val="sk-SK"/>
              </w:rPr>
              <w:t>Centrum interoperability novej generácie (KED)</w:t>
            </w:r>
          </w:p>
        </w:tc>
        <w:tc>
          <w:tcPr>
            <w:tcW w:w="1182" w:type="dxa"/>
            <w:shd w:val="clear" w:color="auto" w:fill="C6EFCE"/>
            <w:noWrap/>
          </w:tcPr>
          <w:p w14:paraId="559676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083B312E" w14:textId="7EC2271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Poskytovanie webových služieb</w:t>
            </w:r>
            <w:r w:rsidR="00AB26B3" w:rsidRPr="00AB26B3">
              <w:rPr>
                <w:noProof/>
                <w:spacing w:val="-6"/>
                <w:lang w:val="sk-SK"/>
              </w:rPr>
              <w:t xml:space="preserve"> a </w:t>
            </w:r>
            <w:r w:rsidRPr="00AB26B3">
              <w:rPr>
                <w:noProof/>
                <w:spacing w:val="-6"/>
                <w:lang w:val="sk-SK"/>
              </w:rPr>
              <w:t>centrum interoperability novej generácie (KED)</w:t>
            </w:r>
          </w:p>
        </w:tc>
        <w:tc>
          <w:tcPr>
            <w:tcW w:w="2251" w:type="dxa"/>
            <w:shd w:val="clear" w:color="auto" w:fill="C6EFCE"/>
            <w:noWrap/>
          </w:tcPr>
          <w:p w14:paraId="61DA797E" w14:textId="736F642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Poskytovanie webových služieb</w:t>
            </w:r>
            <w:r w:rsidR="00AB26B3" w:rsidRPr="00AB26B3">
              <w:rPr>
                <w:noProof/>
                <w:spacing w:val="-6"/>
                <w:lang w:val="sk-SK"/>
              </w:rPr>
              <w:t xml:space="preserve"> a </w:t>
            </w:r>
            <w:r w:rsidRPr="00AB26B3">
              <w:rPr>
                <w:noProof/>
                <w:spacing w:val="-6"/>
                <w:lang w:val="sk-SK"/>
              </w:rPr>
              <w:t xml:space="preserve">centrum interoperability novej generácie (KED) </w:t>
            </w:r>
          </w:p>
        </w:tc>
        <w:tc>
          <w:tcPr>
            <w:tcW w:w="870" w:type="dxa"/>
            <w:shd w:val="clear" w:color="auto" w:fill="C6EFCE"/>
            <w:noWrap/>
          </w:tcPr>
          <w:p w14:paraId="1573B11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125C87E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02D79C7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249B37E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71BBB61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727" w:type="dxa"/>
            <w:shd w:val="clear" w:color="auto" w:fill="C6EFCE"/>
            <w:noWrap/>
          </w:tcPr>
          <w:p w14:paraId="49456ACB" w14:textId="23FFF415" w:rsidR="00302FC1" w:rsidRPr="00AB26B3" w:rsidRDefault="00D64F26">
            <w:pPr>
              <w:pStyle w:val="P68B1DB1-Normal12"/>
              <w:spacing w:after="0" w:line="240" w:lineRule="auto"/>
              <w:rPr>
                <w:noProof/>
                <w:spacing w:val="-6"/>
                <w:lang w:val="sk-SK"/>
              </w:rPr>
            </w:pPr>
            <w:r w:rsidRPr="00AB26B3">
              <w:rPr>
                <w:noProof/>
                <w:spacing w:val="-6"/>
                <w:lang w:val="sk-SK"/>
              </w:rPr>
              <w:t>Poskytovanie centra interoperability novej generácie (KED)</w:t>
            </w:r>
            <w:r w:rsidR="00AB26B3" w:rsidRPr="00AB26B3">
              <w:rPr>
                <w:noProof/>
                <w:spacing w:val="-6"/>
                <w:lang w:val="sk-SK"/>
              </w:rPr>
              <w:t xml:space="preserve"> a </w:t>
            </w:r>
            <w:r w:rsidRPr="00AB26B3">
              <w:rPr>
                <w:noProof/>
                <w:spacing w:val="-6"/>
                <w:lang w:val="sk-SK"/>
              </w:rPr>
              <w:t xml:space="preserve">webových služieb. </w:t>
            </w:r>
          </w:p>
        </w:tc>
      </w:tr>
      <w:tr w:rsidR="00302FC1" w:rsidRPr="00AB26B3" w14:paraId="6089E89D" w14:textId="77777777">
        <w:trPr>
          <w:trHeight w:val="313"/>
          <w:jc w:val="center"/>
        </w:trPr>
        <w:tc>
          <w:tcPr>
            <w:tcW w:w="817" w:type="dxa"/>
            <w:shd w:val="clear" w:color="auto" w:fill="C6EFCE"/>
            <w:noWrap/>
          </w:tcPr>
          <w:p w14:paraId="4440072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109</w:t>
            </w:r>
          </w:p>
        </w:tc>
        <w:tc>
          <w:tcPr>
            <w:tcW w:w="2051" w:type="dxa"/>
            <w:shd w:val="clear" w:color="auto" w:fill="C6EFCE"/>
            <w:noWrap/>
          </w:tcPr>
          <w:p w14:paraId="675E4A1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16810_CRM pre verejnú správu</w:t>
            </w:r>
          </w:p>
        </w:tc>
        <w:tc>
          <w:tcPr>
            <w:tcW w:w="1182" w:type="dxa"/>
            <w:shd w:val="clear" w:color="auto" w:fill="C6EFCE"/>
            <w:noWrap/>
          </w:tcPr>
          <w:p w14:paraId="274D2A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566AEBEA" w14:textId="135F4CB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Systém riadenia vzťahov so zákazníkmi pre verejnú správu</w:t>
            </w:r>
            <w:r w:rsidR="00AB26B3" w:rsidRPr="00AB26B3">
              <w:rPr>
                <w:noProof/>
                <w:spacing w:val="-6"/>
                <w:lang w:val="sk-SK"/>
              </w:rPr>
              <w:t xml:space="preserve"> a </w:t>
            </w:r>
            <w:r w:rsidRPr="00AB26B3">
              <w:rPr>
                <w:noProof/>
                <w:spacing w:val="-6"/>
                <w:lang w:val="sk-SK"/>
              </w:rPr>
              <w:t xml:space="preserve">Gov.gr – kuriér </w:t>
            </w:r>
          </w:p>
        </w:tc>
        <w:tc>
          <w:tcPr>
            <w:tcW w:w="2251" w:type="dxa"/>
            <w:shd w:val="clear" w:color="auto" w:fill="C6EFCE"/>
            <w:noWrap/>
          </w:tcPr>
          <w:p w14:paraId="5EE94B45" w14:textId="63CF1D7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Dodanie systému CRM</w:t>
            </w:r>
            <w:r w:rsidR="00AB26B3" w:rsidRPr="00AB26B3">
              <w:rPr>
                <w:noProof/>
                <w:spacing w:val="-6"/>
                <w:lang w:val="sk-SK"/>
              </w:rPr>
              <w:t xml:space="preserve"> a </w:t>
            </w:r>
            <w:r w:rsidRPr="00AB26B3">
              <w:rPr>
                <w:noProof/>
                <w:spacing w:val="-6"/>
                <w:lang w:val="sk-SK"/>
              </w:rPr>
              <w:t>Gov. gr – doručovateľ</w:t>
            </w:r>
          </w:p>
        </w:tc>
        <w:tc>
          <w:tcPr>
            <w:tcW w:w="870" w:type="dxa"/>
            <w:shd w:val="clear" w:color="auto" w:fill="C6EFCE"/>
            <w:noWrap/>
          </w:tcPr>
          <w:p w14:paraId="36F9790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1BA5992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3AF228B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770FE3D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37" w:type="dxa"/>
            <w:shd w:val="clear" w:color="auto" w:fill="C6EFCE"/>
            <w:noWrap/>
          </w:tcPr>
          <w:p w14:paraId="37A5A6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727" w:type="dxa"/>
            <w:shd w:val="clear" w:color="auto" w:fill="C6EFCE"/>
            <w:noWrap/>
          </w:tcPr>
          <w:p w14:paraId="68E2D172" w14:textId="43B52F64" w:rsidR="00302FC1" w:rsidRPr="00AB26B3" w:rsidRDefault="00D64F26">
            <w:pPr>
              <w:pStyle w:val="P68B1DB1-Normal12"/>
              <w:spacing w:after="0" w:line="240" w:lineRule="auto"/>
              <w:rPr>
                <w:noProof/>
                <w:spacing w:val="-6"/>
                <w:lang w:val="sk-SK"/>
              </w:rPr>
            </w:pPr>
            <w:r w:rsidRPr="00AB26B3">
              <w:rPr>
                <w:noProof/>
                <w:spacing w:val="-6"/>
                <w:lang w:val="sk-SK"/>
              </w:rPr>
              <w:t>Míľnik si vyžaduje splnenie: a) systém riadenia vzťahov so zákazníkmi pre verejnú správu, ktorý umožňuje riadenie interakcií verejnej správy</w:t>
            </w:r>
            <w:r w:rsidR="00AB26B3" w:rsidRPr="00AB26B3">
              <w:rPr>
                <w:noProof/>
                <w:spacing w:val="-6"/>
                <w:lang w:val="sk-SK"/>
              </w:rPr>
              <w:t xml:space="preserve"> s </w:t>
            </w:r>
            <w:r w:rsidRPr="00AB26B3">
              <w:rPr>
                <w:noProof/>
                <w:spacing w:val="-6"/>
                <w:lang w:val="sk-SK"/>
              </w:rPr>
              <w:t>občanmi</w:t>
            </w:r>
            <w:r w:rsidR="00AB26B3" w:rsidRPr="00AB26B3">
              <w:rPr>
                <w:noProof/>
                <w:spacing w:val="-6"/>
                <w:lang w:val="sk-SK"/>
              </w:rPr>
              <w:t xml:space="preserve"> a </w:t>
            </w:r>
            <w:r w:rsidRPr="00AB26B3">
              <w:rPr>
                <w:noProof/>
                <w:spacing w:val="-6"/>
                <w:lang w:val="sk-SK"/>
              </w:rPr>
              <w:t>podnikmi,</w:t>
            </w:r>
            <w:r w:rsidR="00AB26B3" w:rsidRPr="00AB26B3">
              <w:rPr>
                <w:noProof/>
                <w:spacing w:val="-6"/>
                <w:lang w:val="sk-SK"/>
              </w:rPr>
              <w:t xml:space="preserve"> a </w:t>
            </w:r>
            <w:r w:rsidRPr="00AB26B3">
              <w:rPr>
                <w:noProof/>
                <w:spacing w:val="-6"/>
                <w:lang w:val="sk-SK"/>
              </w:rPr>
              <w:t>b) integrovaný systém elektronickej komunikácie medzi systémami</w:t>
            </w:r>
            <w:r w:rsidR="00AB26B3" w:rsidRPr="00AB26B3">
              <w:rPr>
                <w:noProof/>
                <w:spacing w:val="-6"/>
                <w:lang w:val="sk-SK"/>
              </w:rPr>
              <w:t xml:space="preserve"> a </w:t>
            </w:r>
            <w:r w:rsidRPr="00AB26B3">
              <w:rPr>
                <w:noProof/>
                <w:spacing w:val="-6"/>
                <w:lang w:val="sk-SK"/>
              </w:rPr>
              <w:t>službami verejného sektora</w:t>
            </w:r>
            <w:r w:rsidR="00AB26B3" w:rsidRPr="00AB26B3">
              <w:rPr>
                <w:noProof/>
                <w:spacing w:val="-6"/>
                <w:lang w:val="sk-SK"/>
              </w:rPr>
              <w:t xml:space="preserve"> a </w:t>
            </w:r>
            <w:r w:rsidRPr="00AB26B3">
              <w:rPr>
                <w:noProof/>
                <w:spacing w:val="-6"/>
                <w:lang w:val="sk-SK"/>
              </w:rPr>
              <w:t>gréckymi občanmi (Gov. gr – doručovateľ).</w:t>
            </w:r>
          </w:p>
        </w:tc>
      </w:tr>
      <w:tr w:rsidR="00302FC1" w:rsidRPr="00AB26B3" w14:paraId="6136BAD9" w14:textId="77777777">
        <w:trPr>
          <w:trHeight w:val="313"/>
          <w:jc w:val="center"/>
        </w:trPr>
        <w:tc>
          <w:tcPr>
            <w:tcW w:w="817" w:type="dxa"/>
            <w:shd w:val="clear" w:color="auto" w:fill="C6EFCE"/>
            <w:noWrap/>
          </w:tcPr>
          <w:p w14:paraId="25ADC5F3" w14:textId="77777777" w:rsidR="00302FC1" w:rsidRPr="00AB26B3" w:rsidRDefault="00D64F26">
            <w:pPr>
              <w:pStyle w:val="P68B1DB1-Normal12"/>
              <w:spacing w:after="0" w:line="240" w:lineRule="auto"/>
              <w:rPr>
                <w:noProof/>
                <w:spacing w:val="-6"/>
                <w:lang w:val="sk-SK"/>
              </w:rPr>
            </w:pPr>
            <w:r w:rsidRPr="00AB26B3">
              <w:rPr>
                <w:noProof/>
                <w:spacing w:val="-6"/>
                <w:lang w:val="sk-SK"/>
              </w:rPr>
              <w:t>110a</w:t>
            </w:r>
          </w:p>
        </w:tc>
        <w:tc>
          <w:tcPr>
            <w:tcW w:w="2051" w:type="dxa"/>
            <w:shd w:val="clear" w:color="auto" w:fill="C6EFCE"/>
            <w:noWrap/>
          </w:tcPr>
          <w:p w14:paraId="168FB8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16780_Modernizácia jednotných kontaktných miest verejnej správy</w:t>
            </w:r>
          </w:p>
        </w:tc>
        <w:tc>
          <w:tcPr>
            <w:tcW w:w="1182" w:type="dxa"/>
            <w:shd w:val="clear" w:color="auto" w:fill="C6EFCE"/>
            <w:noWrap/>
          </w:tcPr>
          <w:p w14:paraId="22B4025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6ECA16A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Realizácia projektu modernizácie jednotných kontaktných miest  </w:t>
            </w:r>
          </w:p>
        </w:tc>
        <w:tc>
          <w:tcPr>
            <w:tcW w:w="2251" w:type="dxa"/>
            <w:shd w:val="clear" w:color="auto" w:fill="C6EFCE"/>
            <w:noWrap/>
          </w:tcPr>
          <w:p w14:paraId="59D3B8BE" w14:textId="0B64D81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Dodanie vybavenia na modernizáciu jednotných kontaktných miest verejnej správy</w:t>
            </w:r>
          </w:p>
        </w:tc>
        <w:tc>
          <w:tcPr>
            <w:tcW w:w="870" w:type="dxa"/>
            <w:shd w:val="clear" w:color="auto" w:fill="C6EFCE"/>
            <w:noWrap/>
          </w:tcPr>
          <w:p w14:paraId="2A63342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3AD4A1E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0A54A7D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6CB7930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599189E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727" w:type="dxa"/>
            <w:shd w:val="clear" w:color="auto" w:fill="C6EFCE"/>
            <w:noWrap/>
          </w:tcPr>
          <w:p w14:paraId="3F635814" w14:textId="12259C9A" w:rsidR="00302FC1" w:rsidRPr="00AB26B3" w:rsidRDefault="00D64F26">
            <w:pPr>
              <w:pStyle w:val="P68B1DB1-Normal12"/>
              <w:spacing w:after="0" w:line="240" w:lineRule="auto"/>
              <w:rPr>
                <w:noProof/>
                <w:spacing w:val="-6"/>
                <w:lang w:val="sk-SK"/>
              </w:rPr>
            </w:pPr>
            <w:r w:rsidRPr="00AB26B3">
              <w:rPr>
                <w:noProof/>
                <w:spacing w:val="-6"/>
                <w:lang w:val="sk-SK"/>
              </w:rPr>
              <w:t>Dodanie i) 6325 osobných počítačov/tlačiarní/tabletov, ii) 145 systémov na správu čakacieho radu</w:t>
            </w:r>
            <w:r w:rsidR="00AB26B3" w:rsidRPr="00AB26B3">
              <w:rPr>
                <w:noProof/>
                <w:spacing w:val="-6"/>
                <w:lang w:val="sk-SK"/>
              </w:rPr>
              <w:t xml:space="preserve"> a </w:t>
            </w:r>
            <w:r w:rsidRPr="00AB26B3">
              <w:rPr>
                <w:noProof/>
                <w:spacing w:val="-6"/>
                <w:lang w:val="sk-SK"/>
              </w:rPr>
              <w:t xml:space="preserve">oznamovanie, iii) 730 terminálov spätnej väzby. </w:t>
            </w:r>
          </w:p>
        </w:tc>
      </w:tr>
      <w:tr w:rsidR="00302FC1" w:rsidRPr="00AB26B3" w14:paraId="0BC3B6A4" w14:textId="77777777">
        <w:trPr>
          <w:trHeight w:val="300"/>
          <w:jc w:val="center"/>
        </w:trPr>
        <w:tc>
          <w:tcPr>
            <w:tcW w:w="817" w:type="dxa"/>
            <w:shd w:val="clear" w:color="auto" w:fill="C6EFCE"/>
            <w:noWrap/>
          </w:tcPr>
          <w:p w14:paraId="0BAB10E5" w14:textId="77777777" w:rsidR="00302FC1" w:rsidRPr="00AB26B3" w:rsidRDefault="00D64F26">
            <w:pPr>
              <w:pStyle w:val="P68B1DB1-Normal12"/>
              <w:spacing w:line="240" w:lineRule="auto"/>
              <w:rPr>
                <w:noProof/>
                <w:spacing w:val="-6"/>
                <w:lang w:val="sk-SK"/>
              </w:rPr>
            </w:pPr>
            <w:r w:rsidRPr="00AB26B3">
              <w:rPr>
                <w:noProof/>
                <w:spacing w:val="-6"/>
                <w:lang w:val="sk-SK"/>
              </w:rPr>
              <w:t>110b</w:t>
            </w:r>
          </w:p>
        </w:tc>
        <w:tc>
          <w:tcPr>
            <w:tcW w:w="2051" w:type="dxa"/>
            <w:shd w:val="clear" w:color="auto" w:fill="C6EFCE"/>
            <w:noWrap/>
          </w:tcPr>
          <w:p w14:paraId="3CB3D08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16780_Modernizácia jednotných kontaktných miest verejnej správy</w:t>
            </w:r>
          </w:p>
        </w:tc>
        <w:tc>
          <w:tcPr>
            <w:tcW w:w="1182" w:type="dxa"/>
            <w:shd w:val="clear" w:color="auto" w:fill="C6EFCE"/>
            <w:noWrap/>
          </w:tcPr>
          <w:p w14:paraId="59545CE8" w14:textId="77777777" w:rsidR="00302FC1" w:rsidRPr="00AB26B3" w:rsidRDefault="00D64F26">
            <w:pPr>
              <w:pStyle w:val="P68B1DB1-Normal12"/>
              <w:spacing w:line="240" w:lineRule="auto"/>
              <w:rPr>
                <w:noProof/>
                <w:spacing w:val="-6"/>
                <w:lang w:val="sk-SK"/>
              </w:rPr>
            </w:pPr>
            <w:r w:rsidRPr="00AB26B3">
              <w:rPr>
                <w:noProof/>
                <w:spacing w:val="-6"/>
                <w:lang w:val="sk-SK"/>
              </w:rPr>
              <w:t>Míľnik</w:t>
            </w:r>
          </w:p>
        </w:tc>
        <w:tc>
          <w:tcPr>
            <w:tcW w:w="1530" w:type="dxa"/>
            <w:shd w:val="clear" w:color="auto" w:fill="C6EFCE"/>
            <w:noWrap/>
          </w:tcPr>
          <w:p w14:paraId="147D0627" w14:textId="77777777" w:rsidR="00302FC1" w:rsidRPr="00AB26B3" w:rsidRDefault="00D64F26">
            <w:pPr>
              <w:pStyle w:val="P68B1DB1-Normal12"/>
              <w:spacing w:line="240" w:lineRule="auto"/>
              <w:rPr>
                <w:noProof/>
                <w:spacing w:val="-6"/>
                <w:lang w:val="sk-SK"/>
              </w:rPr>
            </w:pPr>
            <w:r w:rsidRPr="00AB26B3">
              <w:rPr>
                <w:noProof/>
                <w:spacing w:val="-6"/>
                <w:lang w:val="sk-SK"/>
              </w:rPr>
              <w:t>Renovácia jednotných kontaktných miest verejnej správy</w:t>
            </w:r>
          </w:p>
        </w:tc>
        <w:tc>
          <w:tcPr>
            <w:tcW w:w="2251" w:type="dxa"/>
            <w:shd w:val="clear" w:color="auto" w:fill="C6EFCE"/>
            <w:noWrap/>
          </w:tcPr>
          <w:p w14:paraId="1B61BFCA" w14:textId="36FFBAF0" w:rsidR="00302FC1" w:rsidRPr="00AB26B3" w:rsidRDefault="00D64F26">
            <w:pPr>
              <w:pStyle w:val="P68B1DB1-Normal12"/>
              <w:spacing w:line="240" w:lineRule="auto"/>
              <w:rPr>
                <w:noProof/>
                <w:spacing w:val="-6"/>
                <w:lang w:val="sk-SK"/>
              </w:rPr>
            </w:pPr>
            <w:r w:rsidRPr="00AB26B3">
              <w:rPr>
                <w:noProof/>
                <w:spacing w:val="-6"/>
                <w:lang w:val="sk-SK"/>
              </w:rPr>
              <w:t>Renovácia jednotných kontaktných miest verejnej správy</w:t>
            </w:r>
          </w:p>
        </w:tc>
        <w:tc>
          <w:tcPr>
            <w:tcW w:w="870" w:type="dxa"/>
            <w:shd w:val="clear" w:color="auto" w:fill="C6EFCE"/>
            <w:noWrap/>
          </w:tcPr>
          <w:p w14:paraId="10077603"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09470B76"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058F7474"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6B733DA9" w14:textId="77777777" w:rsidR="00302FC1" w:rsidRPr="00AB26B3" w:rsidRDefault="00D64F26">
            <w:pPr>
              <w:pStyle w:val="P68B1DB1-Normal12"/>
              <w:spacing w:line="240" w:lineRule="auto"/>
              <w:rPr>
                <w:noProof/>
                <w:spacing w:val="-6"/>
                <w:lang w:val="sk-SK"/>
              </w:rPr>
            </w:pPr>
            <w:r w:rsidRPr="00AB26B3">
              <w:rPr>
                <w:noProof/>
                <w:spacing w:val="-6"/>
                <w:lang w:val="sk-SK"/>
              </w:rPr>
              <w:t>ŠTVRTÝ ŠTVRŤROK</w:t>
            </w:r>
          </w:p>
        </w:tc>
        <w:tc>
          <w:tcPr>
            <w:tcW w:w="637" w:type="dxa"/>
            <w:shd w:val="clear" w:color="auto" w:fill="C6EFCE"/>
            <w:noWrap/>
          </w:tcPr>
          <w:p w14:paraId="3F116D16" w14:textId="77777777" w:rsidR="00302FC1" w:rsidRPr="00AB26B3" w:rsidRDefault="00D64F26">
            <w:pPr>
              <w:pStyle w:val="P68B1DB1-Normal12"/>
              <w:spacing w:line="240" w:lineRule="auto"/>
              <w:rPr>
                <w:noProof/>
                <w:spacing w:val="-6"/>
                <w:lang w:val="sk-SK"/>
              </w:rPr>
            </w:pPr>
            <w:r w:rsidRPr="00AB26B3">
              <w:rPr>
                <w:noProof/>
                <w:spacing w:val="-6"/>
                <w:lang w:val="sk-SK"/>
              </w:rPr>
              <w:t>2025</w:t>
            </w:r>
          </w:p>
        </w:tc>
        <w:tc>
          <w:tcPr>
            <w:tcW w:w="3727" w:type="dxa"/>
            <w:shd w:val="clear" w:color="auto" w:fill="C6EFCE"/>
            <w:noWrap/>
          </w:tcPr>
          <w:p w14:paraId="1A92C607" w14:textId="04AC490B" w:rsidR="00302FC1" w:rsidRPr="00AB26B3" w:rsidRDefault="00D64F26">
            <w:pPr>
              <w:pStyle w:val="P68B1DB1-Normal12"/>
              <w:spacing w:line="240" w:lineRule="auto"/>
              <w:rPr>
                <w:noProof/>
                <w:spacing w:val="-6"/>
                <w:lang w:val="sk-SK"/>
              </w:rPr>
            </w:pPr>
            <w:r w:rsidRPr="00AB26B3">
              <w:rPr>
                <w:noProof/>
                <w:spacing w:val="-6"/>
                <w:lang w:val="sk-SK"/>
              </w:rPr>
              <w:t>Renovácia 360 jednotných kontaktných miest verejnej správy.</w:t>
            </w:r>
          </w:p>
        </w:tc>
      </w:tr>
      <w:tr w:rsidR="00302FC1" w:rsidRPr="00AB26B3" w14:paraId="3CE9553E" w14:textId="77777777">
        <w:trPr>
          <w:trHeight w:val="313"/>
          <w:jc w:val="center"/>
        </w:trPr>
        <w:tc>
          <w:tcPr>
            <w:tcW w:w="817" w:type="dxa"/>
            <w:shd w:val="clear" w:color="auto" w:fill="C6EFCE"/>
            <w:noWrap/>
          </w:tcPr>
          <w:p w14:paraId="6E42589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112</w:t>
            </w:r>
          </w:p>
        </w:tc>
        <w:tc>
          <w:tcPr>
            <w:tcW w:w="2051" w:type="dxa"/>
            <w:shd w:val="clear" w:color="auto" w:fill="C6EFCE"/>
            <w:noWrap/>
          </w:tcPr>
          <w:p w14:paraId="024E713B" w14:textId="2D82319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16823_Stratégia kybernetickej bezpečnosti</w:t>
            </w:r>
            <w:r w:rsidR="00AB26B3" w:rsidRPr="00AB26B3">
              <w:rPr>
                <w:noProof/>
                <w:spacing w:val="-6"/>
                <w:lang w:val="sk-SK"/>
              </w:rPr>
              <w:t xml:space="preserve"> a </w:t>
            </w:r>
            <w:r w:rsidRPr="00AB26B3">
              <w:rPr>
                <w:noProof/>
                <w:spacing w:val="-6"/>
                <w:lang w:val="sk-SK"/>
              </w:rPr>
              <w:t>Národné bezpečnostné operačné centrum</w:t>
            </w:r>
          </w:p>
        </w:tc>
        <w:tc>
          <w:tcPr>
            <w:tcW w:w="1182" w:type="dxa"/>
            <w:shd w:val="clear" w:color="auto" w:fill="C6EFCE"/>
            <w:noWrap/>
          </w:tcPr>
          <w:p w14:paraId="165A91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2B7A2338" w14:textId="3ACD5D81" w:rsidR="00302FC1" w:rsidRPr="00AB26B3" w:rsidRDefault="00D64F26">
            <w:pPr>
              <w:pStyle w:val="P68B1DB1-Normal12"/>
              <w:spacing w:after="0" w:line="240" w:lineRule="auto"/>
              <w:rPr>
                <w:noProof/>
                <w:spacing w:val="-6"/>
                <w:lang w:val="sk-SK"/>
              </w:rPr>
            </w:pPr>
            <w:r w:rsidRPr="00AB26B3">
              <w:rPr>
                <w:noProof/>
                <w:spacing w:val="-6"/>
                <w:lang w:val="sk-SK"/>
              </w:rPr>
              <w:t>Realizácia stratégie kybernetickej bezpečnosti</w:t>
            </w:r>
            <w:r w:rsidR="00AB26B3" w:rsidRPr="00AB26B3">
              <w:rPr>
                <w:noProof/>
                <w:spacing w:val="-6"/>
                <w:lang w:val="sk-SK"/>
              </w:rPr>
              <w:t xml:space="preserve"> a </w:t>
            </w:r>
            <w:r w:rsidRPr="00AB26B3">
              <w:rPr>
                <w:noProof/>
                <w:spacing w:val="-6"/>
                <w:lang w:val="sk-SK"/>
              </w:rPr>
              <w:t xml:space="preserve">Národného centra bezpečnostných operácií </w:t>
            </w:r>
          </w:p>
        </w:tc>
        <w:tc>
          <w:tcPr>
            <w:tcW w:w="2251" w:type="dxa"/>
            <w:shd w:val="clear" w:color="auto" w:fill="C6EFCE"/>
            <w:noWrap/>
          </w:tcPr>
          <w:p w14:paraId="07A5E0E2" w14:textId="65D065E0" w:rsidR="00302FC1" w:rsidRPr="00AB26B3" w:rsidRDefault="00D64F26">
            <w:pPr>
              <w:pStyle w:val="P68B1DB1-Normal12"/>
              <w:spacing w:after="0" w:line="240" w:lineRule="auto"/>
              <w:rPr>
                <w:noProof/>
                <w:spacing w:val="-6"/>
                <w:lang w:val="sk-SK"/>
              </w:rPr>
            </w:pPr>
            <w:r w:rsidRPr="00AB26B3">
              <w:rPr>
                <w:noProof/>
                <w:spacing w:val="-6"/>
                <w:lang w:val="sk-SK"/>
              </w:rPr>
              <w:t>Realizácia stratégie pre bezpečnosť cybseru</w:t>
            </w:r>
            <w:r w:rsidR="00AB26B3" w:rsidRPr="00AB26B3">
              <w:rPr>
                <w:noProof/>
                <w:spacing w:val="-6"/>
                <w:lang w:val="sk-SK"/>
              </w:rPr>
              <w:t xml:space="preserve"> a </w:t>
            </w:r>
            <w:r w:rsidRPr="00AB26B3">
              <w:rPr>
                <w:noProof/>
                <w:spacing w:val="-6"/>
                <w:lang w:val="sk-SK"/>
              </w:rPr>
              <w:t>Centra pre operácie národnej bezpečnosti</w:t>
            </w:r>
          </w:p>
        </w:tc>
        <w:tc>
          <w:tcPr>
            <w:tcW w:w="870" w:type="dxa"/>
            <w:shd w:val="clear" w:color="auto" w:fill="C6EFCE"/>
            <w:noWrap/>
          </w:tcPr>
          <w:p w14:paraId="01B0E0C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79ACA96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6FEBD69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45937D1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46321A3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727" w:type="dxa"/>
            <w:shd w:val="clear" w:color="auto" w:fill="C6EFCE"/>
            <w:noWrap/>
          </w:tcPr>
          <w:p w14:paraId="0B259C49" w14:textId="77777777" w:rsidR="00302FC1" w:rsidRPr="00AB26B3" w:rsidRDefault="00D64F26">
            <w:pPr>
              <w:pStyle w:val="P68B1DB1-Normal12"/>
              <w:spacing w:after="0" w:line="240" w:lineRule="auto"/>
              <w:rPr>
                <w:noProof/>
                <w:spacing w:val="-6"/>
                <w:lang w:val="sk-SK"/>
              </w:rPr>
            </w:pPr>
            <w:r w:rsidRPr="00AB26B3">
              <w:rPr>
                <w:noProof/>
                <w:spacing w:val="-6"/>
                <w:lang w:val="sk-SK"/>
              </w:rPr>
              <w:t>Vykonávanie i) stratégie kybernetickej bezpečnosti; Národného centra bezpečnostných operácií (SOC)</w:t>
            </w:r>
          </w:p>
        </w:tc>
      </w:tr>
      <w:tr w:rsidR="00302FC1" w:rsidRPr="00AB26B3" w14:paraId="463017A2" w14:textId="77777777">
        <w:trPr>
          <w:trHeight w:val="313"/>
          <w:jc w:val="center"/>
        </w:trPr>
        <w:tc>
          <w:tcPr>
            <w:tcW w:w="817" w:type="dxa"/>
            <w:shd w:val="clear" w:color="auto" w:fill="C6EFCE"/>
            <w:noWrap/>
          </w:tcPr>
          <w:p w14:paraId="5E77F24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113</w:t>
            </w:r>
          </w:p>
        </w:tc>
        <w:tc>
          <w:tcPr>
            <w:tcW w:w="2051" w:type="dxa"/>
            <w:shd w:val="clear" w:color="auto" w:fill="C6EFCE"/>
            <w:noWrap/>
          </w:tcPr>
          <w:p w14:paraId="3A9593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16738_centrálny systém správy dokumentov</w:t>
            </w:r>
          </w:p>
        </w:tc>
        <w:tc>
          <w:tcPr>
            <w:tcW w:w="1182" w:type="dxa"/>
            <w:shd w:val="clear" w:color="auto" w:fill="C6EFCE"/>
            <w:noWrap/>
          </w:tcPr>
          <w:p w14:paraId="1745F1C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71591A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Dokončenie projektu centrálneho systému správy dokumentov </w:t>
            </w:r>
          </w:p>
        </w:tc>
        <w:tc>
          <w:tcPr>
            <w:tcW w:w="2251" w:type="dxa"/>
            <w:shd w:val="clear" w:color="auto" w:fill="C6EFCE"/>
            <w:noWrap/>
          </w:tcPr>
          <w:p w14:paraId="02629389" w14:textId="60097E0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Záverečná správa ministerstva pre digitálnu správu,</w:t>
            </w:r>
            <w:r w:rsidR="00AB26B3" w:rsidRPr="00AB26B3">
              <w:rPr>
                <w:noProof/>
                <w:spacing w:val="-6"/>
                <w:lang w:val="sk-SK"/>
              </w:rPr>
              <w:t xml:space="preserve"> v </w:t>
            </w:r>
            <w:r w:rsidRPr="00AB26B3">
              <w:rPr>
                <w:noProof/>
                <w:spacing w:val="-6"/>
                <w:lang w:val="sk-SK"/>
              </w:rPr>
              <w:t>ktorej sa dokumentuje dokončenie centrálneho systému správy dokumentov</w:t>
            </w:r>
          </w:p>
        </w:tc>
        <w:tc>
          <w:tcPr>
            <w:tcW w:w="870" w:type="dxa"/>
            <w:shd w:val="clear" w:color="auto" w:fill="C6EFCE"/>
            <w:noWrap/>
          </w:tcPr>
          <w:p w14:paraId="1AC292F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358CB6F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725328A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7B4B2DC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37" w:type="dxa"/>
            <w:shd w:val="clear" w:color="auto" w:fill="C6EFCE"/>
            <w:noWrap/>
          </w:tcPr>
          <w:p w14:paraId="0E277A5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727" w:type="dxa"/>
            <w:shd w:val="clear" w:color="auto" w:fill="C6EFCE"/>
            <w:noWrap/>
          </w:tcPr>
          <w:p w14:paraId="79094177" w14:textId="77777777" w:rsidR="00AB26B3" w:rsidRPr="00AB26B3" w:rsidRDefault="00D64F26">
            <w:pPr>
              <w:pStyle w:val="P68B1DB1-Normal12"/>
              <w:spacing w:after="0" w:line="240" w:lineRule="auto"/>
              <w:rPr>
                <w:noProof/>
                <w:spacing w:val="-6"/>
                <w:lang w:val="sk-SK"/>
              </w:rPr>
            </w:pPr>
            <w:r w:rsidRPr="00AB26B3">
              <w:rPr>
                <w:noProof/>
                <w:spacing w:val="-6"/>
                <w:lang w:val="sk-SK"/>
              </w:rPr>
              <w:t>Centrálny systém správy dokumentov je</w:t>
            </w:r>
            <w:r w:rsidR="00AB26B3" w:rsidRPr="00AB26B3">
              <w:rPr>
                <w:noProof/>
                <w:spacing w:val="-6"/>
                <w:lang w:val="sk-SK"/>
              </w:rPr>
              <w:t xml:space="preserve"> v </w:t>
            </w:r>
            <w:r w:rsidRPr="00AB26B3">
              <w:rPr>
                <w:noProof/>
                <w:spacing w:val="-6"/>
                <w:lang w:val="sk-SK"/>
              </w:rPr>
              <w:t>prevádzke vrátane poskytovania</w:t>
            </w:r>
          </w:p>
          <w:p w14:paraId="380580EF" w14:textId="4E143A3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20000 schválených digitálnych podpisov na diaľku</w:t>
            </w:r>
            <w:r w:rsidR="00AB26B3" w:rsidRPr="00AB26B3">
              <w:rPr>
                <w:noProof/>
                <w:spacing w:val="-6"/>
                <w:lang w:val="sk-SK"/>
              </w:rPr>
              <w:t xml:space="preserve"> s </w:t>
            </w:r>
            <w:r w:rsidRPr="00AB26B3">
              <w:rPr>
                <w:noProof/>
                <w:spacing w:val="-6"/>
                <w:lang w:val="sk-SK"/>
              </w:rPr>
              <w:t>podporou aplikácií</w:t>
            </w:r>
            <w:r w:rsidR="00AB26B3" w:rsidRPr="00AB26B3">
              <w:rPr>
                <w:noProof/>
                <w:spacing w:val="-6"/>
                <w:lang w:val="sk-SK"/>
              </w:rPr>
              <w:t xml:space="preserve"> a </w:t>
            </w:r>
            <w:r w:rsidRPr="00AB26B3">
              <w:rPr>
                <w:noProof/>
                <w:spacing w:val="-6"/>
                <w:lang w:val="sk-SK"/>
              </w:rPr>
              <w:t>asistenčnej služby.</w:t>
            </w:r>
          </w:p>
        </w:tc>
      </w:tr>
      <w:tr w:rsidR="00302FC1" w:rsidRPr="00AB26B3" w14:paraId="25282B25" w14:textId="77777777">
        <w:trPr>
          <w:trHeight w:val="313"/>
          <w:jc w:val="center"/>
        </w:trPr>
        <w:tc>
          <w:tcPr>
            <w:tcW w:w="817" w:type="dxa"/>
            <w:shd w:val="clear" w:color="auto" w:fill="C6EFCE"/>
            <w:noWrap/>
          </w:tcPr>
          <w:p w14:paraId="3E076E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114</w:t>
            </w:r>
          </w:p>
        </w:tc>
        <w:tc>
          <w:tcPr>
            <w:tcW w:w="2051" w:type="dxa"/>
            <w:shd w:val="clear" w:color="auto" w:fill="C6EFCE"/>
            <w:noWrap/>
          </w:tcPr>
          <w:p w14:paraId="3E1E7E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16742_Digitálna transformácia ministerstva zahraničných vecí</w:t>
            </w:r>
          </w:p>
        </w:tc>
        <w:tc>
          <w:tcPr>
            <w:tcW w:w="1182" w:type="dxa"/>
            <w:shd w:val="clear" w:color="auto" w:fill="C6EFCE"/>
            <w:noWrap/>
          </w:tcPr>
          <w:p w14:paraId="32D94D6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557BD9C3" w14:textId="374B98F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Digitálna transformácia ministerstva zahraničných vecí</w:t>
            </w:r>
          </w:p>
        </w:tc>
        <w:tc>
          <w:tcPr>
            <w:tcW w:w="2251" w:type="dxa"/>
            <w:shd w:val="clear" w:color="auto" w:fill="C6EFCE"/>
            <w:noWrap/>
          </w:tcPr>
          <w:p w14:paraId="0B5DEA28" w14:textId="4522093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čiastkových projektov projektu „Digitalizácia ministerstva zahraničných vecí“</w:t>
            </w:r>
          </w:p>
        </w:tc>
        <w:tc>
          <w:tcPr>
            <w:tcW w:w="870" w:type="dxa"/>
            <w:shd w:val="clear" w:color="auto" w:fill="C6EFCE"/>
            <w:noWrap/>
          </w:tcPr>
          <w:p w14:paraId="2CECAB9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0E8090E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754308B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27B138E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37" w:type="dxa"/>
            <w:shd w:val="clear" w:color="auto" w:fill="C6EFCE"/>
            <w:noWrap/>
          </w:tcPr>
          <w:p w14:paraId="54E1D9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727" w:type="dxa"/>
            <w:shd w:val="clear" w:color="auto" w:fill="C6EFCE"/>
            <w:noWrap/>
          </w:tcPr>
          <w:p w14:paraId="774ECD55" w14:textId="036C186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Dodanie 1. podporného systému strategického</w:t>
            </w:r>
            <w:r w:rsidR="00AB26B3" w:rsidRPr="00AB26B3">
              <w:rPr>
                <w:noProof/>
                <w:spacing w:val="-6"/>
                <w:lang w:val="sk-SK"/>
              </w:rPr>
              <w:t xml:space="preserve"> a </w:t>
            </w:r>
            <w:r w:rsidRPr="00AB26B3">
              <w:rPr>
                <w:noProof/>
                <w:spacing w:val="-6"/>
                <w:lang w:val="sk-SK"/>
              </w:rPr>
              <w:t>operačného plánovania; 2. digitalizácie diplomatického</w:t>
            </w:r>
            <w:r w:rsidR="00AB26B3" w:rsidRPr="00AB26B3">
              <w:rPr>
                <w:noProof/>
                <w:spacing w:val="-6"/>
                <w:lang w:val="sk-SK"/>
              </w:rPr>
              <w:t xml:space="preserve"> a </w:t>
            </w:r>
            <w:r w:rsidRPr="00AB26B3">
              <w:rPr>
                <w:noProof/>
                <w:spacing w:val="-6"/>
                <w:lang w:val="sk-SK"/>
              </w:rPr>
              <w:t>historického archívu; 3. platformy Globálneho digitálneho informačného centra</w:t>
            </w:r>
            <w:r w:rsidR="00AB26B3" w:rsidRPr="00AB26B3">
              <w:rPr>
                <w:noProof/>
                <w:spacing w:val="-6"/>
                <w:lang w:val="sk-SK"/>
              </w:rPr>
              <w:t xml:space="preserve"> a </w:t>
            </w:r>
            <w:r w:rsidRPr="00AB26B3">
              <w:rPr>
                <w:noProof/>
                <w:spacing w:val="-6"/>
                <w:lang w:val="sk-SK"/>
              </w:rPr>
              <w:t>4. kryptografickej</w:t>
            </w:r>
            <w:r w:rsidR="00AB26B3" w:rsidRPr="00AB26B3">
              <w:rPr>
                <w:noProof/>
                <w:spacing w:val="-6"/>
                <w:lang w:val="sk-SK"/>
              </w:rPr>
              <w:t xml:space="preserve"> a </w:t>
            </w:r>
            <w:r w:rsidRPr="00AB26B3">
              <w:rPr>
                <w:noProof/>
                <w:spacing w:val="-6"/>
                <w:lang w:val="sk-SK"/>
              </w:rPr>
              <w:t>telekomunikačnej infraštruktúry.</w:t>
            </w:r>
          </w:p>
        </w:tc>
      </w:tr>
      <w:tr w:rsidR="00302FC1" w:rsidRPr="00AB26B3" w14:paraId="06E866FE" w14:textId="77777777">
        <w:trPr>
          <w:trHeight w:val="313"/>
          <w:jc w:val="center"/>
        </w:trPr>
        <w:tc>
          <w:tcPr>
            <w:tcW w:w="817" w:type="dxa"/>
            <w:shd w:val="clear" w:color="auto" w:fill="C6EFCE"/>
            <w:noWrap/>
          </w:tcPr>
          <w:p w14:paraId="110BE84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115</w:t>
            </w:r>
          </w:p>
        </w:tc>
        <w:tc>
          <w:tcPr>
            <w:tcW w:w="2051" w:type="dxa"/>
            <w:shd w:val="clear" w:color="auto" w:fill="C6EFCE"/>
            <w:noWrap/>
          </w:tcPr>
          <w:p w14:paraId="10DA00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Modernizujte – 16791_Digitálna transformácia gréckej národnej organizácie cestovného ruchu</w:t>
            </w:r>
          </w:p>
        </w:tc>
        <w:tc>
          <w:tcPr>
            <w:tcW w:w="1182" w:type="dxa"/>
            <w:shd w:val="clear" w:color="auto" w:fill="C6EFCE"/>
            <w:noWrap/>
          </w:tcPr>
          <w:p w14:paraId="16465E4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249C652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Digitalizácia gréckej národnej organizácie cestovného ruchu </w:t>
            </w:r>
          </w:p>
        </w:tc>
        <w:tc>
          <w:tcPr>
            <w:tcW w:w="2251" w:type="dxa"/>
            <w:shd w:val="clear" w:color="auto" w:fill="C6EFCE"/>
            <w:noWrap/>
          </w:tcPr>
          <w:p w14:paraId="1EE2217A" w14:textId="4536956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„Digitálna transformácia gréckej národnej organizácie cestovného ruchu“</w:t>
            </w:r>
          </w:p>
        </w:tc>
        <w:tc>
          <w:tcPr>
            <w:tcW w:w="870" w:type="dxa"/>
            <w:shd w:val="clear" w:color="auto" w:fill="C6EFCE"/>
            <w:noWrap/>
          </w:tcPr>
          <w:p w14:paraId="642B0CA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6291398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78581E1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67867D5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37" w:type="dxa"/>
            <w:shd w:val="clear" w:color="auto" w:fill="C6EFCE"/>
            <w:noWrap/>
          </w:tcPr>
          <w:p w14:paraId="2D82721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727" w:type="dxa"/>
            <w:shd w:val="clear" w:color="auto" w:fill="C6EFCE"/>
            <w:noWrap/>
          </w:tcPr>
          <w:p w14:paraId="00603BF2" w14:textId="7F594D7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1. digitálnej mapy cestovného ruchu, 2. digitálneho archívu kultúrnych aktív Grécka</w:t>
            </w:r>
            <w:r w:rsidR="00AB26B3" w:rsidRPr="00AB26B3">
              <w:rPr>
                <w:noProof/>
                <w:spacing w:val="-6"/>
                <w:lang w:val="sk-SK"/>
              </w:rPr>
              <w:t xml:space="preserve"> a </w:t>
            </w:r>
            <w:r w:rsidRPr="00AB26B3">
              <w:rPr>
                <w:noProof/>
                <w:spacing w:val="-6"/>
                <w:lang w:val="sk-SK"/>
              </w:rPr>
              <w:t>3. nového systému informácií</w:t>
            </w:r>
            <w:r w:rsidR="00AB26B3" w:rsidRPr="00AB26B3">
              <w:rPr>
                <w:noProof/>
                <w:spacing w:val="-6"/>
                <w:lang w:val="sk-SK"/>
              </w:rPr>
              <w:t xml:space="preserve"> o </w:t>
            </w:r>
            <w:r w:rsidRPr="00AB26B3">
              <w:rPr>
                <w:noProof/>
                <w:spacing w:val="-6"/>
                <w:lang w:val="sk-SK"/>
              </w:rPr>
              <w:t>cestovnom ruchu.</w:t>
            </w:r>
          </w:p>
        </w:tc>
      </w:tr>
      <w:tr w:rsidR="00302FC1" w:rsidRPr="00AB26B3" w14:paraId="3337FFCA" w14:textId="77777777">
        <w:trPr>
          <w:trHeight w:val="313"/>
          <w:jc w:val="center"/>
        </w:trPr>
        <w:tc>
          <w:tcPr>
            <w:tcW w:w="817" w:type="dxa"/>
            <w:shd w:val="clear" w:color="auto" w:fill="C6EFCE"/>
            <w:noWrap/>
          </w:tcPr>
          <w:p w14:paraId="1CC3DAF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119</w:t>
            </w:r>
          </w:p>
        </w:tc>
        <w:tc>
          <w:tcPr>
            <w:tcW w:w="2051" w:type="dxa"/>
            <w:shd w:val="clear" w:color="auto" w:fill="C6EFCE"/>
            <w:noWrap/>
          </w:tcPr>
          <w:p w14:paraId="20B422E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16736_Nový systém verejného obstarávania</w:t>
            </w:r>
          </w:p>
        </w:tc>
        <w:tc>
          <w:tcPr>
            <w:tcW w:w="1182" w:type="dxa"/>
            <w:shd w:val="clear" w:color="auto" w:fill="C6EFCE"/>
            <w:noWrap/>
          </w:tcPr>
          <w:p w14:paraId="39AB685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7FCFD70B" w14:textId="161BFB3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Zavedenie nového systému verejného obstarávania </w:t>
            </w:r>
          </w:p>
        </w:tc>
        <w:tc>
          <w:tcPr>
            <w:tcW w:w="2251" w:type="dxa"/>
            <w:shd w:val="clear" w:color="auto" w:fill="C6EFCE"/>
            <w:noWrap/>
          </w:tcPr>
          <w:p w14:paraId="6379B0F0" w14:textId="508BA1F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Zavedenie „nového systému verejného obstarávania“</w:t>
            </w:r>
          </w:p>
        </w:tc>
        <w:tc>
          <w:tcPr>
            <w:tcW w:w="870" w:type="dxa"/>
            <w:shd w:val="clear" w:color="auto" w:fill="C6EFCE"/>
            <w:noWrap/>
          </w:tcPr>
          <w:p w14:paraId="4E85CF6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7E72E26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1863B16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43989FB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51351D2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727" w:type="dxa"/>
            <w:shd w:val="clear" w:color="auto" w:fill="C6EFCE"/>
            <w:noWrap/>
          </w:tcPr>
          <w:p w14:paraId="7DAB6469" w14:textId="641BC018" w:rsidR="00302FC1" w:rsidRPr="00AB26B3" w:rsidRDefault="00D64F26">
            <w:pPr>
              <w:pStyle w:val="P68B1DB1-Normal12"/>
              <w:spacing w:after="0" w:line="240" w:lineRule="auto"/>
              <w:rPr>
                <w:noProof/>
                <w:spacing w:val="-6"/>
                <w:lang w:val="sk-SK"/>
              </w:rPr>
            </w:pPr>
            <w:r w:rsidRPr="00AB26B3">
              <w:rPr>
                <w:noProof/>
                <w:spacing w:val="-6"/>
                <w:lang w:val="sk-SK"/>
              </w:rPr>
              <w:t>Zavedenie nového systému verejného obstarávania</w:t>
            </w:r>
            <w:r w:rsidR="00AB26B3" w:rsidRPr="00AB26B3">
              <w:rPr>
                <w:noProof/>
                <w:spacing w:val="-6"/>
                <w:lang w:val="sk-SK"/>
              </w:rPr>
              <w:t xml:space="preserve"> s </w:t>
            </w:r>
            <w:r w:rsidRPr="00AB26B3">
              <w:rPr>
                <w:noProof/>
                <w:spacing w:val="-6"/>
                <w:lang w:val="sk-SK"/>
              </w:rPr>
              <w:t>cieľom zaviesť nový portál elektronického obstarávania (ESIDIS)</w:t>
            </w:r>
            <w:r w:rsidR="00AB26B3" w:rsidRPr="00AB26B3">
              <w:rPr>
                <w:noProof/>
                <w:spacing w:val="-6"/>
                <w:lang w:val="sk-SK"/>
              </w:rPr>
              <w:t xml:space="preserve"> s </w:t>
            </w:r>
            <w:r w:rsidRPr="00AB26B3">
              <w:rPr>
                <w:noProof/>
                <w:spacing w:val="-6"/>
                <w:lang w:val="sk-SK"/>
              </w:rPr>
              <w:t>modernizovanými subsystémami, interoperabilitou</w:t>
            </w:r>
            <w:r w:rsidR="00AB26B3" w:rsidRPr="00AB26B3">
              <w:rPr>
                <w:noProof/>
                <w:spacing w:val="-6"/>
                <w:lang w:val="sk-SK"/>
              </w:rPr>
              <w:t xml:space="preserve"> s </w:t>
            </w:r>
            <w:r w:rsidRPr="00AB26B3">
              <w:rPr>
                <w:noProof/>
                <w:spacing w:val="-6"/>
                <w:lang w:val="sk-SK"/>
              </w:rPr>
              <w:t>inými systémami, novými bezpečnostnými prvkami</w:t>
            </w:r>
            <w:r w:rsidR="00AB26B3" w:rsidRPr="00AB26B3">
              <w:rPr>
                <w:noProof/>
                <w:spacing w:val="-6"/>
                <w:lang w:val="sk-SK"/>
              </w:rPr>
              <w:t xml:space="preserve"> a </w:t>
            </w:r>
            <w:r w:rsidRPr="00AB26B3">
              <w:rPr>
                <w:noProof/>
                <w:spacing w:val="-6"/>
                <w:lang w:val="sk-SK"/>
              </w:rPr>
              <w:t>podpornými nástrojmi pre hospodárske subjekty</w:t>
            </w:r>
            <w:r w:rsidR="00AB26B3" w:rsidRPr="00AB26B3">
              <w:rPr>
                <w:noProof/>
                <w:spacing w:val="-6"/>
                <w:lang w:val="sk-SK"/>
              </w:rPr>
              <w:t xml:space="preserve"> a </w:t>
            </w:r>
            <w:r w:rsidRPr="00AB26B3">
              <w:rPr>
                <w:noProof/>
                <w:spacing w:val="-6"/>
                <w:lang w:val="sk-SK"/>
              </w:rPr>
              <w:t>verejných obstarávateľov.</w:t>
            </w:r>
          </w:p>
        </w:tc>
      </w:tr>
      <w:tr w:rsidR="00302FC1" w:rsidRPr="00AB26B3" w14:paraId="6F37D4D0" w14:textId="77777777">
        <w:trPr>
          <w:trHeight w:val="313"/>
          <w:jc w:val="center"/>
        </w:trPr>
        <w:tc>
          <w:tcPr>
            <w:tcW w:w="817" w:type="dxa"/>
            <w:shd w:val="clear" w:color="auto" w:fill="C6EFCE"/>
            <w:noWrap/>
          </w:tcPr>
          <w:p w14:paraId="065CB4B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120</w:t>
            </w:r>
          </w:p>
        </w:tc>
        <w:tc>
          <w:tcPr>
            <w:tcW w:w="2051" w:type="dxa"/>
            <w:shd w:val="clear" w:color="auto" w:fill="C6EFCE"/>
            <w:noWrap/>
          </w:tcPr>
          <w:p w14:paraId="2D8E6DA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16824_ERegistries</w:t>
            </w:r>
          </w:p>
        </w:tc>
        <w:tc>
          <w:tcPr>
            <w:tcW w:w="1182" w:type="dxa"/>
            <w:shd w:val="clear" w:color="auto" w:fill="C6EFCE"/>
            <w:noWrap/>
          </w:tcPr>
          <w:p w14:paraId="4C11AC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30" w:type="dxa"/>
            <w:shd w:val="clear" w:color="auto" w:fill="C6EFCE"/>
            <w:noWrap/>
          </w:tcPr>
          <w:p w14:paraId="5D0C2A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Realizácia projektu ERegistries </w:t>
            </w:r>
          </w:p>
        </w:tc>
        <w:tc>
          <w:tcPr>
            <w:tcW w:w="2251" w:type="dxa"/>
            <w:shd w:val="clear" w:color="auto" w:fill="C6EFCE"/>
            <w:noWrap/>
          </w:tcPr>
          <w:p w14:paraId="36BC5FD1" w14:textId="23049713" w:rsidR="00302FC1" w:rsidRPr="00AB26B3" w:rsidRDefault="00D64F26">
            <w:pPr>
              <w:pStyle w:val="P68B1DB1-Normal12"/>
              <w:spacing w:after="0" w:line="240" w:lineRule="auto"/>
              <w:rPr>
                <w:noProof/>
                <w:spacing w:val="-6"/>
                <w:lang w:val="sk-SK"/>
              </w:rPr>
            </w:pPr>
            <w:r w:rsidRPr="00AB26B3">
              <w:rPr>
                <w:noProof/>
                <w:spacing w:val="-6"/>
                <w:lang w:val="sk-SK"/>
              </w:rPr>
              <w:t>Realizácia projektu „elektronických registrov“</w:t>
            </w:r>
          </w:p>
        </w:tc>
        <w:tc>
          <w:tcPr>
            <w:tcW w:w="870" w:type="dxa"/>
            <w:shd w:val="clear" w:color="auto" w:fill="C6EFCE"/>
            <w:noWrap/>
          </w:tcPr>
          <w:p w14:paraId="73B4949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36" w:type="dxa"/>
            <w:shd w:val="clear" w:color="auto" w:fill="C6EFCE"/>
            <w:noWrap/>
          </w:tcPr>
          <w:p w14:paraId="71B6340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35" w:type="dxa"/>
            <w:shd w:val="clear" w:color="auto" w:fill="C6EFCE"/>
            <w:noWrap/>
          </w:tcPr>
          <w:p w14:paraId="75F61CF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9" w:type="dxa"/>
            <w:shd w:val="clear" w:color="auto" w:fill="C6EFCE"/>
            <w:noWrap/>
          </w:tcPr>
          <w:p w14:paraId="7DC34E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37" w:type="dxa"/>
            <w:shd w:val="clear" w:color="auto" w:fill="C6EFCE"/>
            <w:noWrap/>
          </w:tcPr>
          <w:p w14:paraId="48AB86C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727" w:type="dxa"/>
            <w:shd w:val="clear" w:color="auto" w:fill="C6EFCE"/>
            <w:noWrap/>
          </w:tcPr>
          <w:p w14:paraId="775E1425" w14:textId="0F8628B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Poskytovanie platforiem „elektronických registrov“ pre registre vo verejnej správe.</w:t>
            </w:r>
          </w:p>
        </w:tc>
      </w:tr>
    </w:tbl>
    <w:p w14:paraId="4BEC15B0" w14:textId="77777777" w:rsidR="00302FC1" w:rsidRPr="00AB26B3" w:rsidRDefault="00302FC1">
      <w:pPr>
        <w:spacing w:before="120" w:after="120" w:line="240" w:lineRule="auto"/>
        <w:ind w:left="709"/>
        <w:rPr>
          <w:rFonts w:ascii="Times New Roman" w:hAnsi="Times New Roman" w:cs="Times New Roman"/>
          <w:noProof/>
          <w:spacing w:val="-6"/>
          <w:sz w:val="24"/>
          <w:lang w:val="sk-SK"/>
        </w:rPr>
      </w:pPr>
    </w:p>
    <w:p w14:paraId="10BC3336"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sectPr w:rsidR="00302FC1" w:rsidRPr="00AB26B3" w:rsidSect="00315FC0">
          <w:headerReference w:type="default" r:id="rId128"/>
          <w:footerReference w:type="default" r:id="rId129"/>
          <w:pgSz w:w="16839" w:h="11907" w:orient="landscape"/>
          <w:pgMar w:top="720" w:right="720" w:bottom="720" w:left="720" w:header="709" w:footer="709" w:gutter="0"/>
          <w:cols w:space="720"/>
          <w:docGrid w:linePitch="360"/>
        </w:sectPr>
      </w:pPr>
    </w:p>
    <w:p w14:paraId="3B08F0F5" w14:textId="3BCFF8BD"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10: Iniciatívy súvisiace so začlenením nových technológií do digitálnej transformácie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modernizácie verejnej správy</w:t>
      </w:r>
    </w:p>
    <w:p w14:paraId="6110AFAF" w14:textId="30BDD835" w:rsidR="00302FC1" w:rsidRPr="00AB26B3" w:rsidRDefault="00D64F26">
      <w:pPr>
        <w:pStyle w:val="P68B1DB1-Normal5"/>
        <w:numPr>
          <w:ilvl w:val="0"/>
          <w:numId w:val="17"/>
        </w:numPr>
        <w:spacing w:before="120" w:after="0" w:line="240" w:lineRule="auto"/>
        <w:jc w:val="both"/>
        <w:rPr>
          <w:rFonts w:cs="Times New Roman"/>
          <w:noProof/>
          <w:spacing w:val="-6"/>
          <w:lang w:val="sk-SK"/>
        </w:rPr>
      </w:pPr>
      <w:r w:rsidRPr="00AB26B3">
        <w:rPr>
          <w:noProof/>
          <w:spacing w:val="-6"/>
          <w:lang w:val="sk-SK"/>
        </w:rPr>
        <w:t>Začlenenie nových technológií</w:t>
      </w:r>
      <w:r w:rsidR="00AB26B3" w:rsidRPr="00AB26B3">
        <w:rPr>
          <w:noProof/>
          <w:spacing w:val="-6"/>
          <w:lang w:val="sk-SK"/>
        </w:rPr>
        <w:t xml:space="preserve"> a </w:t>
      </w:r>
      <w:r w:rsidRPr="00AB26B3">
        <w:rPr>
          <w:noProof/>
          <w:spacing w:val="-6"/>
          <w:lang w:val="sk-SK"/>
        </w:rPr>
        <w:t>trendov smerom</w:t>
      </w:r>
      <w:r w:rsidR="00AB26B3" w:rsidRPr="00AB26B3">
        <w:rPr>
          <w:noProof/>
          <w:spacing w:val="-6"/>
          <w:lang w:val="sk-SK"/>
        </w:rPr>
        <w:t xml:space="preserve"> k </w:t>
      </w:r>
      <w:r w:rsidRPr="00AB26B3">
        <w:rPr>
          <w:noProof/>
          <w:spacing w:val="-6"/>
          <w:lang w:val="sk-SK"/>
        </w:rPr>
        <w:t>pokročilým službám verejnej správy, zvýšenie efektívnosti</w:t>
      </w:r>
      <w:r w:rsidR="00AB26B3" w:rsidRPr="00AB26B3">
        <w:rPr>
          <w:noProof/>
          <w:spacing w:val="-6"/>
          <w:lang w:val="sk-SK"/>
        </w:rPr>
        <w:t xml:space="preserve"> a </w:t>
      </w:r>
      <w:r w:rsidRPr="00AB26B3">
        <w:rPr>
          <w:noProof/>
          <w:spacing w:val="-6"/>
          <w:lang w:val="sk-SK"/>
        </w:rPr>
        <w:t>účinnosti</w:t>
      </w:r>
      <w:r w:rsidR="00AB26B3" w:rsidRPr="00AB26B3">
        <w:rPr>
          <w:noProof/>
          <w:spacing w:val="-6"/>
          <w:lang w:val="sk-SK"/>
        </w:rPr>
        <w:t xml:space="preserve"> a </w:t>
      </w:r>
      <w:r w:rsidRPr="00AB26B3">
        <w:rPr>
          <w:noProof/>
          <w:spacing w:val="-6"/>
          <w:lang w:val="sk-SK"/>
        </w:rPr>
        <w:t>zníženie nákladov na prevádzku, modernizáciu</w:t>
      </w:r>
      <w:r w:rsidR="00AB26B3" w:rsidRPr="00AB26B3">
        <w:rPr>
          <w:noProof/>
          <w:spacing w:val="-6"/>
          <w:lang w:val="sk-SK"/>
        </w:rPr>
        <w:t xml:space="preserve"> a </w:t>
      </w:r>
      <w:r w:rsidRPr="00AB26B3">
        <w:rPr>
          <w:noProof/>
          <w:spacing w:val="-6"/>
          <w:lang w:val="sk-SK"/>
        </w:rPr>
        <w:t>údržbu systémov (ID: 16928)</w:t>
      </w:r>
    </w:p>
    <w:p w14:paraId="5830ADC1" w14:textId="77777777" w:rsidR="00302FC1" w:rsidRPr="00AB26B3" w:rsidRDefault="00D64F26">
      <w:pPr>
        <w:pStyle w:val="P68B1DB1-Normal5"/>
        <w:numPr>
          <w:ilvl w:val="0"/>
          <w:numId w:val="17"/>
        </w:numPr>
        <w:spacing w:before="120" w:after="0" w:line="240" w:lineRule="auto"/>
        <w:jc w:val="both"/>
        <w:rPr>
          <w:rFonts w:cs="Times New Roman"/>
          <w:noProof/>
          <w:spacing w:val="-6"/>
          <w:lang w:val="sk-SK"/>
        </w:rPr>
      </w:pPr>
      <w:r w:rsidRPr="00AB26B3">
        <w:rPr>
          <w:noProof/>
          <w:spacing w:val="-6"/>
          <w:lang w:val="sk-SK"/>
        </w:rPr>
        <w:t>Inteligentné mestá (ID: 16854)</w:t>
      </w:r>
    </w:p>
    <w:p w14:paraId="5E86B581" w14:textId="1A8960F3" w:rsidR="00302FC1" w:rsidRPr="00AB26B3" w:rsidRDefault="00D64F26">
      <w:pPr>
        <w:pStyle w:val="P68B1DB1-Normal5"/>
        <w:numPr>
          <w:ilvl w:val="0"/>
          <w:numId w:val="17"/>
        </w:numPr>
        <w:spacing w:before="120" w:after="0" w:line="240" w:lineRule="auto"/>
        <w:jc w:val="both"/>
        <w:rPr>
          <w:rFonts w:cs="Times New Roman"/>
          <w:noProof/>
          <w:spacing w:val="-6"/>
          <w:lang w:val="sk-SK"/>
        </w:rPr>
      </w:pPr>
      <w:r w:rsidRPr="00AB26B3">
        <w:rPr>
          <w:noProof/>
          <w:spacing w:val="-6"/>
          <w:lang w:val="sk-SK"/>
        </w:rPr>
        <w:t>Poskytovanie infraštruktúry</w:t>
      </w:r>
      <w:r w:rsidR="00AB26B3" w:rsidRPr="00AB26B3">
        <w:rPr>
          <w:noProof/>
          <w:spacing w:val="-6"/>
          <w:lang w:val="sk-SK"/>
        </w:rPr>
        <w:t xml:space="preserve"> a </w:t>
      </w:r>
      <w:r w:rsidRPr="00AB26B3">
        <w:rPr>
          <w:noProof/>
          <w:spacing w:val="-6"/>
          <w:lang w:val="sk-SK"/>
        </w:rPr>
        <w:t>služieb centrálneho cloud computingu (ID: 16853)</w:t>
      </w:r>
    </w:p>
    <w:p w14:paraId="70EE0162" w14:textId="163C8D76" w:rsidR="00302FC1" w:rsidRPr="00AB26B3" w:rsidRDefault="00D64F26">
      <w:pPr>
        <w:pStyle w:val="P68B1DB1-Normal5"/>
        <w:numPr>
          <w:ilvl w:val="0"/>
          <w:numId w:val="17"/>
        </w:numPr>
        <w:spacing w:before="120" w:after="0" w:line="240" w:lineRule="auto"/>
        <w:jc w:val="both"/>
        <w:rPr>
          <w:rFonts w:cs="Times New Roman"/>
          <w:noProof/>
          <w:spacing w:val="-6"/>
          <w:lang w:val="sk-SK"/>
        </w:rPr>
      </w:pPr>
      <w:r w:rsidRPr="00AB26B3">
        <w:rPr>
          <w:noProof/>
          <w:spacing w:val="-6"/>
          <w:lang w:val="sk-SK"/>
        </w:rPr>
        <w:t>Modernizácia cloudovej výpočtovej infraštruktúry</w:t>
      </w:r>
      <w:r w:rsidR="00AB26B3" w:rsidRPr="00AB26B3">
        <w:rPr>
          <w:noProof/>
          <w:spacing w:val="-6"/>
          <w:lang w:val="sk-SK"/>
        </w:rPr>
        <w:t xml:space="preserve"> a </w:t>
      </w:r>
      <w:r w:rsidRPr="00AB26B3">
        <w:rPr>
          <w:noProof/>
          <w:spacing w:val="-6"/>
          <w:lang w:val="sk-SK"/>
        </w:rPr>
        <w:t>služieb národných infraštruktúr pre výskum</w:t>
      </w:r>
      <w:r w:rsidR="00AB26B3" w:rsidRPr="00AB26B3">
        <w:rPr>
          <w:noProof/>
          <w:spacing w:val="-6"/>
          <w:lang w:val="sk-SK"/>
        </w:rPr>
        <w:t xml:space="preserve"> a </w:t>
      </w:r>
      <w:r w:rsidRPr="00AB26B3">
        <w:rPr>
          <w:noProof/>
          <w:spacing w:val="-6"/>
          <w:lang w:val="sk-SK"/>
        </w:rPr>
        <w:t>technológie (GRNET) (ID: 16955)</w:t>
      </w:r>
    </w:p>
    <w:p w14:paraId="75B7FF8A" w14:textId="77777777" w:rsidR="00302FC1" w:rsidRPr="00AB26B3" w:rsidRDefault="00D64F26">
      <w:pPr>
        <w:pStyle w:val="P68B1DB1-Normal5"/>
        <w:numPr>
          <w:ilvl w:val="0"/>
          <w:numId w:val="17"/>
        </w:numPr>
        <w:spacing w:before="120" w:after="0" w:line="240" w:lineRule="auto"/>
        <w:jc w:val="both"/>
        <w:rPr>
          <w:rFonts w:cs="Times New Roman"/>
          <w:noProof/>
          <w:spacing w:val="-6"/>
          <w:lang w:val="sk-SK"/>
        </w:rPr>
      </w:pPr>
      <w:r w:rsidRPr="00AB26B3">
        <w:rPr>
          <w:noProof/>
          <w:spacing w:val="-6"/>
          <w:lang w:val="sk-SK"/>
        </w:rPr>
        <w:t>Rozšírenie Syzefksis II (ID: 16956)</w:t>
      </w:r>
    </w:p>
    <w:p w14:paraId="2ED3438D" w14:textId="54D1CAF3" w:rsidR="00302FC1" w:rsidRPr="00AB26B3" w:rsidRDefault="00D64F26">
      <w:pPr>
        <w:pStyle w:val="P68B1DB1-Normal5"/>
        <w:numPr>
          <w:ilvl w:val="0"/>
          <w:numId w:val="17"/>
        </w:numPr>
        <w:spacing w:before="120" w:after="0" w:line="240" w:lineRule="auto"/>
        <w:jc w:val="both"/>
        <w:rPr>
          <w:rFonts w:cs="Times New Roman"/>
          <w:noProof/>
          <w:spacing w:val="-6"/>
          <w:lang w:val="sk-SK"/>
        </w:rPr>
      </w:pPr>
      <w:r w:rsidRPr="00AB26B3">
        <w:rPr>
          <w:noProof/>
          <w:spacing w:val="-6"/>
          <w:lang w:val="sk-SK"/>
        </w:rPr>
        <w:t>Stratégia</w:t>
      </w:r>
      <w:r w:rsidR="00AB26B3" w:rsidRPr="00AB26B3">
        <w:rPr>
          <w:noProof/>
          <w:spacing w:val="-6"/>
          <w:lang w:val="sk-SK"/>
        </w:rPr>
        <w:t xml:space="preserve"> a </w:t>
      </w:r>
      <w:r w:rsidRPr="00AB26B3">
        <w:rPr>
          <w:noProof/>
          <w:spacing w:val="-6"/>
          <w:lang w:val="sk-SK"/>
        </w:rPr>
        <w:t>politiky správy údajov pre verejný sektor (ID: 16827)</w:t>
      </w:r>
    </w:p>
    <w:p w14:paraId="79D339C8" w14:textId="77777777" w:rsidR="00302FC1" w:rsidRPr="00AB26B3" w:rsidRDefault="00D64F26">
      <w:pPr>
        <w:pStyle w:val="P68B1DB1-Normal5"/>
        <w:numPr>
          <w:ilvl w:val="0"/>
          <w:numId w:val="17"/>
        </w:numPr>
        <w:spacing w:before="120" w:after="120" w:line="240" w:lineRule="auto"/>
        <w:jc w:val="both"/>
        <w:rPr>
          <w:rFonts w:cs="Times New Roman"/>
          <w:noProof/>
          <w:spacing w:val="-6"/>
          <w:lang w:val="sk-SK"/>
        </w:rPr>
      </w:pPr>
      <w:r w:rsidRPr="00AB26B3">
        <w:rPr>
          <w:noProof/>
          <w:spacing w:val="-6"/>
          <w:lang w:val="sk-SK"/>
        </w:rPr>
        <w:t>Centrálna BI – analýza údajov (ID: 16842)</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072"/>
        <w:gridCol w:w="1134"/>
        <w:gridCol w:w="1417"/>
        <w:gridCol w:w="1701"/>
        <w:gridCol w:w="1322"/>
        <w:gridCol w:w="1134"/>
        <w:gridCol w:w="993"/>
        <w:gridCol w:w="850"/>
        <w:gridCol w:w="992"/>
        <w:gridCol w:w="3398"/>
      </w:tblGrid>
      <w:tr w:rsidR="00302FC1" w:rsidRPr="00AB26B3" w14:paraId="1E9BC977" w14:textId="77777777">
        <w:trPr>
          <w:trHeight w:val="939"/>
          <w:tblHeader/>
          <w:jc w:val="center"/>
        </w:trPr>
        <w:tc>
          <w:tcPr>
            <w:tcW w:w="575" w:type="dxa"/>
            <w:vMerge w:val="restart"/>
            <w:shd w:val="clear" w:color="auto" w:fill="BDD7EE"/>
            <w:vAlign w:val="center"/>
            <w:hideMark/>
          </w:tcPr>
          <w:p w14:paraId="375CAB63" w14:textId="7FB84344"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2072" w:type="dxa"/>
            <w:vMerge w:val="restart"/>
            <w:shd w:val="clear" w:color="auto" w:fill="BDD7EE"/>
            <w:vAlign w:val="center"/>
            <w:hideMark/>
          </w:tcPr>
          <w:p w14:paraId="626CBDE2" w14:textId="77777777" w:rsidR="00AB26B3" w:rsidRPr="00AB26B3" w:rsidRDefault="00D64F26">
            <w:pPr>
              <w:pStyle w:val="P68B1DB1-Normal14"/>
              <w:spacing w:after="0" w:line="240" w:lineRule="auto"/>
              <w:jc w:val="center"/>
              <w:rPr>
                <w:noProof/>
                <w:spacing w:val="-6"/>
                <w:lang w:val="sk-SK"/>
              </w:rPr>
            </w:pPr>
            <w:r w:rsidRPr="00AB26B3">
              <w:rPr>
                <w:noProof/>
                <w:spacing w:val="-6"/>
                <w:lang w:val="sk-SK"/>
              </w:rPr>
              <w:t>Súvisiace opatrenie</w:t>
            </w:r>
          </w:p>
          <w:p w14:paraId="060A93F6" w14:textId="73215FFF"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(Reforma alebo investícia)</w:t>
            </w:r>
          </w:p>
        </w:tc>
        <w:tc>
          <w:tcPr>
            <w:tcW w:w="1134" w:type="dxa"/>
            <w:vMerge w:val="restart"/>
            <w:shd w:val="clear" w:color="auto" w:fill="BDD7EE"/>
            <w:vAlign w:val="center"/>
            <w:hideMark/>
          </w:tcPr>
          <w:p w14:paraId="5EDAFE23"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Míľnik/cieľ</w:t>
            </w:r>
          </w:p>
        </w:tc>
        <w:tc>
          <w:tcPr>
            <w:tcW w:w="1417" w:type="dxa"/>
            <w:vMerge w:val="restart"/>
            <w:shd w:val="clear" w:color="auto" w:fill="BDD7EE"/>
            <w:vAlign w:val="center"/>
            <w:hideMark/>
          </w:tcPr>
          <w:p w14:paraId="12546048"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Názov</w:t>
            </w:r>
          </w:p>
        </w:tc>
        <w:tc>
          <w:tcPr>
            <w:tcW w:w="1701" w:type="dxa"/>
            <w:vMerge w:val="restart"/>
            <w:shd w:val="clear" w:color="auto" w:fill="BDD7EE"/>
            <w:vAlign w:val="center"/>
            <w:hideMark/>
          </w:tcPr>
          <w:p w14:paraId="49FE5C48" w14:textId="006FF781"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Kvalitatívne ukazovatele (pre míľniky)</w:t>
            </w:r>
          </w:p>
        </w:tc>
        <w:tc>
          <w:tcPr>
            <w:tcW w:w="3449" w:type="dxa"/>
            <w:gridSpan w:val="3"/>
            <w:shd w:val="clear" w:color="auto" w:fill="BDD7EE"/>
            <w:vAlign w:val="center"/>
            <w:hideMark/>
          </w:tcPr>
          <w:p w14:paraId="3E2723DA"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Kvantitatívne ukazovatele (pre ciele)</w:t>
            </w:r>
          </w:p>
        </w:tc>
        <w:tc>
          <w:tcPr>
            <w:tcW w:w="1842" w:type="dxa"/>
            <w:gridSpan w:val="2"/>
            <w:shd w:val="clear" w:color="auto" w:fill="BDD7EE"/>
            <w:vAlign w:val="center"/>
            <w:hideMark/>
          </w:tcPr>
          <w:p w14:paraId="7E973909"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Orientačný harmonogram dokončenia </w:t>
            </w:r>
          </w:p>
        </w:tc>
        <w:tc>
          <w:tcPr>
            <w:tcW w:w="3398" w:type="dxa"/>
            <w:vMerge w:val="restart"/>
            <w:shd w:val="clear" w:color="auto" w:fill="BDD7EE"/>
            <w:vAlign w:val="center"/>
            <w:hideMark/>
          </w:tcPr>
          <w:p w14:paraId="0A73FC1E" w14:textId="7E69CD3D"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62823825" w14:textId="77777777">
        <w:trPr>
          <w:trHeight w:val="356"/>
          <w:tblHeader/>
          <w:jc w:val="center"/>
        </w:trPr>
        <w:tc>
          <w:tcPr>
            <w:tcW w:w="575" w:type="dxa"/>
            <w:vMerge/>
            <w:vAlign w:val="center"/>
            <w:hideMark/>
          </w:tcPr>
          <w:p w14:paraId="598CA768"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2072" w:type="dxa"/>
            <w:vMerge/>
            <w:vAlign w:val="center"/>
            <w:hideMark/>
          </w:tcPr>
          <w:p w14:paraId="03FF1E12"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134" w:type="dxa"/>
            <w:vMerge/>
            <w:vAlign w:val="center"/>
            <w:hideMark/>
          </w:tcPr>
          <w:p w14:paraId="6D31517B"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417" w:type="dxa"/>
            <w:vMerge/>
            <w:vAlign w:val="center"/>
            <w:hideMark/>
          </w:tcPr>
          <w:p w14:paraId="180FDDB0"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701" w:type="dxa"/>
            <w:vMerge/>
            <w:vAlign w:val="center"/>
            <w:hideMark/>
          </w:tcPr>
          <w:p w14:paraId="33B8621C"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322" w:type="dxa"/>
            <w:shd w:val="clear" w:color="auto" w:fill="BDD7EE"/>
            <w:vAlign w:val="center"/>
            <w:hideMark/>
          </w:tcPr>
          <w:p w14:paraId="4398965A"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Merná jednotka</w:t>
            </w:r>
          </w:p>
        </w:tc>
        <w:tc>
          <w:tcPr>
            <w:tcW w:w="1134" w:type="dxa"/>
            <w:shd w:val="clear" w:color="auto" w:fill="BDD7EE"/>
            <w:vAlign w:val="center"/>
            <w:hideMark/>
          </w:tcPr>
          <w:p w14:paraId="4FCCCDCA"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Základná </w:t>
            </w:r>
          </w:p>
        </w:tc>
        <w:tc>
          <w:tcPr>
            <w:tcW w:w="993" w:type="dxa"/>
            <w:shd w:val="clear" w:color="auto" w:fill="BDD7EE"/>
            <w:vAlign w:val="center"/>
            <w:hideMark/>
          </w:tcPr>
          <w:p w14:paraId="7EFFA914"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Cieľ </w:t>
            </w:r>
          </w:p>
        </w:tc>
        <w:tc>
          <w:tcPr>
            <w:tcW w:w="850" w:type="dxa"/>
            <w:shd w:val="clear" w:color="auto" w:fill="BDD7EE"/>
            <w:vAlign w:val="center"/>
            <w:hideMark/>
          </w:tcPr>
          <w:p w14:paraId="31065748"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Štvrtina</w:t>
            </w:r>
          </w:p>
        </w:tc>
        <w:tc>
          <w:tcPr>
            <w:tcW w:w="992" w:type="dxa"/>
            <w:shd w:val="clear" w:color="auto" w:fill="BDD7EE"/>
            <w:vAlign w:val="center"/>
          </w:tcPr>
          <w:p w14:paraId="5B4F381A"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Rok</w:t>
            </w:r>
          </w:p>
        </w:tc>
        <w:tc>
          <w:tcPr>
            <w:tcW w:w="3398" w:type="dxa"/>
            <w:vMerge/>
            <w:vAlign w:val="center"/>
            <w:hideMark/>
          </w:tcPr>
          <w:p w14:paraId="09281A36" w14:textId="77777777" w:rsidR="00302FC1" w:rsidRPr="00AB26B3" w:rsidRDefault="00302FC1">
            <w:pPr>
              <w:spacing w:after="0" w:line="240" w:lineRule="auto"/>
              <w:ind w:right="690"/>
              <w:rPr>
                <w:rFonts w:ascii="Times New Roman" w:eastAsia="Times New Roman" w:hAnsi="Times New Roman" w:cs="Times New Roman"/>
                <w:b/>
                <w:noProof/>
                <w:spacing w:val="-6"/>
                <w:sz w:val="18"/>
                <w:szCs w:val="18"/>
                <w:lang w:val="sk-SK"/>
              </w:rPr>
            </w:pPr>
          </w:p>
        </w:tc>
      </w:tr>
      <w:tr w:rsidR="00302FC1" w:rsidRPr="00AB26B3" w14:paraId="51E9CB3B" w14:textId="77777777">
        <w:trPr>
          <w:trHeight w:val="313"/>
          <w:jc w:val="center"/>
        </w:trPr>
        <w:tc>
          <w:tcPr>
            <w:tcW w:w="575" w:type="dxa"/>
            <w:shd w:val="clear" w:color="auto" w:fill="C6EFCE"/>
            <w:noWrap/>
          </w:tcPr>
          <w:p w14:paraId="38B0DBE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121</w:t>
            </w:r>
          </w:p>
        </w:tc>
        <w:tc>
          <w:tcPr>
            <w:tcW w:w="2072" w:type="dxa"/>
            <w:shd w:val="clear" w:color="auto" w:fill="C6EFCE"/>
            <w:noWrap/>
          </w:tcPr>
          <w:p w14:paraId="73F1EFE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Modernizujte – 16842_Central BI – Data Analytics (centrálna základná infraštruktúra – analýza údajov)</w:t>
            </w:r>
          </w:p>
        </w:tc>
        <w:tc>
          <w:tcPr>
            <w:tcW w:w="1134" w:type="dxa"/>
            <w:shd w:val="clear" w:color="auto" w:fill="C6EFCE"/>
            <w:noWrap/>
          </w:tcPr>
          <w:p w14:paraId="238E7FB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7" w:type="dxa"/>
            <w:shd w:val="clear" w:color="auto" w:fill="C6EFCE"/>
            <w:noWrap/>
          </w:tcPr>
          <w:p w14:paraId="2CC5511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Zadanie zákazky – ústredná podniková spravodajská služba (BI) </w:t>
            </w:r>
          </w:p>
        </w:tc>
        <w:tc>
          <w:tcPr>
            <w:tcW w:w="1701" w:type="dxa"/>
            <w:shd w:val="clear" w:color="auto" w:fill="C6EFCE"/>
            <w:noWrap/>
          </w:tcPr>
          <w:p w14:paraId="28C4A424" w14:textId="55EEA9C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1322" w:type="dxa"/>
            <w:shd w:val="clear" w:color="auto" w:fill="C6EFCE"/>
            <w:noWrap/>
          </w:tcPr>
          <w:p w14:paraId="1AD9C92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3007A3D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3025E09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382637D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92" w:type="dxa"/>
            <w:shd w:val="clear" w:color="auto" w:fill="C6EFCE"/>
            <w:noWrap/>
          </w:tcPr>
          <w:p w14:paraId="2D38AF9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398" w:type="dxa"/>
            <w:shd w:val="clear" w:color="auto" w:fill="C6EFCE"/>
            <w:noWrap/>
          </w:tcPr>
          <w:p w14:paraId="72B4D2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Ministerstvo pre digitálnu správu zadá zákazku na ústrednú BI – Údaje. Analytika, ktorá zahŕňa:</w:t>
            </w:r>
          </w:p>
          <w:p w14:paraId="1E04FD1E" w14:textId="24CC3622"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a)</w:t>
            </w:r>
            <w:r w:rsidRPr="00AB26B3">
              <w:rPr>
                <w:noProof/>
                <w:spacing w:val="-6"/>
                <w:lang w:val="sk-SK"/>
              </w:rPr>
              <w:t xml:space="preserve"> </w:t>
            </w:r>
            <w:r w:rsidRPr="00AB26B3">
              <w:rPr>
                <w:noProof/>
                <w:color w:val="006100"/>
                <w:spacing w:val="-6"/>
                <w:lang w:val="sk-SK"/>
              </w:rPr>
              <w:t>Vypracovanie</w:t>
            </w:r>
            <w:r w:rsidR="00AB26B3" w:rsidRPr="00AB26B3">
              <w:rPr>
                <w:noProof/>
                <w:color w:val="006100"/>
                <w:spacing w:val="-6"/>
                <w:lang w:val="sk-SK"/>
              </w:rPr>
              <w:t xml:space="preserve"> a </w:t>
            </w:r>
            <w:r w:rsidRPr="00AB26B3">
              <w:rPr>
                <w:noProof/>
                <w:color w:val="006100"/>
                <w:spacing w:val="-6"/>
                <w:lang w:val="sk-SK"/>
              </w:rPr>
              <w:t>validácia rámca správy údajov, slovníka údajov</w:t>
            </w:r>
            <w:r w:rsidR="00AB26B3" w:rsidRPr="00AB26B3">
              <w:rPr>
                <w:noProof/>
                <w:color w:val="006100"/>
                <w:spacing w:val="-6"/>
                <w:lang w:val="sk-SK"/>
              </w:rPr>
              <w:t xml:space="preserve"> a </w:t>
            </w:r>
            <w:r w:rsidRPr="00AB26B3">
              <w:rPr>
                <w:noProof/>
                <w:color w:val="006100"/>
                <w:spacing w:val="-6"/>
                <w:lang w:val="sk-SK"/>
              </w:rPr>
              <w:t>identifikácia kľúčových ukazovateľov výkonnosti</w:t>
            </w:r>
          </w:p>
          <w:p w14:paraId="406F2FC1" w14:textId="77777777"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b)</w:t>
            </w:r>
            <w:r w:rsidRPr="00AB26B3">
              <w:rPr>
                <w:noProof/>
                <w:spacing w:val="-6"/>
                <w:lang w:val="sk-SK"/>
              </w:rPr>
              <w:t xml:space="preserve"> </w:t>
            </w:r>
            <w:r w:rsidRPr="00AB26B3">
              <w:rPr>
                <w:noProof/>
                <w:color w:val="006100"/>
                <w:spacing w:val="-6"/>
                <w:lang w:val="sk-SK"/>
              </w:rPr>
              <w:t>Identifikácia kľúčových ukazovateľov výkonnosti</w:t>
            </w:r>
          </w:p>
          <w:p w14:paraId="0487E060" w14:textId="77777777"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C)</w:t>
            </w:r>
            <w:r w:rsidRPr="00AB26B3">
              <w:rPr>
                <w:noProof/>
                <w:spacing w:val="-6"/>
                <w:lang w:val="sk-SK"/>
              </w:rPr>
              <w:t xml:space="preserve"> </w:t>
            </w:r>
            <w:r w:rsidRPr="00AB26B3">
              <w:rPr>
                <w:noProof/>
                <w:color w:val="006100"/>
                <w:spacing w:val="-6"/>
                <w:lang w:val="sk-SK"/>
              </w:rPr>
              <w:t>Slovník údajov</w:t>
            </w:r>
          </w:p>
          <w:p w14:paraId="6BB76D82" w14:textId="77777777"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d)</w:t>
            </w:r>
            <w:r w:rsidRPr="00AB26B3">
              <w:rPr>
                <w:noProof/>
                <w:spacing w:val="-6"/>
                <w:lang w:val="sk-SK"/>
              </w:rPr>
              <w:t xml:space="preserve"> </w:t>
            </w:r>
            <w:r w:rsidRPr="00AB26B3">
              <w:rPr>
                <w:noProof/>
                <w:color w:val="006100"/>
                <w:spacing w:val="-6"/>
                <w:lang w:val="sk-SK"/>
              </w:rPr>
              <w:t>Rámec správy údajov</w:t>
            </w:r>
          </w:p>
          <w:p w14:paraId="76F0FBA0" w14:textId="0B356AEF"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e)</w:t>
            </w:r>
            <w:r w:rsidRPr="00AB26B3">
              <w:rPr>
                <w:noProof/>
                <w:spacing w:val="-6"/>
                <w:lang w:val="sk-SK"/>
              </w:rPr>
              <w:t xml:space="preserve"> </w:t>
            </w:r>
            <w:r w:rsidRPr="00AB26B3">
              <w:rPr>
                <w:noProof/>
                <w:color w:val="006100"/>
                <w:spacing w:val="-6"/>
                <w:lang w:val="sk-SK"/>
              </w:rPr>
              <w:t>Navrhnúť architektonické prístupy</w:t>
            </w:r>
            <w:r w:rsidR="00AB26B3" w:rsidRPr="00AB26B3">
              <w:rPr>
                <w:noProof/>
                <w:color w:val="006100"/>
                <w:spacing w:val="-6"/>
                <w:lang w:val="sk-SK"/>
              </w:rPr>
              <w:t xml:space="preserve"> a </w:t>
            </w:r>
            <w:r w:rsidRPr="00AB26B3">
              <w:rPr>
                <w:noProof/>
                <w:color w:val="006100"/>
                <w:spacing w:val="-6"/>
                <w:lang w:val="sk-SK"/>
              </w:rPr>
              <w:t>integračné body</w:t>
            </w:r>
          </w:p>
          <w:p w14:paraId="15F21C71" w14:textId="77777777"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F)</w:t>
            </w:r>
            <w:r w:rsidRPr="00AB26B3">
              <w:rPr>
                <w:noProof/>
                <w:spacing w:val="-6"/>
                <w:lang w:val="sk-SK"/>
              </w:rPr>
              <w:t xml:space="preserve"> </w:t>
            </w:r>
            <w:r w:rsidRPr="00AB26B3">
              <w:rPr>
                <w:noProof/>
                <w:color w:val="006100"/>
                <w:spacing w:val="-6"/>
                <w:lang w:val="sk-SK"/>
              </w:rPr>
              <w:t>Konfigurácia dátového skladu</w:t>
            </w:r>
          </w:p>
          <w:p w14:paraId="0439E383" w14:textId="371194B7"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g)</w:t>
            </w:r>
            <w:r w:rsidRPr="00AB26B3">
              <w:rPr>
                <w:noProof/>
                <w:spacing w:val="-6"/>
                <w:lang w:val="sk-SK"/>
              </w:rPr>
              <w:t xml:space="preserve"> </w:t>
            </w:r>
            <w:r w:rsidRPr="00AB26B3">
              <w:rPr>
                <w:noProof/>
                <w:color w:val="006100"/>
                <w:spacing w:val="-6"/>
                <w:lang w:val="sk-SK"/>
              </w:rPr>
              <w:t>Integrácia</w:t>
            </w:r>
            <w:r w:rsidR="00AB26B3" w:rsidRPr="00AB26B3">
              <w:rPr>
                <w:noProof/>
                <w:color w:val="006100"/>
                <w:spacing w:val="-6"/>
                <w:lang w:val="sk-SK"/>
              </w:rPr>
              <w:t xml:space="preserve"> s </w:t>
            </w:r>
            <w:r w:rsidRPr="00AB26B3">
              <w:rPr>
                <w:noProof/>
                <w:color w:val="006100"/>
                <w:spacing w:val="-6"/>
                <w:lang w:val="sk-SK"/>
              </w:rPr>
              <w:t>informačnými systémami back-office</w:t>
            </w:r>
          </w:p>
          <w:p w14:paraId="3BD9BE81" w14:textId="04540930"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h)</w:t>
            </w:r>
            <w:r w:rsidRPr="00AB26B3">
              <w:rPr>
                <w:noProof/>
                <w:spacing w:val="-6"/>
                <w:lang w:val="sk-SK"/>
              </w:rPr>
              <w:t xml:space="preserve"> </w:t>
            </w:r>
            <w:r w:rsidRPr="00AB26B3">
              <w:rPr>
                <w:noProof/>
                <w:color w:val="006100"/>
                <w:spacing w:val="-6"/>
                <w:lang w:val="sk-SK"/>
              </w:rPr>
              <w:t>Vypracovanie správ</w:t>
            </w:r>
            <w:r w:rsidR="00AB26B3" w:rsidRPr="00AB26B3">
              <w:rPr>
                <w:noProof/>
                <w:color w:val="006100"/>
                <w:spacing w:val="-6"/>
                <w:lang w:val="sk-SK"/>
              </w:rPr>
              <w:t xml:space="preserve"> a </w:t>
            </w:r>
            <w:r w:rsidRPr="00AB26B3">
              <w:rPr>
                <w:noProof/>
                <w:color w:val="006100"/>
                <w:spacing w:val="-6"/>
                <w:lang w:val="sk-SK"/>
              </w:rPr>
              <w:t>analýz BI</w:t>
            </w:r>
          </w:p>
          <w:p w14:paraId="2B6E3142" w14:textId="77777777"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I)</w:t>
            </w:r>
            <w:r w:rsidRPr="00AB26B3">
              <w:rPr>
                <w:noProof/>
                <w:spacing w:val="-6"/>
                <w:lang w:val="sk-SK"/>
              </w:rPr>
              <w:t xml:space="preserve"> </w:t>
            </w:r>
            <w:r w:rsidRPr="00AB26B3">
              <w:rPr>
                <w:noProof/>
                <w:color w:val="006100"/>
                <w:spacing w:val="-6"/>
                <w:lang w:val="sk-SK"/>
              </w:rPr>
              <w:t>Podpora prevádzky ekosystému BI počas 3 rokov</w:t>
            </w:r>
          </w:p>
          <w:p w14:paraId="3D647503" w14:textId="0D072600" w:rsidR="00302FC1" w:rsidRPr="00AB26B3" w:rsidRDefault="00D64F26">
            <w:pPr>
              <w:pStyle w:val="P68B1DB1-Normal15"/>
              <w:spacing w:after="0" w:line="240" w:lineRule="auto"/>
              <w:ind w:left="383" w:hanging="284"/>
              <w:rPr>
                <w:rFonts w:eastAsia="Times New Roman"/>
                <w:noProof/>
                <w:color w:val="006100"/>
                <w:spacing w:val="-6"/>
                <w:lang w:val="sk-SK"/>
              </w:rPr>
            </w:pPr>
            <w:r w:rsidRPr="00AB26B3">
              <w:rPr>
                <w:noProof/>
                <w:color w:val="006100"/>
                <w:spacing w:val="-6"/>
                <w:lang w:val="sk-SK"/>
              </w:rPr>
              <w:t>j)</w:t>
            </w:r>
            <w:r w:rsidRPr="00AB26B3">
              <w:rPr>
                <w:noProof/>
                <w:spacing w:val="-6"/>
                <w:lang w:val="sk-SK"/>
              </w:rPr>
              <w:t xml:space="preserve"> </w:t>
            </w:r>
            <w:r w:rsidRPr="00AB26B3">
              <w:rPr>
                <w:noProof/>
                <w:color w:val="006100"/>
                <w:spacing w:val="-6"/>
                <w:lang w:val="sk-SK"/>
              </w:rPr>
              <w:t>Licenčné poplatky pre 200 používateľov</w:t>
            </w:r>
            <w:r w:rsidR="00AB26B3" w:rsidRPr="00AB26B3">
              <w:rPr>
                <w:noProof/>
                <w:color w:val="006100"/>
                <w:spacing w:val="-6"/>
                <w:lang w:val="sk-SK"/>
              </w:rPr>
              <w:t xml:space="preserve"> s </w:t>
            </w:r>
            <w:r w:rsidRPr="00AB26B3">
              <w:rPr>
                <w:noProof/>
                <w:color w:val="006100"/>
                <w:spacing w:val="-6"/>
                <w:lang w:val="sk-SK"/>
              </w:rPr>
              <w:t>oprávneniami superadmin</w:t>
            </w:r>
            <w:r w:rsidR="00AB26B3" w:rsidRPr="00AB26B3">
              <w:rPr>
                <w:noProof/>
                <w:color w:val="006100"/>
                <w:spacing w:val="-6"/>
                <w:lang w:val="sk-SK"/>
              </w:rPr>
              <w:t xml:space="preserve"> a </w:t>
            </w:r>
            <w:r w:rsidRPr="00AB26B3">
              <w:rPr>
                <w:noProof/>
                <w:color w:val="006100"/>
                <w:spacing w:val="-6"/>
                <w:lang w:val="sk-SK"/>
              </w:rPr>
              <w:t>200 TB úložiska.</w:t>
            </w:r>
          </w:p>
        </w:tc>
      </w:tr>
      <w:tr w:rsidR="00302FC1" w:rsidRPr="00AB26B3" w14:paraId="7E37691C" w14:textId="77777777">
        <w:trPr>
          <w:trHeight w:val="313"/>
          <w:jc w:val="center"/>
        </w:trPr>
        <w:tc>
          <w:tcPr>
            <w:tcW w:w="575" w:type="dxa"/>
            <w:shd w:val="clear" w:color="auto" w:fill="C6EFCE"/>
            <w:noWrap/>
          </w:tcPr>
          <w:p w14:paraId="112679C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122</w:t>
            </w:r>
          </w:p>
        </w:tc>
        <w:tc>
          <w:tcPr>
            <w:tcW w:w="2072" w:type="dxa"/>
            <w:shd w:val="clear" w:color="auto" w:fill="C6EFCE"/>
            <w:noWrap/>
          </w:tcPr>
          <w:p w14:paraId="0C1B0EAE" w14:textId="305FEFC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16853 Dodávka infraštruktúry</w:t>
            </w:r>
            <w:r w:rsidR="00AB26B3" w:rsidRPr="00AB26B3">
              <w:rPr>
                <w:noProof/>
                <w:spacing w:val="-6"/>
                <w:lang w:val="sk-SK"/>
              </w:rPr>
              <w:t xml:space="preserve"> a </w:t>
            </w:r>
            <w:r w:rsidRPr="00AB26B3">
              <w:rPr>
                <w:noProof/>
                <w:spacing w:val="-6"/>
                <w:lang w:val="sk-SK"/>
              </w:rPr>
              <w:t>služieb centrálneho cloud computingu</w:t>
            </w:r>
          </w:p>
        </w:tc>
        <w:tc>
          <w:tcPr>
            <w:tcW w:w="1134" w:type="dxa"/>
            <w:shd w:val="clear" w:color="auto" w:fill="C6EFCE"/>
            <w:noWrap/>
          </w:tcPr>
          <w:p w14:paraId="050EE9F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7" w:type="dxa"/>
            <w:shd w:val="clear" w:color="auto" w:fill="C6EFCE"/>
            <w:noWrap/>
          </w:tcPr>
          <w:p w14:paraId="2831E6B8" w14:textId="19A5006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infraštruktúry</w:t>
            </w:r>
            <w:r w:rsidR="00AB26B3" w:rsidRPr="00AB26B3">
              <w:rPr>
                <w:noProof/>
                <w:spacing w:val="-6"/>
                <w:lang w:val="sk-SK"/>
              </w:rPr>
              <w:t xml:space="preserve"> a </w:t>
            </w:r>
            <w:r w:rsidRPr="00AB26B3">
              <w:rPr>
                <w:noProof/>
                <w:spacing w:val="-6"/>
                <w:lang w:val="sk-SK"/>
              </w:rPr>
              <w:t>služby centrálneho cloud computingu</w:t>
            </w:r>
          </w:p>
        </w:tc>
        <w:tc>
          <w:tcPr>
            <w:tcW w:w="1701" w:type="dxa"/>
            <w:shd w:val="clear" w:color="auto" w:fill="C6EFCE"/>
            <w:noWrap/>
          </w:tcPr>
          <w:p w14:paraId="1D6CF9B6" w14:textId="0EC66E5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ministerstva pre digitálnu správu,</w:t>
            </w:r>
            <w:r w:rsidR="00AB26B3" w:rsidRPr="00AB26B3">
              <w:rPr>
                <w:noProof/>
                <w:spacing w:val="-6"/>
                <w:lang w:val="sk-SK"/>
              </w:rPr>
              <w:t xml:space="preserve"> v </w:t>
            </w:r>
            <w:r w:rsidRPr="00AB26B3">
              <w:rPr>
                <w:noProof/>
                <w:spacing w:val="-6"/>
                <w:lang w:val="sk-SK"/>
              </w:rPr>
              <w:t>ktorej sa dokumentuje dokončenie nastavenia všetkých zložiek projektu</w:t>
            </w:r>
            <w:r w:rsidR="00AB26B3" w:rsidRPr="00AB26B3">
              <w:rPr>
                <w:noProof/>
                <w:spacing w:val="-6"/>
                <w:lang w:val="sk-SK"/>
              </w:rPr>
              <w:t xml:space="preserve"> a </w:t>
            </w:r>
            <w:r w:rsidRPr="00AB26B3">
              <w:rPr>
                <w:noProof/>
                <w:spacing w:val="-6"/>
                <w:lang w:val="sk-SK"/>
              </w:rPr>
              <w:t>parametrizačnej infraštruktúry pre projekt centrálnej infraštruktúry</w:t>
            </w:r>
            <w:r w:rsidR="00AB26B3" w:rsidRPr="00AB26B3">
              <w:rPr>
                <w:noProof/>
                <w:spacing w:val="-6"/>
                <w:lang w:val="sk-SK"/>
              </w:rPr>
              <w:t xml:space="preserve"> a </w:t>
            </w:r>
            <w:r w:rsidRPr="00AB26B3">
              <w:rPr>
                <w:noProof/>
                <w:spacing w:val="-6"/>
                <w:lang w:val="sk-SK"/>
              </w:rPr>
              <w:t>služieb cloud computingu.</w:t>
            </w:r>
          </w:p>
        </w:tc>
        <w:tc>
          <w:tcPr>
            <w:tcW w:w="1322" w:type="dxa"/>
            <w:shd w:val="clear" w:color="auto" w:fill="C6EFCE"/>
            <w:noWrap/>
          </w:tcPr>
          <w:p w14:paraId="78B47EE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3F7632B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3483C66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3E5E70C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92" w:type="dxa"/>
            <w:shd w:val="clear" w:color="auto" w:fill="C6EFCE"/>
            <w:noWrap/>
          </w:tcPr>
          <w:p w14:paraId="4819273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398" w:type="dxa"/>
            <w:shd w:val="clear" w:color="auto" w:fill="C6EFCE"/>
            <w:noWrap/>
          </w:tcPr>
          <w:p w14:paraId="0802F155" w14:textId="3978DE6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Začiatok prevádzky zriadenia všetkých zložiek projektu</w:t>
            </w:r>
            <w:r w:rsidR="00AB26B3" w:rsidRPr="00AB26B3">
              <w:rPr>
                <w:noProof/>
                <w:spacing w:val="-6"/>
                <w:lang w:val="sk-SK"/>
              </w:rPr>
              <w:t xml:space="preserve"> a </w:t>
            </w:r>
            <w:r w:rsidRPr="00AB26B3">
              <w:rPr>
                <w:noProof/>
                <w:spacing w:val="-6"/>
                <w:lang w:val="sk-SK"/>
              </w:rPr>
              <w:t>parametrizačnej infraštruktúry pre projekt centrálnej infraštruktúry</w:t>
            </w:r>
            <w:r w:rsidR="00AB26B3" w:rsidRPr="00AB26B3">
              <w:rPr>
                <w:noProof/>
                <w:spacing w:val="-6"/>
                <w:lang w:val="sk-SK"/>
              </w:rPr>
              <w:t xml:space="preserve"> a </w:t>
            </w:r>
            <w:r w:rsidRPr="00AB26B3">
              <w:rPr>
                <w:noProof/>
                <w:spacing w:val="-6"/>
                <w:lang w:val="sk-SK"/>
              </w:rPr>
              <w:t>služieb cloud computingu. Zaviesť</w:t>
            </w:r>
            <w:r w:rsidR="00AB26B3" w:rsidRPr="00AB26B3">
              <w:rPr>
                <w:noProof/>
                <w:spacing w:val="-6"/>
                <w:lang w:val="sk-SK"/>
              </w:rPr>
              <w:t xml:space="preserve"> a </w:t>
            </w:r>
            <w:r w:rsidRPr="00AB26B3">
              <w:rPr>
                <w:noProof/>
                <w:spacing w:val="-6"/>
                <w:lang w:val="sk-SK"/>
              </w:rPr>
              <w:t>sprevádzkovať projekt centrálnej infraštruktúry</w:t>
            </w:r>
            <w:r w:rsidR="00AB26B3" w:rsidRPr="00AB26B3">
              <w:rPr>
                <w:noProof/>
                <w:spacing w:val="-6"/>
                <w:lang w:val="sk-SK"/>
              </w:rPr>
              <w:t xml:space="preserve"> a </w:t>
            </w:r>
            <w:r w:rsidRPr="00AB26B3">
              <w:rPr>
                <w:noProof/>
                <w:spacing w:val="-6"/>
                <w:lang w:val="sk-SK"/>
              </w:rPr>
              <w:t>služieb cloud computingu. Nová nainštalovaná infraštruktúra zahŕňa virtuálne stroje</w:t>
            </w:r>
            <w:r w:rsidR="00AB26B3" w:rsidRPr="00AB26B3">
              <w:rPr>
                <w:noProof/>
                <w:spacing w:val="-6"/>
                <w:lang w:val="sk-SK"/>
              </w:rPr>
              <w:t xml:space="preserve"> a </w:t>
            </w:r>
            <w:r w:rsidRPr="00AB26B3">
              <w:rPr>
                <w:noProof/>
                <w:spacing w:val="-6"/>
                <w:lang w:val="sk-SK"/>
              </w:rPr>
              <w:t>príslušné virtuálne siete (infraštruktúra ako služba), platformu ako službu, dve edge computingové polia, dve osobitné rozhrania vysokorýchlostných optických vlákien</w:t>
            </w:r>
            <w:r w:rsidR="00AB26B3" w:rsidRPr="00AB26B3">
              <w:rPr>
                <w:noProof/>
                <w:spacing w:val="-6"/>
                <w:lang w:val="sk-SK"/>
              </w:rPr>
              <w:t xml:space="preserve"> a </w:t>
            </w:r>
            <w:r w:rsidRPr="00AB26B3">
              <w:rPr>
                <w:noProof/>
                <w:spacing w:val="-6"/>
                <w:lang w:val="sk-SK"/>
              </w:rPr>
              <w:t>služby odbornej prípravy</w:t>
            </w:r>
            <w:r w:rsidR="00AB26B3" w:rsidRPr="00AB26B3">
              <w:rPr>
                <w:noProof/>
                <w:spacing w:val="-6"/>
                <w:lang w:val="sk-SK"/>
              </w:rPr>
              <w:t xml:space="preserve"> a </w:t>
            </w:r>
            <w:r w:rsidRPr="00AB26B3">
              <w:rPr>
                <w:noProof/>
                <w:spacing w:val="-6"/>
                <w:lang w:val="sk-SK"/>
              </w:rPr>
              <w:t>podpory pre celý projekt.</w:t>
            </w:r>
          </w:p>
          <w:p w14:paraId="73F0F6C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Dátové centrá poskytovateľa cloudových služieb sú povinné dodržiavať „Európsky kódex správania pre energetickú efektívnosť dátového centra“.</w:t>
            </w:r>
          </w:p>
        </w:tc>
      </w:tr>
      <w:tr w:rsidR="00302FC1" w:rsidRPr="00AB26B3" w14:paraId="19D2F9C2" w14:textId="77777777">
        <w:trPr>
          <w:trHeight w:val="313"/>
          <w:jc w:val="center"/>
        </w:trPr>
        <w:tc>
          <w:tcPr>
            <w:tcW w:w="575" w:type="dxa"/>
            <w:shd w:val="clear" w:color="auto" w:fill="C6EFCE"/>
            <w:noWrap/>
          </w:tcPr>
          <w:p w14:paraId="2EC8421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123</w:t>
            </w:r>
          </w:p>
        </w:tc>
        <w:tc>
          <w:tcPr>
            <w:tcW w:w="2072" w:type="dxa"/>
            <w:shd w:val="clear" w:color="auto" w:fill="C6EFCE"/>
            <w:noWrap/>
          </w:tcPr>
          <w:p w14:paraId="539C745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16854_Inteligentné mestá</w:t>
            </w:r>
          </w:p>
        </w:tc>
        <w:tc>
          <w:tcPr>
            <w:tcW w:w="1134" w:type="dxa"/>
            <w:shd w:val="clear" w:color="auto" w:fill="C6EFCE"/>
            <w:noWrap/>
          </w:tcPr>
          <w:p w14:paraId="34286E2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417" w:type="dxa"/>
            <w:shd w:val="clear" w:color="auto" w:fill="C6EFCE"/>
            <w:noWrap/>
          </w:tcPr>
          <w:p w14:paraId="0E1760C9" w14:textId="0617E5D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projektov „inteligentných miest“</w:t>
            </w:r>
          </w:p>
        </w:tc>
        <w:tc>
          <w:tcPr>
            <w:tcW w:w="1701" w:type="dxa"/>
            <w:shd w:val="clear" w:color="auto" w:fill="C6EFCE"/>
            <w:noWrap/>
          </w:tcPr>
          <w:p w14:paraId="31E8A77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22" w:type="dxa"/>
            <w:shd w:val="clear" w:color="auto" w:fill="C6EFCE"/>
            <w:noWrap/>
          </w:tcPr>
          <w:p w14:paraId="456DF6D2" w14:textId="4D255D4D" w:rsidR="00302FC1" w:rsidRPr="00AB26B3" w:rsidRDefault="00D64F26">
            <w:pPr>
              <w:pStyle w:val="P68B1DB1-Normal12"/>
              <w:spacing w:after="0" w:line="240" w:lineRule="auto"/>
              <w:rPr>
                <w:noProof/>
                <w:spacing w:val="-6"/>
                <w:lang w:val="sk-SK"/>
              </w:rPr>
            </w:pPr>
            <w:r w:rsidRPr="00AB26B3">
              <w:rPr>
                <w:noProof/>
                <w:spacing w:val="-6"/>
                <w:lang w:val="sk-SK"/>
              </w:rPr>
              <w:t xml:space="preserve">Počet obcí preukazujúcich realizáciu projektov „inteligentných miest“ </w:t>
            </w:r>
          </w:p>
        </w:tc>
        <w:tc>
          <w:tcPr>
            <w:tcW w:w="1134" w:type="dxa"/>
            <w:shd w:val="clear" w:color="auto" w:fill="C6EFCE"/>
            <w:noWrap/>
          </w:tcPr>
          <w:p w14:paraId="26A2A7AA" w14:textId="77777777" w:rsidR="00302FC1" w:rsidRPr="00AB26B3" w:rsidRDefault="00D64F26">
            <w:pPr>
              <w:pStyle w:val="P68B1DB1-Normal24"/>
              <w:spacing w:after="0" w:line="240" w:lineRule="auto"/>
              <w:rPr>
                <w:noProof/>
                <w:spacing w:val="-6"/>
                <w:lang w:val="sk-SK"/>
              </w:rPr>
            </w:pPr>
            <w:r w:rsidRPr="00AB26B3">
              <w:rPr>
                <w:noProof/>
                <w:spacing w:val="-6"/>
                <w:lang w:val="sk-SK"/>
              </w:rPr>
              <w:t>0</w:t>
            </w:r>
          </w:p>
        </w:tc>
        <w:tc>
          <w:tcPr>
            <w:tcW w:w="993" w:type="dxa"/>
            <w:shd w:val="clear" w:color="auto" w:fill="C6EFCE"/>
            <w:noWrap/>
          </w:tcPr>
          <w:p w14:paraId="4906E24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w:t>
            </w:r>
          </w:p>
          <w:p w14:paraId="2823762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73780D5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92" w:type="dxa"/>
            <w:shd w:val="clear" w:color="auto" w:fill="C6EFCE"/>
            <w:noWrap/>
          </w:tcPr>
          <w:p w14:paraId="5FA44FF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98" w:type="dxa"/>
            <w:shd w:val="clear" w:color="auto" w:fill="C6EFCE"/>
            <w:noWrap/>
          </w:tcPr>
          <w:p w14:paraId="3D9BB747" w14:textId="0D44DDE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projektov „inteligentných miest“ 11 gréckymi obcami</w:t>
            </w:r>
          </w:p>
        </w:tc>
      </w:tr>
      <w:tr w:rsidR="00302FC1" w:rsidRPr="00AB26B3" w14:paraId="7BF5029A" w14:textId="77777777">
        <w:trPr>
          <w:trHeight w:val="313"/>
          <w:jc w:val="center"/>
        </w:trPr>
        <w:tc>
          <w:tcPr>
            <w:tcW w:w="575" w:type="dxa"/>
            <w:shd w:val="clear" w:color="auto" w:fill="C6EFCE"/>
            <w:noWrap/>
          </w:tcPr>
          <w:p w14:paraId="4DC44E9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124</w:t>
            </w:r>
          </w:p>
        </w:tc>
        <w:tc>
          <w:tcPr>
            <w:tcW w:w="2072" w:type="dxa"/>
            <w:shd w:val="clear" w:color="auto" w:fill="C6EFCE"/>
            <w:noWrap/>
          </w:tcPr>
          <w:p w14:paraId="7F07926D" w14:textId="458F67D9" w:rsidR="00302FC1" w:rsidRPr="00AB26B3" w:rsidRDefault="00D64F26">
            <w:pPr>
              <w:pStyle w:val="P68B1DB1-Normal12"/>
              <w:spacing w:after="0" w:line="240" w:lineRule="auto"/>
              <w:rPr>
                <w:rFonts w:eastAsia="Times New Roman"/>
                <w:noProof/>
                <w:spacing w:val="-6"/>
                <w:highlight w:val="yellow"/>
                <w:lang w:val="sk-SK"/>
              </w:rPr>
            </w:pPr>
            <w:r w:rsidRPr="00AB26B3">
              <w:rPr>
                <w:noProof/>
                <w:spacing w:val="-6"/>
                <w:lang w:val="sk-SK"/>
              </w:rPr>
              <w:t>6 – 2.2. Modernizácia – 16928_Začlenenie nových technológií</w:t>
            </w:r>
            <w:r w:rsidR="00AB26B3" w:rsidRPr="00AB26B3">
              <w:rPr>
                <w:noProof/>
                <w:spacing w:val="-6"/>
                <w:lang w:val="sk-SK"/>
              </w:rPr>
              <w:t xml:space="preserve"> a </w:t>
            </w:r>
            <w:r w:rsidRPr="00AB26B3">
              <w:rPr>
                <w:noProof/>
                <w:spacing w:val="-6"/>
                <w:lang w:val="sk-SK"/>
              </w:rPr>
              <w:t>trendov smerom</w:t>
            </w:r>
            <w:r w:rsidR="00AB26B3" w:rsidRPr="00AB26B3">
              <w:rPr>
                <w:noProof/>
                <w:spacing w:val="-6"/>
                <w:lang w:val="sk-SK"/>
              </w:rPr>
              <w:t xml:space="preserve"> k </w:t>
            </w:r>
            <w:r w:rsidRPr="00AB26B3">
              <w:rPr>
                <w:noProof/>
                <w:spacing w:val="-6"/>
                <w:lang w:val="sk-SK"/>
              </w:rPr>
              <w:t>pokročilým službám verejnej správy, zvýšenie efektívnosti</w:t>
            </w:r>
            <w:r w:rsidR="00AB26B3" w:rsidRPr="00AB26B3">
              <w:rPr>
                <w:noProof/>
                <w:spacing w:val="-6"/>
                <w:lang w:val="sk-SK"/>
              </w:rPr>
              <w:t xml:space="preserve"> a </w:t>
            </w:r>
            <w:r w:rsidRPr="00AB26B3">
              <w:rPr>
                <w:noProof/>
                <w:spacing w:val="-6"/>
                <w:lang w:val="sk-SK"/>
              </w:rPr>
              <w:t>účinnosti</w:t>
            </w:r>
            <w:r w:rsidR="00AB26B3" w:rsidRPr="00AB26B3">
              <w:rPr>
                <w:noProof/>
                <w:spacing w:val="-6"/>
                <w:lang w:val="sk-SK"/>
              </w:rPr>
              <w:t xml:space="preserve"> a </w:t>
            </w:r>
            <w:r w:rsidRPr="00AB26B3">
              <w:rPr>
                <w:noProof/>
                <w:spacing w:val="-6"/>
                <w:lang w:val="sk-SK"/>
              </w:rPr>
              <w:t>zníženie nákladov na prevádzku, modernizáciu</w:t>
            </w:r>
            <w:r w:rsidR="00AB26B3" w:rsidRPr="00AB26B3">
              <w:rPr>
                <w:noProof/>
                <w:spacing w:val="-6"/>
                <w:lang w:val="sk-SK"/>
              </w:rPr>
              <w:t xml:space="preserve"> a </w:t>
            </w:r>
            <w:r w:rsidRPr="00AB26B3">
              <w:rPr>
                <w:noProof/>
                <w:spacing w:val="-6"/>
                <w:lang w:val="sk-SK"/>
              </w:rPr>
              <w:t>údržbu systémov</w:t>
            </w:r>
          </w:p>
        </w:tc>
        <w:tc>
          <w:tcPr>
            <w:tcW w:w="1134" w:type="dxa"/>
            <w:shd w:val="clear" w:color="auto" w:fill="C6EFCE"/>
            <w:noWrap/>
          </w:tcPr>
          <w:p w14:paraId="608959C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p w14:paraId="1047179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17" w:type="dxa"/>
            <w:shd w:val="clear" w:color="auto" w:fill="C6EFCE"/>
            <w:noWrap/>
          </w:tcPr>
          <w:p w14:paraId="04189C47" w14:textId="4BB4739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Rámec pre začlenenie nových technológií do verejnej správy</w:t>
            </w:r>
          </w:p>
        </w:tc>
        <w:tc>
          <w:tcPr>
            <w:tcW w:w="1701" w:type="dxa"/>
            <w:shd w:val="clear" w:color="auto" w:fill="C6EFCE"/>
            <w:noWrap/>
          </w:tcPr>
          <w:p w14:paraId="3F3002B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rámca pre začlenenie nových technológií do verejnej správy</w:t>
            </w:r>
          </w:p>
        </w:tc>
        <w:tc>
          <w:tcPr>
            <w:tcW w:w="1322" w:type="dxa"/>
            <w:shd w:val="clear" w:color="auto" w:fill="C6EFCE"/>
            <w:noWrap/>
          </w:tcPr>
          <w:p w14:paraId="2FE620A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2A7F29D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6B74028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5C91D97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92" w:type="dxa"/>
            <w:shd w:val="clear" w:color="auto" w:fill="C6EFCE"/>
            <w:noWrap/>
          </w:tcPr>
          <w:p w14:paraId="624FD38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98" w:type="dxa"/>
            <w:shd w:val="clear" w:color="auto" w:fill="C6EFCE"/>
            <w:noWrap/>
          </w:tcPr>
          <w:p w14:paraId="2B7328E7" w14:textId="0C3E5CE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Vytvoriť rámec na zavedenie nových technológií</w:t>
            </w:r>
            <w:r w:rsidR="00AB26B3" w:rsidRPr="00AB26B3">
              <w:rPr>
                <w:noProof/>
                <w:spacing w:val="-6"/>
                <w:lang w:val="sk-SK"/>
              </w:rPr>
              <w:t xml:space="preserve"> a </w:t>
            </w:r>
            <w:r w:rsidRPr="00AB26B3">
              <w:rPr>
                <w:noProof/>
                <w:spacing w:val="-6"/>
                <w:lang w:val="sk-SK"/>
              </w:rPr>
              <w:t xml:space="preserve">nástrojov (cloud computing, podniková inteligencia, umelá inteligencia – umelá inteligencia, strojové učenie, technológia distribuovanej databázy transakcií – DLT) do verejnej správy. </w:t>
            </w:r>
          </w:p>
        </w:tc>
      </w:tr>
      <w:tr w:rsidR="00302FC1" w:rsidRPr="00AB26B3" w14:paraId="7CA587DD" w14:textId="77777777">
        <w:trPr>
          <w:trHeight w:val="313"/>
          <w:jc w:val="center"/>
        </w:trPr>
        <w:tc>
          <w:tcPr>
            <w:tcW w:w="575" w:type="dxa"/>
            <w:shd w:val="clear" w:color="auto" w:fill="C6EFCE"/>
            <w:noWrap/>
          </w:tcPr>
          <w:p w14:paraId="0171C23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125</w:t>
            </w:r>
          </w:p>
        </w:tc>
        <w:tc>
          <w:tcPr>
            <w:tcW w:w="2072" w:type="dxa"/>
            <w:shd w:val="clear" w:color="auto" w:fill="C6EFCE"/>
            <w:noWrap/>
          </w:tcPr>
          <w:p w14:paraId="04354E0B" w14:textId="3F487F0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16955_modernizácia cloudovej výpočtovej infraštruktúry</w:t>
            </w:r>
            <w:r w:rsidR="00AB26B3" w:rsidRPr="00AB26B3">
              <w:rPr>
                <w:noProof/>
                <w:spacing w:val="-6"/>
                <w:lang w:val="sk-SK"/>
              </w:rPr>
              <w:t xml:space="preserve"> a </w:t>
            </w:r>
            <w:r w:rsidRPr="00AB26B3">
              <w:rPr>
                <w:noProof/>
                <w:spacing w:val="-6"/>
                <w:lang w:val="sk-SK"/>
              </w:rPr>
              <w:t>služieb národných infraštruktúr pre výskum</w:t>
            </w:r>
            <w:r w:rsidR="00AB26B3" w:rsidRPr="00AB26B3">
              <w:rPr>
                <w:noProof/>
                <w:spacing w:val="-6"/>
                <w:lang w:val="sk-SK"/>
              </w:rPr>
              <w:t xml:space="preserve"> a </w:t>
            </w:r>
            <w:r w:rsidRPr="00AB26B3">
              <w:rPr>
                <w:noProof/>
                <w:spacing w:val="-6"/>
                <w:lang w:val="sk-SK"/>
              </w:rPr>
              <w:t>technológie (GRNET)</w:t>
            </w:r>
          </w:p>
        </w:tc>
        <w:tc>
          <w:tcPr>
            <w:tcW w:w="1134" w:type="dxa"/>
            <w:shd w:val="clear" w:color="auto" w:fill="C6EFCE"/>
            <w:noWrap/>
          </w:tcPr>
          <w:p w14:paraId="0BFFB21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7" w:type="dxa"/>
            <w:shd w:val="clear" w:color="auto" w:fill="C6EFCE"/>
            <w:noWrap/>
          </w:tcPr>
          <w:p w14:paraId="6B602D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GRNET </w:t>
            </w:r>
          </w:p>
        </w:tc>
        <w:tc>
          <w:tcPr>
            <w:tcW w:w="1701" w:type="dxa"/>
            <w:shd w:val="clear" w:color="auto" w:fill="C6EFCE"/>
            <w:noWrap/>
          </w:tcPr>
          <w:p w14:paraId="63C23036" w14:textId="582D869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modernizácie infraštruktúry</w:t>
            </w:r>
            <w:r w:rsidR="00AB26B3" w:rsidRPr="00AB26B3">
              <w:rPr>
                <w:noProof/>
                <w:spacing w:val="-6"/>
                <w:lang w:val="sk-SK"/>
              </w:rPr>
              <w:t xml:space="preserve"> a </w:t>
            </w:r>
            <w:r w:rsidRPr="00AB26B3">
              <w:rPr>
                <w:noProof/>
                <w:spacing w:val="-6"/>
                <w:lang w:val="sk-SK"/>
              </w:rPr>
              <w:t>služieb GRNET</w:t>
            </w:r>
            <w:r w:rsidR="00AB26B3" w:rsidRPr="00AB26B3">
              <w:rPr>
                <w:noProof/>
                <w:spacing w:val="-6"/>
                <w:lang w:val="sk-SK"/>
              </w:rPr>
              <w:t xml:space="preserve"> v </w:t>
            </w:r>
            <w:r w:rsidRPr="00AB26B3">
              <w:rPr>
                <w:noProof/>
                <w:spacing w:val="-6"/>
                <w:lang w:val="sk-SK"/>
              </w:rPr>
              <w:t>oblasti cloud computingu, realizácia fázy A programu Daedalus</w:t>
            </w:r>
            <w:r w:rsidR="00AB26B3" w:rsidRPr="00AB26B3">
              <w:rPr>
                <w:noProof/>
                <w:spacing w:val="-6"/>
                <w:lang w:val="sk-SK"/>
              </w:rPr>
              <w:t xml:space="preserve"> a </w:t>
            </w:r>
            <w:r w:rsidRPr="00AB26B3">
              <w:rPr>
                <w:noProof/>
                <w:spacing w:val="-6"/>
                <w:lang w:val="sk-SK"/>
              </w:rPr>
              <w:t>podpísanie lízingovej zmluvy na infraštruktúru optických vlákien</w:t>
            </w:r>
          </w:p>
        </w:tc>
        <w:tc>
          <w:tcPr>
            <w:tcW w:w="1322" w:type="dxa"/>
            <w:shd w:val="clear" w:color="auto" w:fill="C6EFCE"/>
            <w:noWrap/>
          </w:tcPr>
          <w:p w14:paraId="2BC06DB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103F01F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5C3B48C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6964EC2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92" w:type="dxa"/>
            <w:shd w:val="clear" w:color="auto" w:fill="C6EFCE"/>
            <w:noWrap/>
          </w:tcPr>
          <w:p w14:paraId="5FC3EA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98" w:type="dxa"/>
            <w:shd w:val="clear" w:color="auto" w:fill="C6EFCE"/>
            <w:noWrap/>
          </w:tcPr>
          <w:p w14:paraId="7A10F6F9" w14:textId="52D8892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cloudovej výpočtovej infraštruktúry</w:t>
            </w:r>
            <w:r w:rsidR="00AB26B3" w:rsidRPr="00AB26B3">
              <w:rPr>
                <w:noProof/>
                <w:spacing w:val="-6"/>
                <w:lang w:val="sk-SK"/>
              </w:rPr>
              <w:t xml:space="preserve"> a </w:t>
            </w:r>
            <w:r w:rsidRPr="00AB26B3">
              <w:rPr>
                <w:noProof/>
                <w:spacing w:val="-6"/>
                <w:lang w:val="sk-SK"/>
              </w:rPr>
              <w:t>služieb národných infraštruktúr pre výskum</w:t>
            </w:r>
            <w:r w:rsidR="00AB26B3" w:rsidRPr="00AB26B3">
              <w:rPr>
                <w:noProof/>
                <w:spacing w:val="-6"/>
                <w:lang w:val="sk-SK"/>
              </w:rPr>
              <w:t xml:space="preserve"> a </w:t>
            </w:r>
            <w:r w:rsidRPr="00AB26B3">
              <w:rPr>
                <w:noProof/>
                <w:spacing w:val="-6"/>
                <w:lang w:val="sk-SK"/>
              </w:rPr>
              <w:t>technológie (GRNET).</w:t>
            </w:r>
          </w:p>
          <w:p w14:paraId="77DFB60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0823C290" w14:textId="0FB29284" w:rsidR="00AB26B3" w:rsidRPr="00AB26B3" w:rsidRDefault="00D64F26">
            <w:pPr>
              <w:pStyle w:val="P68B1DB1-Normal12"/>
              <w:spacing w:after="0" w:line="240" w:lineRule="auto"/>
              <w:rPr>
                <w:noProof/>
                <w:spacing w:val="-6"/>
                <w:lang w:val="sk-SK"/>
              </w:rPr>
            </w:pPr>
            <w:r w:rsidRPr="00AB26B3">
              <w:rPr>
                <w:noProof/>
                <w:spacing w:val="-6"/>
                <w:lang w:val="sk-SK"/>
              </w:rPr>
              <w:t>Vykonávanie „fázy A – implementácia superpočítačov Daedalus“, ako sa stanovuje</w:t>
            </w:r>
            <w:r w:rsidR="00AB26B3" w:rsidRPr="00AB26B3">
              <w:rPr>
                <w:noProof/>
                <w:spacing w:val="-6"/>
                <w:lang w:val="sk-SK"/>
              </w:rPr>
              <w:t xml:space="preserve"> v </w:t>
            </w:r>
            <w:r w:rsidRPr="00AB26B3">
              <w:rPr>
                <w:noProof/>
                <w:spacing w:val="-6"/>
                <w:lang w:val="sk-SK"/>
              </w:rPr>
              <w:t>príslušnej zmluve</w:t>
            </w:r>
            <w:r w:rsidR="00AB26B3" w:rsidRPr="00AB26B3">
              <w:rPr>
                <w:noProof/>
                <w:spacing w:val="-6"/>
                <w:lang w:val="sk-SK"/>
              </w:rPr>
              <w:t>.</w:t>
            </w:r>
          </w:p>
          <w:p w14:paraId="6C75DDCB" w14:textId="4CE9D272" w:rsidR="00302FC1" w:rsidRPr="00AB26B3" w:rsidRDefault="00D64F26">
            <w:pPr>
              <w:pStyle w:val="P68B1DB1-Normal12"/>
              <w:spacing w:after="0" w:line="240" w:lineRule="auto"/>
              <w:rPr>
                <w:noProof/>
                <w:spacing w:val="-6"/>
                <w:lang w:val="sk-SK"/>
              </w:rPr>
            </w:pPr>
            <w:r w:rsidRPr="00AB26B3">
              <w:rPr>
                <w:noProof/>
                <w:spacing w:val="-6"/>
                <w:lang w:val="sk-SK"/>
              </w:rPr>
              <w:t>Zriadenie dátového centra na podporu nového superpočítača, inštalácie softvéru, konfigurácie</w:t>
            </w:r>
            <w:r w:rsidR="00AB26B3" w:rsidRPr="00AB26B3">
              <w:rPr>
                <w:noProof/>
                <w:spacing w:val="-6"/>
                <w:lang w:val="sk-SK"/>
              </w:rPr>
              <w:t xml:space="preserve"> a </w:t>
            </w:r>
            <w:r w:rsidRPr="00AB26B3">
              <w:rPr>
                <w:noProof/>
                <w:spacing w:val="-6"/>
                <w:lang w:val="sk-SK"/>
              </w:rPr>
              <w:t>pilotnej prevádzky.</w:t>
            </w:r>
          </w:p>
          <w:p w14:paraId="00CAAA8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79FD11EC" w14:textId="64807A08" w:rsidR="00302FC1" w:rsidRPr="00AB26B3" w:rsidRDefault="00D64F26">
            <w:pPr>
              <w:pStyle w:val="P68B1DB1-Normal24"/>
              <w:spacing w:after="0" w:line="240" w:lineRule="auto"/>
              <w:rPr>
                <w:noProof/>
                <w:spacing w:val="-6"/>
                <w:lang w:val="sk-SK"/>
              </w:rPr>
            </w:pPr>
            <w:r w:rsidRPr="00AB26B3">
              <w:rPr>
                <w:noProof/>
                <w:spacing w:val="-6"/>
                <w:lang w:val="sk-SK"/>
              </w:rPr>
              <w:t>Podpísanie nájomnej zmluvy na infraštruktúru optických vlákien.</w:t>
            </w:r>
          </w:p>
        </w:tc>
      </w:tr>
      <w:tr w:rsidR="00302FC1" w:rsidRPr="00AB26B3" w14:paraId="0E06F649" w14:textId="77777777">
        <w:trPr>
          <w:trHeight w:val="313"/>
          <w:jc w:val="center"/>
        </w:trPr>
        <w:tc>
          <w:tcPr>
            <w:tcW w:w="575" w:type="dxa"/>
            <w:shd w:val="clear" w:color="auto" w:fill="C6EFCE"/>
            <w:noWrap/>
          </w:tcPr>
          <w:p w14:paraId="31465639" w14:textId="7B360948" w:rsidR="00302FC1" w:rsidRPr="00AB26B3" w:rsidRDefault="00D64F26">
            <w:pPr>
              <w:pStyle w:val="P68B1DB1-Normal12"/>
              <w:spacing w:after="0" w:line="240" w:lineRule="auto"/>
              <w:rPr>
                <w:noProof/>
                <w:spacing w:val="-6"/>
                <w:lang w:val="sk-SK"/>
              </w:rPr>
            </w:pPr>
            <w:r w:rsidRPr="00AB26B3">
              <w:rPr>
                <w:noProof/>
                <w:spacing w:val="-6"/>
                <w:lang w:val="sk-SK"/>
              </w:rPr>
              <w:t>125a</w:t>
            </w:r>
          </w:p>
        </w:tc>
        <w:tc>
          <w:tcPr>
            <w:tcW w:w="2072" w:type="dxa"/>
            <w:shd w:val="clear" w:color="auto" w:fill="C6EFCE"/>
            <w:noWrap/>
          </w:tcPr>
          <w:p w14:paraId="726683C0" w14:textId="2550F96E" w:rsidR="00302FC1" w:rsidRPr="00AB26B3" w:rsidRDefault="00D64F26">
            <w:pPr>
              <w:pStyle w:val="P68B1DB1-Normal12"/>
              <w:spacing w:after="0" w:line="240" w:lineRule="auto"/>
              <w:rPr>
                <w:noProof/>
                <w:spacing w:val="-6"/>
                <w:lang w:val="sk-SK"/>
              </w:rPr>
            </w:pPr>
            <w:r w:rsidRPr="00AB26B3">
              <w:rPr>
                <w:noProof/>
                <w:spacing w:val="-6"/>
                <w:lang w:val="sk-SK"/>
              </w:rPr>
              <w:t>6 – 2.2. Modernizácia – 16955_modernizácia cloudovej výpočtovej infraštruktúry</w:t>
            </w:r>
            <w:r w:rsidR="00AB26B3" w:rsidRPr="00AB26B3">
              <w:rPr>
                <w:noProof/>
                <w:spacing w:val="-6"/>
                <w:lang w:val="sk-SK"/>
              </w:rPr>
              <w:t xml:space="preserve"> a </w:t>
            </w:r>
            <w:r w:rsidRPr="00AB26B3">
              <w:rPr>
                <w:noProof/>
                <w:spacing w:val="-6"/>
                <w:lang w:val="sk-SK"/>
              </w:rPr>
              <w:t>služieb národných infraštruktúr pre výskum</w:t>
            </w:r>
            <w:r w:rsidR="00AB26B3" w:rsidRPr="00AB26B3">
              <w:rPr>
                <w:noProof/>
                <w:spacing w:val="-6"/>
                <w:lang w:val="sk-SK"/>
              </w:rPr>
              <w:t xml:space="preserve"> a </w:t>
            </w:r>
            <w:r w:rsidRPr="00AB26B3">
              <w:rPr>
                <w:noProof/>
                <w:spacing w:val="-6"/>
                <w:lang w:val="sk-SK"/>
              </w:rPr>
              <w:t>technológie (GRNET)</w:t>
            </w:r>
          </w:p>
        </w:tc>
        <w:tc>
          <w:tcPr>
            <w:tcW w:w="1134" w:type="dxa"/>
            <w:shd w:val="clear" w:color="auto" w:fill="C6EFCE"/>
            <w:noWrap/>
          </w:tcPr>
          <w:p w14:paraId="61D952AF" w14:textId="50D07092"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417" w:type="dxa"/>
            <w:shd w:val="clear" w:color="auto" w:fill="C6EFCE"/>
            <w:noWrap/>
          </w:tcPr>
          <w:p w14:paraId="6946002E" w14:textId="677B610F" w:rsidR="00302FC1" w:rsidRPr="00AB26B3" w:rsidRDefault="00D64F26">
            <w:pPr>
              <w:pStyle w:val="P68B1DB1-Normal12"/>
              <w:spacing w:after="0" w:line="240" w:lineRule="auto"/>
              <w:rPr>
                <w:noProof/>
                <w:spacing w:val="-6"/>
                <w:lang w:val="sk-SK"/>
              </w:rPr>
            </w:pPr>
            <w:r w:rsidRPr="00AB26B3">
              <w:rPr>
                <w:noProof/>
                <w:spacing w:val="-6"/>
                <w:lang w:val="sk-SK"/>
              </w:rPr>
              <w:t>Rozšírenie GRNET</w:t>
            </w:r>
          </w:p>
        </w:tc>
        <w:tc>
          <w:tcPr>
            <w:tcW w:w="1701" w:type="dxa"/>
            <w:shd w:val="clear" w:color="auto" w:fill="C6EFCE"/>
            <w:noWrap/>
          </w:tcPr>
          <w:p w14:paraId="3D81C12C" w14:textId="27DD4E8C" w:rsidR="00302FC1" w:rsidRPr="00AB26B3" w:rsidRDefault="00D64F26">
            <w:pPr>
              <w:pStyle w:val="P68B1DB1-Normal12"/>
              <w:spacing w:after="0" w:line="240" w:lineRule="auto"/>
              <w:rPr>
                <w:noProof/>
                <w:spacing w:val="-6"/>
                <w:lang w:val="sk-SK"/>
              </w:rPr>
            </w:pPr>
            <w:r w:rsidRPr="00AB26B3">
              <w:rPr>
                <w:noProof/>
                <w:spacing w:val="-6"/>
                <w:lang w:val="sk-SK"/>
              </w:rPr>
              <w:t>Realizácia modernizácie sieťového vybavenia GRNET</w:t>
            </w:r>
            <w:r w:rsidR="00AB26B3" w:rsidRPr="00AB26B3">
              <w:rPr>
                <w:noProof/>
                <w:spacing w:val="-6"/>
                <w:lang w:val="sk-SK"/>
              </w:rPr>
              <w:t xml:space="preserve"> a </w:t>
            </w:r>
            <w:r w:rsidRPr="00AB26B3">
              <w:rPr>
                <w:noProof/>
                <w:spacing w:val="-6"/>
                <w:lang w:val="sk-SK"/>
              </w:rPr>
              <w:t>obnova infraštruktúry dátových centier GRNET</w:t>
            </w:r>
          </w:p>
        </w:tc>
        <w:tc>
          <w:tcPr>
            <w:tcW w:w="1322" w:type="dxa"/>
            <w:shd w:val="clear" w:color="auto" w:fill="C6EFCE"/>
            <w:noWrap/>
          </w:tcPr>
          <w:p w14:paraId="35DC945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6A34BCC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043A137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43090CBA" w14:textId="687A64DB"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992" w:type="dxa"/>
            <w:shd w:val="clear" w:color="auto" w:fill="C6EFCE"/>
            <w:noWrap/>
          </w:tcPr>
          <w:p w14:paraId="4D3A0F44" w14:textId="3A7C0F6F"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3398" w:type="dxa"/>
            <w:shd w:val="clear" w:color="auto" w:fill="C6EFCE"/>
            <w:noWrap/>
          </w:tcPr>
          <w:p w14:paraId="1E014025" w14:textId="60D6EB5D" w:rsidR="00302FC1" w:rsidRPr="00AB26B3" w:rsidRDefault="00D64F26">
            <w:pPr>
              <w:pStyle w:val="P68B1DB1-Normal12"/>
              <w:spacing w:after="0" w:line="240" w:lineRule="auto"/>
              <w:rPr>
                <w:noProof/>
                <w:spacing w:val="-6"/>
                <w:lang w:val="sk-SK"/>
              </w:rPr>
            </w:pPr>
            <w:r w:rsidRPr="00AB26B3">
              <w:rPr>
                <w:noProof/>
                <w:spacing w:val="-6"/>
                <w:lang w:val="sk-SK"/>
              </w:rPr>
              <w:t>Modernizácia sieťového vybavenia GRNET na viac ako 100 miestach</w:t>
            </w:r>
            <w:r w:rsidR="00AB26B3" w:rsidRPr="00AB26B3">
              <w:rPr>
                <w:noProof/>
                <w:spacing w:val="-6"/>
                <w:lang w:val="sk-SK"/>
              </w:rPr>
              <w:t xml:space="preserve"> v </w:t>
            </w:r>
            <w:r w:rsidRPr="00AB26B3">
              <w:rPr>
                <w:noProof/>
                <w:spacing w:val="-6"/>
                <w:lang w:val="sk-SK"/>
              </w:rPr>
              <w:t>celej krajine, zvýšenie rýchlosti zo súčasných 1 – 10 Gb/s na 100 – 400 Gb/s.</w:t>
            </w:r>
          </w:p>
          <w:p w14:paraId="44DAB89D"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4768796C" w14:textId="72D97B6A" w:rsidR="00302FC1" w:rsidRPr="00AB26B3" w:rsidRDefault="00D64F26">
            <w:pPr>
              <w:pStyle w:val="P68B1DB1-Normal12"/>
              <w:spacing w:after="0" w:line="240" w:lineRule="auto"/>
              <w:rPr>
                <w:noProof/>
                <w:spacing w:val="-6"/>
                <w:lang w:val="sk-SK"/>
              </w:rPr>
            </w:pPr>
            <w:r w:rsidRPr="00AB26B3">
              <w:rPr>
                <w:noProof/>
                <w:spacing w:val="-6"/>
                <w:lang w:val="sk-SK"/>
              </w:rPr>
              <w:t>Obnova výpočtovej</w:t>
            </w:r>
            <w:r w:rsidR="00AB26B3" w:rsidRPr="00AB26B3">
              <w:rPr>
                <w:noProof/>
                <w:spacing w:val="-6"/>
                <w:lang w:val="sk-SK"/>
              </w:rPr>
              <w:t xml:space="preserve"> a </w:t>
            </w:r>
            <w:r w:rsidRPr="00AB26B3">
              <w:rPr>
                <w:noProof/>
                <w:spacing w:val="-6"/>
                <w:lang w:val="sk-SK"/>
              </w:rPr>
              <w:t>úložnej infraštruktúry</w:t>
            </w:r>
            <w:r w:rsidR="00AB26B3" w:rsidRPr="00AB26B3">
              <w:rPr>
                <w:noProof/>
                <w:spacing w:val="-6"/>
                <w:lang w:val="sk-SK"/>
              </w:rPr>
              <w:t xml:space="preserve"> v </w:t>
            </w:r>
            <w:r w:rsidRPr="00AB26B3">
              <w:rPr>
                <w:noProof/>
                <w:spacing w:val="-6"/>
                <w:lang w:val="sk-SK"/>
              </w:rPr>
              <w:t>dátových centrách GRNET vrátane obstarania 40,000 – 60,000 jadier CPU</w:t>
            </w:r>
            <w:r w:rsidR="00AB26B3" w:rsidRPr="00AB26B3">
              <w:rPr>
                <w:noProof/>
                <w:spacing w:val="-6"/>
                <w:lang w:val="sk-SK"/>
              </w:rPr>
              <w:t xml:space="preserve"> a </w:t>
            </w:r>
            <w:r w:rsidRPr="00AB26B3">
              <w:rPr>
                <w:noProof/>
                <w:spacing w:val="-6"/>
                <w:lang w:val="sk-SK"/>
              </w:rPr>
              <w:t>10 – 15 PB (Peta Byte = 1 000 000 GB) celkovej úložnej kapacity.</w:t>
            </w:r>
          </w:p>
        </w:tc>
      </w:tr>
      <w:tr w:rsidR="00302FC1" w:rsidRPr="00AB26B3" w14:paraId="4B5F6517" w14:textId="77777777">
        <w:trPr>
          <w:trHeight w:val="313"/>
          <w:jc w:val="center"/>
        </w:trPr>
        <w:tc>
          <w:tcPr>
            <w:tcW w:w="575" w:type="dxa"/>
            <w:shd w:val="clear" w:color="auto" w:fill="C6EFCE"/>
            <w:noWrap/>
          </w:tcPr>
          <w:p w14:paraId="755A1BB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127</w:t>
            </w:r>
          </w:p>
        </w:tc>
        <w:tc>
          <w:tcPr>
            <w:tcW w:w="2072" w:type="dxa"/>
            <w:shd w:val="clear" w:color="auto" w:fill="C6EFCE"/>
            <w:noWrap/>
          </w:tcPr>
          <w:p w14:paraId="1CE589F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Modernizácia – 16956_Rozšírenie programu Syzefksis II</w:t>
            </w:r>
          </w:p>
        </w:tc>
        <w:tc>
          <w:tcPr>
            <w:tcW w:w="1134" w:type="dxa"/>
            <w:shd w:val="clear" w:color="auto" w:fill="C6EFCE"/>
            <w:noWrap/>
          </w:tcPr>
          <w:p w14:paraId="2CEA2D1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7" w:type="dxa"/>
            <w:shd w:val="clear" w:color="auto" w:fill="C6EFCE"/>
            <w:noWrap/>
          </w:tcPr>
          <w:p w14:paraId="2ED0577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Syzefksis II</w:t>
            </w:r>
          </w:p>
        </w:tc>
        <w:tc>
          <w:tcPr>
            <w:tcW w:w="1701" w:type="dxa"/>
            <w:shd w:val="clear" w:color="auto" w:fill="C6EFCE"/>
            <w:noWrap/>
          </w:tcPr>
          <w:p w14:paraId="09B966F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systému Syzefksis II</w:t>
            </w:r>
          </w:p>
        </w:tc>
        <w:tc>
          <w:tcPr>
            <w:tcW w:w="1322" w:type="dxa"/>
            <w:shd w:val="clear" w:color="auto" w:fill="C6EFCE"/>
            <w:noWrap/>
          </w:tcPr>
          <w:p w14:paraId="28AF3A8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6564A34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60D9E0D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2194965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92" w:type="dxa"/>
            <w:shd w:val="clear" w:color="auto" w:fill="C6EFCE"/>
            <w:noWrap/>
          </w:tcPr>
          <w:p w14:paraId="5C5769F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98" w:type="dxa"/>
            <w:shd w:val="clear" w:color="auto" w:fill="C6EFCE"/>
            <w:noWrap/>
          </w:tcPr>
          <w:p w14:paraId="12E3F1AC" w14:textId="44338C05" w:rsidR="00AB26B3" w:rsidRPr="00AB26B3" w:rsidRDefault="00D64F26">
            <w:pPr>
              <w:pStyle w:val="P68B1DB1-Normal12"/>
              <w:spacing w:after="0" w:line="240" w:lineRule="auto"/>
              <w:rPr>
                <w:noProof/>
                <w:spacing w:val="-6"/>
                <w:lang w:val="sk-SK"/>
              </w:rPr>
            </w:pPr>
            <w:r w:rsidRPr="00AB26B3">
              <w:rPr>
                <w:noProof/>
                <w:spacing w:val="-6"/>
                <w:lang w:val="sk-SK"/>
              </w:rPr>
              <w:t>Poskytovanie modernizovanej telekomunikačnej infraštruktúry</w:t>
            </w:r>
            <w:r w:rsidR="00AB26B3" w:rsidRPr="00AB26B3">
              <w:rPr>
                <w:noProof/>
                <w:spacing w:val="-6"/>
                <w:lang w:val="sk-SK"/>
              </w:rPr>
              <w:t xml:space="preserve"> a </w:t>
            </w:r>
            <w:r w:rsidRPr="00AB26B3">
              <w:rPr>
                <w:noProof/>
                <w:spacing w:val="-6"/>
                <w:lang w:val="sk-SK"/>
              </w:rPr>
              <w:t>služieb vrátane modernizácie kapacity siete, modernizácie pripojiteľnosti</w:t>
            </w:r>
            <w:r w:rsidR="00AB26B3" w:rsidRPr="00AB26B3">
              <w:rPr>
                <w:noProof/>
                <w:spacing w:val="-6"/>
                <w:lang w:val="sk-SK"/>
              </w:rPr>
              <w:t xml:space="preserve"> a </w:t>
            </w:r>
            <w:r w:rsidRPr="00AB26B3">
              <w:rPr>
                <w:noProof/>
                <w:spacing w:val="-6"/>
                <w:lang w:val="sk-SK"/>
              </w:rPr>
              <w:t>inštalácie zariadení na neprerušované napájanie</w:t>
            </w:r>
            <w:r w:rsidR="00AB26B3" w:rsidRPr="00AB26B3">
              <w:rPr>
                <w:noProof/>
                <w:spacing w:val="-6"/>
                <w:lang w:val="sk-SK"/>
              </w:rPr>
              <w:t>.</w:t>
            </w:r>
          </w:p>
          <w:p w14:paraId="36B7FC86" w14:textId="5EEBB0A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r>
      <w:tr w:rsidR="00302FC1" w:rsidRPr="00AB26B3" w14:paraId="4F76EFC5" w14:textId="77777777">
        <w:trPr>
          <w:trHeight w:val="313"/>
          <w:jc w:val="center"/>
        </w:trPr>
        <w:tc>
          <w:tcPr>
            <w:tcW w:w="575" w:type="dxa"/>
            <w:shd w:val="clear" w:color="auto" w:fill="C6EFCE"/>
            <w:noWrap/>
          </w:tcPr>
          <w:p w14:paraId="25B5F6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128</w:t>
            </w:r>
          </w:p>
        </w:tc>
        <w:tc>
          <w:tcPr>
            <w:tcW w:w="2072" w:type="dxa"/>
            <w:shd w:val="clear" w:color="auto" w:fill="C6EFCE"/>
            <w:noWrap/>
          </w:tcPr>
          <w:p w14:paraId="50D0A392" w14:textId="001ABCC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Modernizujme – 16827_Stratégia</w:t>
            </w:r>
            <w:r w:rsidR="00AB26B3" w:rsidRPr="00AB26B3">
              <w:rPr>
                <w:noProof/>
                <w:spacing w:val="-6"/>
                <w:lang w:val="sk-SK"/>
              </w:rPr>
              <w:t xml:space="preserve"> a </w:t>
            </w:r>
            <w:r w:rsidRPr="00AB26B3">
              <w:rPr>
                <w:noProof/>
                <w:spacing w:val="-6"/>
                <w:lang w:val="sk-SK"/>
              </w:rPr>
              <w:t>politiky správy údajov pre verejný sektor</w:t>
            </w:r>
          </w:p>
        </w:tc>
        <w:tc>
          <w:tcPr>
            <w:tcW w:w="1134" w:type="dxa"/>
            <w:shd w:val="clear" w:color="auto" w:fill="C6EFCE"/>
            <w:noWrap/>
          </w:tcPr>
          <w:p w14:paraId="6F1FEE3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7" w:type="dxa"/>
            <w:shd w:val="clear" w:color="auto" w:fill="C6EFCE"/>
            <w:noWrap/>
          </w:tcPr>
          <w:p w14:paraId="37023CBF" w14:textId="084B4A44" w:rsidR="00302FC1" w:rsidRPr="00AB26B3" w:rsidRDefault="00D64F26">
            <w:pPr>
              <w:pStyle w:val="P68B1DB1-Normal12"/>
              <w:spacing w:after="0" w:line="240" w:lineRule="auto"/>
              <w:rPr>
                <w:noProof/>
                <w:spacing w:val="-6"/>
                <w:lang w:val="sk-SK"/>
              </w:rPr>
            </w:pPr>
            <w:r w:rsidRPr="00AB26B3">
              <w:rPr>
                <w:noProof/>
                <w:spacing w:val="-6"/>
                <w:lang w:val="sk-SK"/>
              </w:rPr>
              <w:t>Uverejnenie stratégie správy cloudových údajov, rámca pre správu verejných údajov, politiky</w:t>
            </w:r>
            <w:r w:rsidR="00AB26B3" w:rsidRPr="00AB26B3">
              <w:rPr>
                <w:noProof/>
                <w:spacing w:val="-6"/>
                <w:lang w:val="sk-SK"/>
              </w:rPr>
              <w:t xml:space="preserve"> v </w:t>
            </w:r>
            <w:r w:rsidRPr="00AB26B3">
              <w:rPr>
                <w:noProof/>
                <w:spacing w:val="-6"/>
                <w:lang w:val="sk-SK"/>
              </w:rPr>
              <w:t>oblasti otvorených</w:t>
            </w:r>
            <w:r w:rsidR="00AB26B3" w:rsidRPr="00AB26B3">
              <w:rPr>
                <w:noProof/>
                <w:spacing w:val="-6"/>
                <w:lang w:val="sk-SK"/>
              </w:rPr>
              <w:t xml:space="preserve"> a </w:t>
            </w:r>
            <w:r w:rsidRPr="00AB26B3">
              <w:rPr>
                <w:noProof/>
                <w:spacing w:val="-6"/>
                <w:lang w:val="sk-SK"/>
              </w:rPr>
              <w:t>opätovne použiteľných údajov</w:t>
            </w:r>
          </w:p>
        </w:tc>
        <w:tc>
          <w:tcPr>
            <w:tcW w:w="1701" w:type="dxa"/>
            <w:shd w:val="clear" w:color="auto" w:fill="C6EFCE"/>
            <w:noWrap/>
          </w:tcPr>
          <w:p w14:paraId="6BE14EF7" w14:textId="250A5AC2" w:rsidR="00302FC1" w:rsidRPr="00AB26B3" w:rsidRDefault="00D64F26">
            <w:pPr>
              <w:pStyle w:val="P68B1DB1-Normal12"/>
              <w:spacing w:after="0" w:line="240" w:lineRule="auto"/>
              <w:rPr>
                <w:noProof/>
                <w:spacing w:val="-6"/>
                <w:lang w:val="sk-SK"/>
              </w:rPr>
            </w:pPr>
            <w:r w:rsidRPr="00AB26B3">
              <w:rPr>
                <w:noProof/>
                <w:spacing w:val="-6"/>
                <w:lang w:val="sk-SK"/>
              </w:rPr>
              <w:t>Zavádza sa vládna stratégia správy cloudových údajov, rámec správy verejných údajov, politika otvorených</w:t>
            </w:r>
            <w:r w:rsidR="00AB26B3" w:rsidRPr="00AB26B3">
              <w:rPr>
                <w:noProof/>
                <w:spacing w:val="-6"/>
                <w:lang w:val="sk-SK"/>
              </w:rPr>
              <w:t xml:space="preserve"> a </w:t>
            </w:r>
            <w:r w:rsidRPr="00AB26B3">
              <w:rPr>
                <w:noProof/>
                <w:spacing w:val="-6"/>
                <w:lang w:val="sk-SK"/>
              </w:rPr>
              <w:t>opätovne použiteľných údajov.</w:t>
            </w:r>
          </w:p>
        </w:tc>
        <w:tc>
          <w:tcPr>
            <w:tcW w:w="1322" w:type="dxa"/>
            <w:shd w:val="clear" w:color="auto" w:fill="C6EFCE"/>
            <w:noWrap/>
          </w:tcPr>
          <w:p w14:paraId="3D9F42E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21D77F3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6337A01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680587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37199D8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92" w:type="dxa"/>
            <w:shd w:val="clear" w:color="auto" w:fill="C6EFCE"/>
            <w:noWrap/>
          </w:tcPr>
          <w:p w14:paraId="6CBD7EF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98" w:type="dxa"/>
            <w:shd w:val="clear" w:color="auto" w:fill="C6EFCE"/>
            <w:noWrap/>
          </w:tcPr>
          <w:p w14:paraId="3CBD912B" w14:textId="0F78D76C" w:rsidR="00302FC1" w:rsidRPr="00AB26B3" w:rsidRDefault="00D64F26">
            <w:pPr>
              <w:pStyle w:val="P68B1DB1-Normal12"/>
              <w:spacing w:after="0" w:line="240" w:lineRule="auto"/>
              <w:rPr>
                <w:rFonts w:eastAsiaTheme="minorEastAsia"/>
                <w:noProof/>
                <w:spacing w:val="-6"/>
                <w:highlight w:val="yellow"/>
                <w:lang w:val="sk-SK"/>
              </w:rPr>
            </w:pPr>
            <w:r w:rsidRPr="00AB26B3">
              <w:rPr>
                <w:noProof/>
                <w:spacing w:val="-6"/>
                <w:lang w:val="sk-SK"/>
              </w:rPr>
              <w:t>Uverejnenie a) vládnej stratégie správy cloudových údajov, b) rámca pre správu verejných údajov, c) politiky</w:t>
            </w:r>
            <w:r w:rsidR="00AB26B3" w:rsidRPr="00AB26B3">
              <w:rPr>
                <w:noProof/>
                <w:spacing w:val="-6"/>
                <w:lang w:val="sk-SK"/>
              </w:rPr>
              <w:t xml:space="preserve"> v </w:t>
            </w:r>
            <w:r w:rsidRPr="00AB26B3">
              <w:rPr>
                <w:noProof/>
                <w:spacing w:val="-6"/>
                <w:lang w:val="sk-SK"/>
              </w:rPr>
              <w:t>oblasti otvorených</w:t>
            </w:r>
            <w:r w:rsidR="00AB26B3" w:rsidRPr="00AB26B3">
              <w:rPr>
                <w:noProof/>
                <w:spacing w:val="-6"/>
                <w:lang w:val="sk-SK"/>
              </w:rPr>
              <w:t xml:space="preserve"> a </w:t>
            </w:r>
            <w:r w:rsidRPr="00AB26B3">
              <w:rPr>
                <w:noProof/>
                <w:spacing w:val="-6"/>
                <w:lang w:val="sk-SK"/>
              </w:rPr>
              <w:t>opätovne použiteľných údajov</w:t>
            </w:r>
          </w:p>
        </w:tc>
      </w:tr>
      <w:tr w:rsidR="00302FC1" w:rsidRPr="00AB26B3" w14:paraId="2D470561" w14:textId="77777777">
        <w:trPr>
          <w:trHeight w:val="313"/>
          <w:jc w:val="center"/>
        </w:trPr>
        <w:tc>
          <w:tcPr>
            <w:tcW w:w="575" w:type="dxa"/>
            <w:shd w:val="clear" w:color="auto" w:fill="C6EFCE"/>
            <w:noWrap/>
          </w:tcPr>
          <w:p w14:paraId="20D9278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129</w:t>
            </w:r>
          </w:p>
        </w:tc>
        <w:tc>
          <w:tcPr>
            <w:tcW w:w="2072" w:type="dxa"/>
            <w:shd w:val="clear" w:color="auto" w:fill="C6EFCE"/>
            <w:noWrap/>
          </w:tcPr>
          <w:p w14:paraId="45CEC43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 2.2. Modernizujte – 16842_Central BI – Data Analytics (centrálna základná infraštruktúra – analýza údajov)</w:t>
            </w:r>
          </w:p>
        </w:tc>
        <w:tc>
          <w:tcPr>
            <w:tcW w:w="1134" w:type="dxa"/>
            <w:shd w:val="clear" w:color="auto" w:fill="C6EFCE"/>
            <w:noWrap/>
          </w:tcPr>
          <w:p w14:paraId="2849EE6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17" w:type="dxa"/>
            <w:shd w:val="clear" w:color="auto" w:fill="C6EFCE"/>
            <w:noWrap/>
          </w:tcPr>
          <w:p w14:paraId="374B0A3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Dodanie centrálnej BI</w:t>
            </w:r>
          </w:p>
        </w:tc>
        <w:tc>
          <w:tcPr>
            <w:tcW w:w="1701" w:type="dxa"/>
            <w:shd w:val="clear" w:color="auto" w:fill="C6EFCE"/>
            <w:noWrap/>
          </w:tcPr>
          <w:p w14:paraId="54D45119" w14:textId="63CA092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Realizácia projektu centrálnej BI. </w:t>
            </w:r>
          </w:p>
        </w:tc>
        <w:tc>
          <w:tcPr>
            <w:tcW w:w="1322" w:type="dxa"/>
            <w:shd w:val="clear" w:color="auto" w:fill="C6EFCE"/>
            <w:noWrap/>
          </w:tcPr>
          <w:p w14:paraId="703819D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33449E0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6A6E761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2AB50F2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92" w:type="dxa"/>
            <w:shd w:val="clear" w:color="auto" w:fill="C6EFCE"/>
            <w:noWrap/>
          </w:tcPr>
          <w:p w14:paraId="7F12E08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398" w:type="dxa"/>
            <w:shd w:val="clear" w:color="auto" w:fill="C6EFCE"/>
            <w:noWrap/>
          </w:tcPr>
          <w:p w14:paraId="123C45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Realizácia projektu Central BI – Data Analytics (Ústredná BI – analýza údajov), čoho dôkazom je spustenie projektu National Dashboard business intelligence sution (Národný prehľad obchodných spravodajských informácií), </w:t>
            </w:r>
          </w:p>
        </w:tc>
      </w:tr>
    </w:tbl>
    <w:p w14:paraId="18A62B50" w14:textId="77777777" w:rsidR="00302FC1" w:rsidRPr="00AB26B3" w:rsidRDefault="00302FC1">
      <w:pPr>
        <w:spacing w:before="120" w:after="120" w:line="240" w:lineRule="auto"/>
        <w:rPr>
          <w:rFonts w:ascii="Times New Roman" w:hAnsi="Times New Roman" w:cs="Times New Roman"/>
          <w:noProof/>
          <w:spacing w:val="-6"/>
          <w:sz w:val="24"/>
          <w:lang w:val="sk-SK"/>
        </w:rPr>
        <w:sectPr w:rsidR="00302FC1" w:rsidRPr="00AB26B3" w:rsidSect="00315FC0">
          <w:headerReference w:type="default" r:id="rId130"/>
          <w:footerReference w:type="default" r:id="rId131"/>
          <w:pgSz w:w="16839" w:h="11907" w:orient="landscape"/>
          <w:pgMar w:top="720" w:right="720" w:bottom="720" w:left="720" w:header="709" w:footer="709" w:gutter="0"/>
          <w:cols w:space="720"/>
          <w:docGrid w:linePitch="360"/>
        </w:sectPr>
      </w:pPr>
    </w:p>
    <w:p w14:paraId="451E7351"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G. ZLOŽKA 2.3: DIGITALIZÁCIA PODNIKOV</w:t>
      </w:r>
    </w:p>
    <w:p w14:paraId="1E68161D" w14:textId="0AFF601D" w:rsidR="00AB26B3" w:rsidRPr="00AB26B3" w:rsidRDefault="00D64F26">
      <w:pPr>
        <w:pStyle w:val="P68B1DB1-Normal5"/>
        <w:spacing w:before="120" w:after="120" w:line="240" w:lineRule="auto"/>
        <w:jc w:val="both"/>
        <w:rPr>
          <w:noProof/>
          <w:spacing w:val="-6"/>
          <w:lang w:val="sk-SK"/>
        </w:rPr>
      </w:pPr>
      <w:r w:rsidRPr="00AB26B3">
        <w:rPr>
          <w:noProof/>
          <w:spacing w:val="-6"/>
          <w:lang w:val="sk-SK"/>
        </w:rPr>
        <w:t xml:space="preserve">Táto zložka </w:t>
      </w:r>
      <w:r w:rsidRPr="00AB26B3">
        <w:rPr>
          <w:noProof/>
          <w:color w:val="000000" w:themeColor="text1"/>
          <w:spacing w:val="-6"/>
          <w:szCs w:val="24"/>
          <w:lang w:val="sk-SK"/>
        </w:rPr>
        <w:t>gréckej obnovy</w:t>
      </w:r>
      <w:r w:rsidR="00AB26B3" w:rsidRPr="00AB26B3">
        <w:rPr>
          <w:noProof/>
          <w:color w:val="000000" w:themeColor="text1"/>
          <w:spacing w:val="-6"/>
          <w:szCs w:val="24"/>
          <w:lang w:val="sk-SK"/>
        </w:rPr>
        <w:t xml:space="preserve"> a </w:t>
      </w:r>
      <w:r w:rsidRPr="00AB26B3">
        <w:rPr>
          <w:noProof/>
          <w:color w:val="000000" w:themeColor="text1"/>
          <w:spacing w:val="-6"/>
          <w:szCs w:val="24"/>
          <w:lang w:val="sk-SK"/>
        </w:rPr>
        <w:t xml:space="preserve">odolnosti </w:t>
      </w:r>
      <w:r w:rsidRPr="00AB26B3">
        <w:rPr>
          <w:noProof/>
          <w:spacing w:val="-6"/>
          <w:lang w:val="sk-SK"/>
        </w:rPr>
        <w:t>sa týka poskytovania kapitálu gréckym malým</w:t>
      </w:r>
      <w:r w:rsidR="00AB26B3" w:rsidRPr="00AB26B3">
        <w:rPr>
          <w:noProof/>
          <w:spacing w:val="-6"/>
          <w:lang w:val="sk-SK"/>
        </w:rPr>
        <w:t xml:space="preserve"> a </w:t>
      </w:r>
      <w:r w:rsidRPr="00AB26B3">
        <w:rPr>
          <w:noProof/>
          <w:spacing w:val="-6"/>
          <w:lang w:val="sk-SK"/>
        </w:rPr>
        <w:t>stredným podnikom na financovanie investícií do digitálnych technológií</w:t>
      </w:r>
      <w:r w:rsidR="00AB26B3" w:rsidRPr="00AB26B3">
        <w:rPr>
          <w:noProof/>
          <w:spacing w:val="-6"/>
          <w:lang w:val="sk-SK"/>
        </w:rPr>
        <w:t xml:space="preserve"> a </w:t>
      </w:r>
      <w:r w:rsidRPr="00AB26B3">
        <w:rPr>
          <w:noProof/>
          <w:spacing w:val="-6"/>
          <w:lang w:val="sk-SK"/>
        </w:rPr>
        <w:t>nákupu súvisiacich služieb. Jeho cieľom je riešiť súčasné nízke úrovne digitálnej vyspelosti medzi nimi,</w:t>
      </w:r>
      <w:r w:rsidR="00AB26B3" w:rsidRPr="00AB26B3">
        <w:rPr>
          <w:noProof/>
          <w:spacing w:val="-6"/>
          <w:lang w:val="sk-SK"/>
        </w:rPr>
        <w:t xml:space="preserve"> a </w:t>
      </w:r>
      <w:r w:rsidRPr="00AB26B3">
        <w:rPr>
          <w:noProof/>
          <w:spacing w:val="-6"/>
          <w:lang w:val="sk-SK"/>
        </w:rPr>
        <w:t>to aj</w:t>
      </w:r>
      <w:r w:rsidR="00AB26B3" w:rsidRPr="00AB26B3">
        <w:rPr>
          <w:noProof/>
          <w:spacing w:val="-6"/>
          <w:lang w:val="sk-SK"/>
        </w:rPr>
        <w:t xml:space="preserve"> v </w:t>
      </w:r>
      <w:r w:rsidRPr="00AB26B3">
        <w:rPr>
          <w:noProof/>
          <w:spacing w:val="-6"/>
          <w:lang w:val="sk-SK"/>
        </w:rPr>
        <w:t>dôsledku nízkych digitálnych zručností,</w:t>
      </w:r>
      <w:r w:rsidR="00AB26B3" w:rsidRPr="00AB26B3">
        <w:rPr>
          <w:noProof/>
          <w:spacing w:val="-6"/>
          <w:lang w:val="sk-SK"/>
        </w:rPr>
        <w:t xml:space="preserve"> a </w:t>
      </w:r>
      <w:r w:rsidRPr="00AB26B3">
        <w:rPr>
          <w:noProof/>
          <w:spacing w:val="-6"/>
          <w:lang w:val="sk-SK"/>
        </w:rPr>
        <w:t>zároveň podporovať produktivitu</w:t>
      </w:r>
      <w:r w:rsidR="00AB26B3" w:rsidRPr="00AB26B3">
        <w:rPr>
          <w:noProof/>
          <w:spacing w:val="-6"/>
          <w:lang w:val="sk-SK"/>
        </w:rPr>
        <w:t xml:space="preserve"> a </w:t>
      </w:r>
      <w:r w:rsidRPr="00AB26B3">
        <w:rPr>
          <w:noProof/>
          <w:spacing w:val="-6"/>
          <w:lang w:val="sk-SK"/>
        </w:rPr>
        <w:t>rozvoj inovačných podnikov. Zároveň sa očakáva, že pomôže takýmto podnikom prispôsobiť sa novým výzvam</w:t>
      </w:r>
      <w:r w:rsidR="00AB26B3" w:rsidRPr="00AB26B3">
        <w:rPr>
          <w:noProof/>
          <w:spacing w:val="-6"/>
          <w:lang w:val="sk-SK"/>
        </w:rPr>
        <w:t xml:space="preserve"> a </w:t>
      </w:r>
      <w:r w:rsidRPr="00AB26B3">
        <w:rPr>
          <w:noProof/>
          <w:spacing w:val="-6"/>
          <w:lang w:val="sk-SK"/>
        </w:rPr>
        <w:t xml:space="preserve">využiť nové obchodné trendy. Komponent zabezpečuje najmä vytvorenie jednotného digitálneho trhu, ku ktorému majú prístup dodávatelia týchto produktov aj služieb. </w:t>
      </w:r>
      <w:r w:rsidRPr="00AB26B3">
        <w:rPr>
          <w:noProof/>
          <w:spacing w:val="-6"/>
          <w:szCs w:val="24"/>
          <w:lang w:val="sk-SK"/>
        </w:rPr>
        <w:t>Kľúčovými cieľmi tejto zložky sú podpora využívania elektronických platieb</w:t>
      </w:r>
      <w:r w:rsidR="00AB26B3" w:rsidRPr="00AB26B3">
        <w:rPr>
          <w:noProof/>
          <w:spacing w:val="-6"/>
          <w:szCs w:val="24"/>
          <w:lang w:val="sk-SK"/>
        </w:rPr>
        <w:t xml:space="preserve"> a </w:t>
      </w:r>
      <w:r w:rsidRPr="00AB26B3">
        <w:rPr>
          <w:noProof/>
          <w:spacing w:val="-6"/>
          <w:szCs w:val="24"/>
          <w:lang w:val="sk-SK"/>
        </w:rPr>
        <w:t>predaja, modernizácia registračných pokladníc</w:t>
      </w:r>
      <w:r w:rsidR="00AB26B3" w:rsidRPr="00AB26B3">
        <w:rPr>
          <w:noProof/>
          <w:spacing w:val="-6"/>
          <w:szCs w:val="24"/>
          <w:lang w:val="sk-SK"/>
        </w:rPr>
        <w:t xml:space="preserve"> a </w:t>
      </w:r>
      <w:r w:rsidRPr="00AB26B3">
        <w:rPr>
          <w:noProof/>
          <w:spacing w:val="-6"/>
          <w:szCs w:val="24"/>
          <w:lang w:val="sk-SK"/>
        </w:rPr>
        <w:t>ekosystému POS</w:t>
      </w:r>
      <w:r w:rsidR="00AB26B3" w:rsidRPr="00AB26B3">
        <w:rPr>
          <w:noProof/>
          <w:spacing w:val="-6"/>
          <w:szCs w:val="24"/>
          <w:lang w:val="sk-SK"/>
        </w:rPr>
        <w:t xml:space="preserve"> a </w:t>
      </w:r>
      <w:r w:rsidRPr="00AB26B3">
        <w:rPr>
          <w:noProof/>
          <w:spacing w:val="-6"/>
          <w:szCs w:val="24"/>
          <w:lang w:val="sk-SK"/>
        </w:rPr>
        <w:t>vývoj priemyselných dátových produktov.</w:t>
      </w:r>
      <w:r w:rsidRPr="00AB26B3">
        <w:rPr>
          <w:noProof/>
          <w:spacing w:val="-6"/>
          <w:lang w:val="sk-SK"/>
        </w:rPr>
        <w:t xml:space="preserve"> Okrem toho sa komponent zameriava aj na pomoc pri vytváraní digitálneho podnikateľského ekosystému priaznivého pre digitálnu transformáciu malých</w:t>
      </w:r>
      <w:r w:rsidR="00AB26B3" w:rsidRPr="00AB26B3">
        <w:rPr>
          <w:noProof/>
          <w:spacing w:val="-6"/>
          <w:lang w:val="sk-SK"/>
        </w:rPr>
        <w:t xml:space="preserve"> a </w:t>
      </w:r>
      <w:r w:rsidRPr="00AB26B3">
        <w:rPr>
          <w:noProof/>
          <w:spacing w:val="-6"/>
          <w:lang w:val="sk-SK"/>
        </w:rPr>
        <w:t>stredných podnikov. Plánuje sa aj centrálny podporný mechanizmus pre malé</w:t>
      </w:r>
      <w:r w:rsidR="00AB26B3" w:rsidRPr="00AB26B3">
        <w:rPr>
          <w:noProof/>
          <w:spacing w:val="-6"/>
          <w:lang w:val="sk-SK"/>
        </w:rPr>
        <w:t xml:space="preserve"> a </w:t>
      </w:r>
      <w:r w:rsidRPr="00AB26B3">
        <w:rPr>
          <w:noProof/>
          <w:spacing w:val="-6"/>
          <w:lang w:val="sk-SK"/>
        </w:rPr>
        <w:t>stredné podniky, ktorý uľahčí poskytovanie programov odbornej prípravy</w:t>
      </w:r>
      <w:r w:rsidR="00AB26B3" w:rsidRPr="00AB26B3">
        <w:rPr>
          <w:noProof/>
          <w:spacing w:val="-6"/>
          <w:lang w:val="sk-SK"/>
        </w:rPr>
        <w:t xml:space="preserve"> a </w:t>
      </w:r>
      <w:r w:rsidRPr="00AB26B3">
        <w:rPr>
          <w:noProof/>
          <w:spacing w:val="-6"/>
          <w:lang w:val="sk-SK"/>
        </w:rPr>
        <w:t>zvyšovania informovanosti, aby mohli čo najlepšie využívať nástroje</w:t>
      </w:r>
      <w:r w:rsidR="00AB26B3" w:rsidRPr="00AB26B3">
        <w:rPr>
          <w:noProof/>
          <w:spacing w:val="-6"/>
          <w:lang w:val="sk-SK"/>
        </w:rPr>
        <w:t xml:space="preserve"> a </w:t>
      </w:r>
      <w:r w:rsidRPr="00AB26B3">
        <w:rPr>
          <w:noProof/>
          <w:spacing w:val="-6"/>
          <w:lang w:val="sk-SK"/>
        </w:rPr>
        <w:t>služby ponúkané prostredníctvom digitálneho trhu</w:t>
      </w:r>
      <w:r w:rsidR="00AB26B3" w:rsidRPr="00AB26B3">
        <w:rPr>
          <w:noProof/>
          <w:spacing w:val="-6"/>
          <w:lang w:val="sk-SK"/>
        </w:rPr>
        <w:t>.</w:t>
      </w:r>
    </w:p>
    <w:p w14:paraId="354EB8F6" w14:textId="4F4729D2"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Očakáva sa, že opatrenia budú reagovať na digitálnu transformáciu</w:t>
      </w:r>
      <w:r w:rsidR="00AB26B3" w:rsidRPr="00AB26B3">
        <w:rPr>
          <w:noProof/>
          <w:spacing w:val="-6"/>
          <w:lang w:val="sk-SK"/>
        </w:rPr>
        <w:t xml:space="preserve"> a </w:t>
      </w:r>
      <w:r w:rsidRPr="00AB26B3">
        <w:rPr>
          <w:noProof/>
          <w:spacing w:val="-6"/>
          <w:lang w:val="sk-SK"/>
        </w:rPr>
        <w:t>výzvy, ktoré</w:t>
      </w:r>
      <w:r w:rsidR="00AB26B3" w:rsidRPr="00AB26B3">
        <w:rPr>
          <w:noProof/>
          <w:spacing w:val="-6"/>
          <w:lang w:val="sk-SK"/>
        </w:rPr>
        <w:t xml:space="preserve"> z </w:t>
      </w:r>
      <w:r w:rsidRPr="00AB26B3">
        <w:rPr>
          <w:noProof/>
          <w:spacing w:val="-6"/>
          <w:lang w:val="sk-SK"/>
        </w:rPr>
        <w:t>nej vyplývajú, keďže sa očakáva, že prispejú</w:t>
      </w:r>
      <w:r w:rsidR="00AB26B3" w:rsidRPr="00AB26B3">
        <w:rPr>
          <w:noProof/>
          <w:spacing w:val="-6"/>
          <w:lang w:val="sk-SK"/>
        </w:rPr>
        <w:t xml:space="preserve"> k </w:t>
      </w:r>
      <w:r w:rsidRPr="00AB26B3">
        <w:rPr>
          <w:noProof/>
          <w:spacing w:val="-6"/>
          <w:lang w:val="sk-SK"/>
        </w:rPr>
        <w:t>zavádzaniu digitálnych technológií</w:t>
      </w:r>
      <w:r w:rsidR="00AB26B3" w:rsidRPr="00AB26B3">
        <w:rPr>
          <w:noProof/>
          <w:spacing w:val="-6"/>
          <w:lang w:val="sk-SK"/>
        </w:rPr>
        <w:t xml:space="preserve"> a </w:t>
      </w:r>
      <w:r w:rsidRPr="00AB26B3">
        <w:rPr>
          <w:noProof/>
          <w:spacing w:val="-6"/>
          <w:lang w:val="sk-SK"/>
        </w:rPr>
        <w:t>zvyšovaniu úrovne digitálnych zručností malých</w:t>
      </w:r>
      <w:r w:rsidR="00AB26B3" w:rsidRPr="00AB26B3">
        <w:rPr>
          <w:noProof/>
          <w:spacing w:val="-6"/>
          <w:lang w:val="sk-SK"/>
        </w:rPr>
        <w:t xml:space="preserve"> a </w:t>
      </w:r>
      <w:r w:rsidRPr="00AB26B3">
        <w:rPr>
          <w:noProof/>
          <w:spacing w:val="-6"/>
          <w:lang w:val="sk-SK"/>
        </w:rPr>
        <w:t>stredných podnikov</w:t>
      </w:r>
      <w:r w:rsidR="00AB26B3" w:rsidRPr="00AB26B3">
        <w:rPr>
          <w:noProof/>
          <w:spacing w:val="-6"/>
          <w:lang w:val="sk-SK"/>
        </w:rPr>
        <w:t xml:space="preserve"> v </w:t>
      </w:r>
      <w:r w:rsidRPr="00AB26B3">
        <w:rPr>
          <w:noProof/>
          <w:spacing w:val="-6"/>
          <w:lang w:val="sk-SK"/>
        </w:rPr>
        <w:t>Grécku. Okrem toho sa očakáva, že opatrenia uľahčia inteligentný</w:t>
      </w:r>
      <w:r w:rsidR="00AB26B3" w:rsidRPr="00AB26B3">
        <w:rPr>
          <w:noProof/>
          <w:spacing w:val="-6"/>
          <w:lang w:val="sk-SK"/>
        </w:rPr>
        <w:t xml:space="preserve"> a </w:t>
      </w:r>
      <w:r w:rsidRPr="00AB26B3">
        <w:rPr>
          <w:noProof/>
          <w:spacing w:val="-6"/>
          <w:lang w:val="sk-SK"/>
        </w:rPr>
        <w:t>udržateľný rast ďalším stimulovaním súkromných investícií, čím prispejú</w:t>
      </w:r>
      <w:r w:rsidR="00AB26B3" w:rsidRPr="00AB26B3">
        <w:rPr>
          <w:noProof/>
          <w:spacing w:val="-6"/>
          <w:lang w:val="sk-SK"/>
        </w:rPr>
        <w:t xml:space="preserve"> k </w:t>
      </w:r>
      <w:r w:rsidRPr="00AB26B3">
        <w:rPr>
          <w:noProof/>
          <w:spacing w:val="-6"/>
          <w:lang w:val="sk-SK"/>
        </w:rPr>
        <w:t>plneniu odporúčania pre jednotlivé krajiny týkajúceho sa verejných</w:t>
      </w:r>
      <w:r w:rsidR="00AB26B3" w:rsidRPr="00AB26B3">
        <w:rPr>
          <w:noProof/>
          <w:spacing w:val="-6"/>
          <w:lang w:val="sk-SK"/>
        </w:rPr>
        <w:t xml:space="preserve"> a </w:t>
      </w:r>
      <w:r w:rsidRPr="00AB26B3">
        <w:rPr>
          <w:noProof/>
          <w:spacing w:val="-6"/>
          <w:lang w:val="sk-SK"/>
        </w:rPr>
        <w:t xml:space="preserve">súkromných investícií (odporúčanie pre danú krajinu </w:t>
      </w:r>
      <w:r w:rsidR="00AB26B3" w:rsidRPr="00AB26B3">
        <w:rPr>
          <w:noProof/>
          <w:spacing w:val="-6"/>
          <w:lang w:val="sk-SK"/>
        </w:rPr>
        <w:t>č. </w:t>
      </w:r>
      <w:r w:rsidRPr="00AB26B3">
        <w:rPr>
          <w:noProof/>
          <w:spacing w:val="-6"/>
          <w:lang w:val="sk-SK"/>
        </w:rPr>
        <w:t>3 2020).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281A9474" w14:textId="479AB232" w:rsidR="00302FC1" w:rsidRPr="00AB26B3" w:rsidRDefault="00D64F26">
      <w:pPr>
        <w:pStyle w:val="P68B1DB1-Normal6"/>
        <w:spacing w:before="120" w:after="120" w:line="240" w:lineRule="auto"/>
        <w:jc w:val="both"/>
        <w:rPr>
          <w:rFonts w:cs="Times New Roman"/>
          <w:i/>
          <w:noProof/>
          <w:color w:val="4F81BD"/>
          <w:spacing w:val="-6"/>
          <w:lang w:val="sk-SK"/>
        </w:rPr>
      </w:pPr>
      <w:r w:rsidRPr="00AB26B3">
        <w:rPr>
          <w:noProof/>
          <w:spacing w:val="-6"/>
          <w:lang w:val="sk-SK"/>
        </w:rPr>
        <w:t>G.1.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1EBDECE0"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Vytvorenie digitálneho podnikateľského ekosystému na uľahčenie digitálnej transformácie MSP (opatrenie ID 16973)</w:t>
      </w:r>
    </w:p>
    <w:p w14:paraId="1DC0DB71" w14:textId="7286141F"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reformy je vytvoriť digitálny podnikateľský ekosystém pre digitálnu transformáciu MSP. Reforma pozostáva zo zavedenia rámca pre: a) vytvorenie digitálneho trhu</w:t>
      </w:r>
      <w:r w:rsidR="00AB26B3" w:rsidRPr="00AB26B3">
        <w:rPr>
          <w:noProof/>
          <w:spacing w:val="-6"/>
          <w:lang w:val="sk-SK"/>
        </w:rPr>
        <w:t xml:space="preserve"> s </w:t>
      </w:r>
      <w:r w:rsidRPr="00AB26B3">
        <w:rPr>
          <w:noProof/>
          <w:spacing w:val="-6"/>
          <w:lang w:val="sk-SK"/>
        </w:rPr>
        <w:t>dodávkami</w:t>
      </w:r>
      <w:r w:rsidR="00AB26B3" w:rsidRPr="00AB26B3">
        <w:rPr>
          <w:noProof/>
          <w:spacing w:val="-6"/>
          <w:lang w:val="sk-SK"/>
        </w:rPr>
        <w:t xml:space="preserve"> a </w:t>
      </w:r>
      <w:r w:rsidRPr="00AB26B3">
        <w:rPr>
          <w:noProof/>
          <w:spacing w:val="-6"/>
          <w:lang w:val="sk-SK"/>
        </w:rPr>
        <w:t>nákupom digitálnych služieb</w:t>
      </w:r>
      <w:r w:rsidR="00AB26B3" w:rsidRPr="00AB26B3">
        <w:rPr>
          <w:noProof/>
          <w:spacing w:val="-6"/>
          <w:lang w:val="sk-SK"/>
        </w:rPr>
        <w:t xml:space="preserve"> a </w:t>
      </w:r>
      <w:r w:rsidRPr="00AB26B3">
        <w:rPr>
          <w:noProof/>
          <w:spacing w:val="-6"/>
          <w:lang w:val="sk-SK"/>
        </w:rPr>
        <w:t>nástrojov</w:t>
      </w:r>
      <w:r w:rsidR="00AB26B3" w:rsidRPr="00AB26B3">
        <w:rPr>
          <w:noProof/>
          <w:spacing w:val="-6"/>
          <w:lang w:val="sk-SK"/>
        </w:rPr>
        <w:t xml:space="preserve"> a </w:t>
      </w:r>
      <w:r w:rsidRPr="00AB26B3">
        <w:rPr>
          <w:noProof/>
          <w:spacing w:val="-6"/>
          <w:lang w:val="sk-SK"/>
        </w:rPr>
        <w:t>b) zriadenie továrne umelej inteligencie „Pharos“</w:t>
      </w:r>
      <w:r w:rsidR="00AB26B3" w:rsidRPr="00AB26B3">
        <w:rPr>
          <w:noProof/>
          <w:spacing w:val="-6"/>
          <w:lang w:val="sk-SK"/>
        </w:rPr>
        <w:t>.</w:t>
      </w:r>
    </w:p>
    <w:p w14:paraId="4A205DD4" w14:textId="1A25231D"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MSP (opatrenie ID 16706)</w:t>
      </w:r>
    </w:p>
    <w:p w14:paraId="7E0EB995" w14:textId="630C6C2E"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investície je digitálna transformácia gréckych MSP. Investícia pozostáva</w:t>
      </w:r>
      <w:r w:rsidR="00AB26B3" w:rsidRPr="00AB26B3">
        <w:rPr>
          <w:noProof/>
          <w:spacing w:val="-6"/>
          <w:lang w:val="sk-SK"/>
        </w:rPr>
        <w:t xml:space="preserve"> z </w:t>
      </w:r>
      <w:r w:rsidRPr="00AB26B3">
        <w:rPr>
          <w:noProof/>
          <w:spacing w:val="-6"/>
          <w:lang w:val="sk-SK"/>
        </w:rPr>
        <w:t>dodávky</w:t>
      </w:r>
      <w:r w:rsidR="00AB26B3" w:rsidRPr="00AB26B3">
        <w:rPr>
          <w:noProof/>
          <w:spacing w:val="-6"/>
          <w:lang w:val="sk-SK"/>
        </w:rPr>
        <w:t xml:space="preserve"> a </w:t>
      </w:r>
      <w:r w:rsidRPr="00AB26B3">
        <w:rPr>
          <w:noProof/>
          <w:spacing w:val="-6"/>
          <w:lang w:val="sk-SK"/>
        </w:rPr>
        <w:t>nákupu digitálnych produktov gréckymi MSP</w:t>
      </w:r>
      <w:r w:rsidR="00AB26B3" w:rsidRPr="00AB26B3">
        <w:rPr>
          <w:noProof/>
          <w:spacing w:val="-6"/>
          <w:lang w:val="sk-SK"/>
        </w:rPr>
        <w:t>.</w:t>
      </w:r>
    </w:p>
    <w:p w14:paraId="161F8044" w14:textId="0AAF319B"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132"/>
          <w:headerReference w:type="default" r:id="rId133"/>
          <w:footerReference w:type="even" r:id="rId134"/>
          <w:footerReference w:type="default" r:id="rId135"/>
          <w:headerReference w:type="first" r:id="rId136"/>
          <w:footerReference w:type="first" r:id="rId137"/>
          <w:pgSz w:w="11906" w:h="16838"/>
          <w:pgMar w:top="1417" w:right="1417" w:bottom="1417" w:left="1417" w:header="708" w:footer="708" w:gutter="0"/>
          <w:cols w:space="708"/>
          <w:docGrid w:linePitch="360"/>
        </w:sectPr>
      </w:pPr>
    </w:p>
    <w:p w14:paraId="51887304" w14:textId="188B30C2" w:rsidR="00302FC1" w:rsidRPr="00AB26B3" w:rsidRDefault="00D64F26">
      <w:pPr>
        <w:pStyle w:val="P68B1DB1-Normal6"/>
        <w:spacing w:before="120" w:after="120" w:line="240" w:lineRule="auto"/>
        <w:jc w:val="both"/>
        <w:rPr>
          <w:noProof/>
          <w:spacing w:val="-6"/>
          <w:lang w:val="sk-SK"/>
        </w:rPr>
      </w:pPr>
      <w:r w:rsidRPr="00AB26B3">
        <w:rPr>
          <w:noProof/>
          <w:spacing w:val="-6"/>
          <w:lang w:val="sk-SK"/>
        </w:rPr>
        <w:t>G.2.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7AA91157" w14:textId="77777777" w:rsidR="00302FC1" w:rsidRPr="00AB26B3" w:rsidRDefault="00D64F26">
      <w:pPr>
        <w:pStyle w:val="P68B1DB1-Normal9"/>
        <w:keepNext/>
        <w:keepLines/>
        <w:spacing w:before="40" w:after="0" w:line="240" w:lineRule="auto"/>
        <w:jc w:val="both"/>
        <w:outlineLvl w:val="4"/>
        <w:rPr>
          <w:rFonts w:ascii="Times New Roman" w:hAnsi="Times New Roman"/>
          <w:noProof/>
          <w:spacing w:val="-6"/>
          <w:lang w:val="sk-SK"/>
        </w:rPr>
      </w:pPr>
      <w:r w:rsidRPr="00AB26B3">
        <w:rPr>
          <w:rFonts w:ascii="Times New Roman" w:hAnsi="Times New Roman"/>
          <w:noProof/>
          <w:spacing w:val="-6"/>
          <w:lang w:val="sk-SK"/>
        </w:rPr>
        <w:t>Najvýznamnejšia investícia 4: Digitálna transformácia MSP</w:t>
      </w:r>
    </w:p>
    <w:tbl>
      <w:tblPr>
        <w:tblW w:w="14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146"/>
        <w:gridCol w:w="1140"/>
        <w:gridCol w:w="1386"/>
        <w:gridCol w:w="1371"/>
        <w:gridCol w:w="954"/>
        <w:gridCol w:w="951"/>
        <w:gridCol w:w="686"/>
        <w:gridCol w:w="1112"/>
        <w:gridCol w:w="745"/>
        <w:gridCol w:w="3591"/>
      </w:tblGrid>
      <w:tr w:rsidR="00302FC1" w:rsidRPr="00AB26B3" w14:paraId="633ABC2B" w14:textId="77777777">
        <w:trPr>
          <w:trHeight w:val="300"/>
          <w:tblHeader/>
          <w:jc w:val="center"/>
        </w:trPr>
        <w:tc>
          <w:tcPr>
            <w:tcW w:w="708" w:type="dxa"/>
            <w:vMerge w:val="restart"/>
            <w:shd w:val="clear" w:color="auto" w:fill="BDD7EE"/>
            <w:vAlign w:val="center"/>
            <w:hideMark/>
          </w:tcPr>
          <w:p w14:paraId="1E260D43" w14:textId="5AF9905F" w:rsidR="00302FC1" w:rsidRPr="00AB26B3" w:rsidRDefault="00D64F26">
            <w:pPr>
              <w:pStyle w:val="P68B1DB1-Normal34"/>
              <w:spacing w:after="0" w:line="240" w:lineRule="auto"/>
              <w:jc w:val="center"/>
              <w:rPr>
                <w:rFonts w:ascii="Times New Roman" w:eastAsia="Times New Roman" w:hAnsi="Times New Roman" w:cs="Times New Roman"/>
                <w:b/>
                <w:bCs/>
                <w:noProof/>
                <w:spacing w:val="-6"/>
                <w:szCs w:val="18"/>
                <w:lang w:val="sk-SK"/>
              </w:rPr>
            </w:pPr>
            <w:r w:rsidRPr="00AB26B3">
              <w:rPr>
                <w:rFonts w:ascii="Times New Roman" w:hAnsi="Times New Roman" w:cs="Times New Roman"/>
                <w:noProof/>
                <w:color w:val="006100"/>
                <w:spacing w:val="-6"/>
                <w:szCs w:val="18"/>
                <w:lang w:val="sk-SK"/>
              </w:rPr>
              <w:t xml:space="preserve"> </w:t>
            </w:r>
            <w:r w:rsidRPr="00AB26B3">
              <w:rPr>
                <w:rFonts w:ascii="Times New Roman" w:hAnsi="Times New Roman"/>
                <w:b/>
                <w:noProof/>
                <w:spacing w:val="-6"/>
                <w:lang w:val="sk-SK"/>
              </w:rPr>
              <w:t xml:space="preserve">A nasl. </w:t>
            </w:r>
            <w:r w:rsidRPr="00AB26B3">
              <w:rPr>
                <w:rFonts w:ascii="Times New Roman" w:hAnsi="Times New Roman"/>
                <w:b/>
                <w:noProof/>
                <w:spacing w:val="-6"/>
                <w:lang w:val="sk-SK"/>
              </w:rPr>
              <w:br/>
              <w:t>Nie.</w:t>
            </w:r>
          </w:p>
        </w:tc>
        <w:tc>
          <w:tcPr>
            <w:tcW w:w="2160" w:type="dxa"/>
            <w:vMerge w:val="restart"/>
            <w:shd w:val="clear" w:color="auto" w:fill="BDD7EE"/>
            <w:vAlign w:val="center"/>
            <w:hideMark/>
          </w:tcPr>
          <w:p w14:paraId="34D784D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46" w:type="dxa"/>
            <w:vMerge w:val="restart"/>
            <w:shd w:val="clear" w:color="auto" w:fill="BDD7EE"/>
            <w:vAlign w:val="center"/>
            <w:hideMark/>
          </w:tcPr>
          <w:p w14:paraId="4B0F896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395" w:type="dxa"/>
            <w:vMerge w:val="restart"/>
            <w:shd w:val="clear" w:color="auto" w:fill="BDD7EE"/>
            <w:vAlign w:val="center"/>
            <w:hideMark/>
          </w:tcPr>
          <w:p w14:paraId="2E177D8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380" w:type="dxa"/>
            <w:vMerge w:val="restart"/>
            <w:shd w:val="clear" w:color="auto" w:fill="BDD7EE"/>
            <w:vAlign w:val="center"/>
            <w:hideMark/>
          </w:tcPr>
          <w:p w14:paraId="56376B99" w14:textId="5C8EEA33"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607" w:type="dxa"/>
            <w:gridSpan w:val="3"/>
            <w:shd w:val="clear" w:color="auto" w:fill="BDD7EE"/>
            <w:vAlign w:val="center"/>
            <w:hideMark/>
          </w:tcPr>
          <w:p w14:paraId="2727B855" w14:textId="43774DF5"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774" w:type="dxa"/>
            <w:gridSpan w:val="2"/>
            <w:shd w:val="clear" w:color="auto" w:fill="BDD7EE"/>
            <w:vAlign w:val="center"/>
            <w:hideMark/>
          </w:tcPr>
          <w:p w14:paraId="39D74FF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617" w:type="dxa"/>
            <w:vMerge w:val="restart"/>
            <w:shd w:val="clear" w:color="auto" w:fill="BDD7EE"/>
            <w:vAlign w:val="center"/>
            <w:hideMark/>
          </w:tcPr>
          <w:p w14:paraId="1424CF8B" w14:textId="07963DD0"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65B7CE8" w14:textId="77777777">
        <w:trPr>
          <w:trHeight w:val="300"/>
          <w:tblHeader/>
          <w:jc w:val="center"/>
        </w:trPr>
        <w:tc>
          <w:tcPr>
            <w:tcW w:w="708" w:type="dxa"/>
            <w:vMerge/>
            <w:vAlign w:val="center"/>
            <w:hideMark/>
          </w:tcPr>
          <w:p w14:paraId="5F51B20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160" w:type="dxa"/>
            <w:vMerge/>
            <w:vAlign w:val="center"/>
            <w:hideMark/>
          </w:tcPr>
          <w:p w14:paraId="5C28CDA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46" w:type="dxa"/>
            <w:vMerge/>
            <w:vAlign w:val="center"/>
            <w:hideMark/>
          </w:tcPr>
          <w:p w14:paraId="24656DB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95" w:type="dxa"/>
            <w:vMerge/>
            <w:vAlign w:val="center"/>
            <w:hideMark/>
          </w:tcPr>
          <w:p w14:paraId="622E98E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80" w:type="dxa"/>
            <w:vMerge/>
            <w:vAlign w:val="center"/>
            <w:hideMark/>
          </w:tcPr>
          <w:p w14:paraId="30AC180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60" w:type="dxa"/>
            <w:shd w:val="clear" w:color="auto" w:fill="BDD7EE"/>
            <w:vAlign w:val="center"/>
            <w:hideMark/>
          </w:tcPr>
          <w:p w14:paraId="55229D0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57" w:type="dxa"/>
            <w:shd w:val="clear" w:color="auto" w:fill="BDD7EE"/>
            <w:vAlign w:val="center"/>
            <w:hideMark/>
          </w:tcPr>
          <w:p w14:paraId="2BEF299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690" w:type="dxa"/>
            <w:shd w:val="clear" w:color="auto" w:fill="BDD7EE"/>
            <w:vAlign w:val="center"/>
            <w:hideMark/>
          </w:tcPr>
          <w:p w14:paraId="111BCFC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1025" w:type="dxa"/>
            <w:shd w:val="clear" w:color="auto" w:fill="BDD7EE"/>
            <w:vAlign w:val="center"/>
            <w:hideMark/>
          </w:tcPr>
          <w:p w14:paraId="72FF3FD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49" w:type="dxa"/>
            <w:shd w:val="clear" w:color="auto" w:fill="BDD7EE"/>
            <w:vAlign w:val="center"/>
            <w:hideMark/>
          </w:tcPr>
          <w:p w14:paraId="4541E61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617" w:type="dxa"/>
            <w:vMerge/>
            <w:vAlign w:val="center"/>
            <w:hideMark/>
          </w:tcPr>
          <w:p w14:paraId="0C23D97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77138171" w14:textId="77777777">
        <w:trPr>
          <w:trHeight w:val="300"/>
          <w:jc w:val="center"/>
        </w:trPr>
        <w:tc>
          <w:tcPr>
            <w:tcW w:w="708" w:type="dxa"/>
            <w:shd w:val="clear" w:color="auto" w:fill="C6EFCE"/>
            <w:noWrap/>
          </w:tcPr>
          <w:p w14:paraId="0ED3AA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130</w:t>
            </w:r>
          </w:p>
        </w:tc>
        <w:tc>
          <w:tcPr>
            <w:tcW w:w="2160" w:type="dxa"/>
            <w:shd w:val="clear" w:color="auto" w:fill="C6EFCE"/>
            <w:noWrap/>
          </w:tcPr>
          <w:p w14:paraId="694937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7 – 2.3. Digitalizácia podnikov – 16706_Digitálna transformácia MSP</w:t>
            </w:r>
          </w:p>
        </w:tc>
        <w:tc>
          <w:tcPr>
            <w:tcW w:w="1146" w:type="dxa"/>
            <w:shd w:val="clear" w:color="auto" w:fill="C6EFCE"/>
            <w:noWrap/>
          </w:tcPr>
          <w:p w14:paraId="38F251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5" w:type="dxa"/>
            <w:shd w:val="clear" w:color="auto" w:fill="C6EFCE"/>
            <w:noWrap/>
          </w:tcPr>
          <w:p w14:paraId="432747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Digitálna transformácia MSP – výzvy na predkladanie návrhov</w:t>
            </w:r>
          </w:p>
        </w:tc>
        <w:tc>
          <w:tcPr>
            <w:tcW w:w="1380" w:type="dxa"/>
            <w:shd w:val="clear" w:color="auto" w:fill="C6EFCE"/>
            <w:noWrap/>
          </w:tcPr>
          <w:p w14:paraId="54FB65F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Uverejnená výzva na predkladanie návrhov</w:t>
            </w:r>
          </w:p>
        </w:tc>
        <w:tc>
          <w:tcPr>
            <w:tcW w:w="960" w:type="dxa"/>
            <w:shd w:val="clear" w:color="auto" w:fill="C6EFCE"/>
            <w:noWrap/>
          </w:tcPr>
          <w:p w14:paraId="4B834EF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57" w:type="dxa"/>
            <w:shd w:val="clear" w:color="auto" w:fill="C6EFCE"/>
            <w:noWrap/>
          </w:tcPr>
          <w:p w14:paraId="0778D68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0" w:type="dxa"/>
            <w:shd w:val="clear" w:color="auto" w:fill="C6EFCE"/>
            <w:noWrap/>
          </w:tcPr>
          <w:p w14:paraId="41CA1A5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25" w:type="dxa"/>
            <w:shd w:val="clear" w:color="auto" w:fill="C6EFCE"/>
            <w:noWrap/>
          </w:tcPr>
          <w:p w14:paraId="016118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49" w:type="dxa"/>
            <w:shd w:val="clear" w:color="auto" w:fill="C6EFCE"/>
            <w:noWrap/>
          </w:tcPr>
          <w:p w14:paraId="04EE319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617" w:type="dxa"/>
            <w:shd w:val="clear" w:color="auto" w:fill="C6EFCE"/>
            <w:noWrap/>
          </w:tcPr>
          <w:p w14:paraId="7FA109AB" w14:textId="48E5BA08" w:rsidR="00AB26B3" w:rsidRPr="00AB26B3" w:rsidRDefault="00D64F26">
            <w:pPr>
              <w:pStyle w:val="P68B1DB1-Normal12"/>
              <w:spacing w:after="0" w:line="240" w:lineRule="auto"/>
              <w:rPr>
                <w:noProof/>
                <w:spacing w:val="-6"/>
                <w:lang w:val="sk-SK"/>
              </w:rPr>
            </w:pPr>
            <w:r w:rsidRPr="00AB26B3">
              <w:rPr>
                <w:noProof/>
                <w:spacing w:val="-6"/>
                <w:lang w:val="sk-SK"/>
              </w:rPr>
              <w:t>Vyhlásenie všetkých súťažných výziev na predkladanie návrhov na financovanie systému poukážok na digitálnu transformáciu podnikov (podprojekty 1), platformy priemyselných údajov</w:t>
            </w:r>
            <w:r w:rsidR="00AB26B3" w:rsidRPr="00AB26B3">
              <w:rPr>
                <w:noProof/>
                <w:spacing w:val="-6"/>
                <w:lang w:val="sk-SK"/>
              </w:rPr>
              <w:t xml:space="preserve"> a </w:t>
            </w:r>
            <w:r w:rsidRPr="00AB26B3">
              <w:rPr>
                <w:noProof/>
                <w:spacing w:val="-6"/>
                <w:lang w:val="sk-SK"/>
              </w:rPr>
              <w:t>dátové priestory (podprojekty 2)</w:t>
            </w:r>
            <w:r w:rsidR="00AB26B3" w:rsidRPr="00AB26B3">
              <w:rPr>
                <w:noProof/>
                <w:spacing w:val="-6"/>
                <w:lang w:val="sk-SK"/>
              </w:rPr>
              <w:t xml:space="preserve"> a </w:t>
            </w:r>
            <w:r w:rsidRPr="00AB26B3">
              <w:rPr>
                <w:noProof/>
                <w:spacing w:val="-6"/>
                <w:lang w:val="sk-SK"/>
              </w:rPr>
              <w:t>registre hotovosti</w:t>
            </w:r>
            <w:r w:rsidR="00AB26B3" w:rsidRPr="00AB26B3">
              <w:rPr>
                <w:noProof/>
                <w:spacing w:val="-6"/>
                <w:lang w:val="sk-SK"/>
              </w:rPr>
              <w:t xml:space="preserve"> a </w:t>
            </w:r>
            <w:r w:rsidRPr="00AB26B3">
              <w:rPr>
                <w:noProof/>
                <w:spacing w:val="-6"/>
                <w:lang w:val="sk-SK"/>
              </w:rPr>
              <w:t>modernizáciu ekosystému POS (podprojekty 4)</w:t>
            </w:r>
            <w:r w:rsidR="00AB26B3" w:rsidRPr="00AB26B3">
              <w:rPr>
                <w:noProof/>
                <w:spacing w:val="-6"/>
                <w:lang w:val="sk-SK"/>
              </w:rPr>
              <w:t xml:space="preserve"> s </w:t>
            </w:r>
            <w:r w:rsidRPr="00AB26B3">
              <w:rPr>
                <w:noProof/>
                <w:spacing w:val="-6"/>
                <w:lang w:val="sk-SK"/>
              </w:rPr>
              <w:t>referenčnými podmienkami vrátane kritérií oprávnenosti, ktorými sa zabezpečí, aby vybrané projekty boli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No Significant Harm Technical Guidance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r w:rsidR="00AB26B3" w:rsidRPr="00AB26B3">
              <w:rPr>
                <w:noProof/>
                <w:spacing w:val="-6"/>
                <w:lang w:val="sk-SK"/>
              </w:rPr>
              <w:t>.</w:t>
            </w:r>
          </w:p>
          <w:p w14:paraId="298B5CDE" w14:textId="794FA605"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2767FD9" w14:textId="5036887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Investície sa zameriavajú na technológie</w:t>
            </w:r>
            <w:r w:rsidR="00AB26B3" w:rsidRPr="00AB26B3">
              <w:rPr>
                <w:noProof/>
                <w:spacing w:val="-6"/>
                <w:lang w:val="sk-SK"/>
              </w:rPr>
              <w:t xml:space="preserve"> a </w:t>
            </w:r>
            <w:r w:rsidRPr="00AB26B3">
              <w:rPr>
                <w:noProof/>
                <w:spacing w:val="-6"/>
                <w:lang w:val="sk-SK"/>
              </w:rPr>
              <w:t>služby na podporu digitalizácie malých</w:t>
            </w:r>
            <w:r w:rsidR="00AB26B3" w:rsidRPr="00AB26B3">
              <w:rPr>
                <w:noProof/>
                <w:spacing w:val="-6"/>
                <w:lang w:val="sk-SK"/>
              </w:rPr>
              <w:t xml:space="preserve"> a </w:t>
            </w:r>
            <w:r w:rsidRPr="00AB26B3">
              <w:rPr>
                <w:noProof/>
                <w:spacing w:val="-6"/>
                <w:lang w:val="sk-SK"/>
              </w:rPr>
              <w:t>stredných podnikov, konkrétne na elektronické platby, elektronický predaj</w:t>
            </w:r>
            <w:r w:rsidR="00AB26B3" w:rsidRPr="00AB26B3">
              <w:rPr>
                <w:noProof/>
                <w:spacing w:val="-6"/>
                <w:lang w:val="sk-SK"/>
              </w:rPr>
              <w:t xml:space="preserve"> a </w:t>
            </w:r>
            <w:r w:rsidRPr="00AB26B3">
              <w:rPr>
                <w:noProof/>
                <w:spacing w:val="-6"/>
                <w:lang w:val="sk-SK"/>
              </w:rPr>
              <w:t>aplikácie elektronickej fakturácie, nástroje digitálnej reklamy, systémy telepráce, obchodnú analýzu, zvyšovanie úrovne digitálnych zručností, zálohovanie</w:t>
            </w:r>
            <w:r w:rsidR="00AB26B3" w:rsidRPr="00AB26B3">
              <w:rPr>
                <w:noProof/>
                <w:spacing w:val="-6"/>
                <w:lang w:val="sk-SK"/>
              </w:rPr>
              <w:t xml:space="preserve"> a </w:t>
            </w:r>
            <w:r w:rsidRPr="00AB26B3">
              <w:rPr>
                <w:noProof/>
                <w:spacing w:val="-6"/>
                <w:lang w:val="sk-SK"/>
              </w:rPr>
              <w:t>služby obnovy po havárii, umelú inteligenciu, internet vecí, poskytovanie integrovaných riešení pre bezkontaktné služby, systémy kybernetickej bezpečnosti, cloudové infraštruktúry</w:t>
            </w:r>
            <w:r w:rsidR="00AB26B3" w:rsidRPr="00AB26B3">
              <w:rPr>
                <w:noProof/>
                <w:spacing w:val="-6"/>
                <w:lang w:val="sk-SK"/>
              </w:rPr>
              <w:t xml:space="preserve"> a </w:t>
            </w:r>
            <w:r w:rsidRPr="00AB26B3">
              <w:rPr>
                <w:noProof/>
                <w:spacing w:val="-6"/>
                <w:lang w:val="sk-SK"/>
              </w:rPr>
              <w:t>služby, šablóny</w:t>
            </w:r>
            <w:r w:rsidR="00AB26B3" w:rsidRPr="00AB26B3">
              <w:rPr>
                <w:noProof/>
                <w:spacing w:val="-6"/>
                <w:lang w:val="sk-SK"/>
              </w:rPr>
              <w:t xml:space="preserve"> a </w:t>
            </w:r>
            <w:r w:rsidRPr="00AB26B3">
              <w:rPr>
                <w:noProof/>
                <w:spacing w:val="-6"/>
                <w:lang w:val="sk-SK"/>
              </w:rPr>
              <w:t>softvér priemyselných dátových platforiem, pokladničné registre</w:t>
            </w:r>
            <w:r w:rsidR="00AB26B3" w:rsidRPr="00AB26B3">
              <w:rPr>
                <w:noProof/>
                <w:spacing w:val="-6"/>
                <w:lang w:val="sk-SK"/>
              </w:rPr>
              <w:t xml:space="preserve"> a </w:t>
            </w:r>
            <w:r w:rsidRPr="00AB26B3">
              <w:rPr>
                <w:noProof/>
                <w:spacing w:val="-6"/>
                <w:lang w:val="sk-SK"/>
              </w:rPr>
              <w:t xml:space="preserve">modernizáciu ekosystému POS. </w:t>
            </w:r>
          </w:p>
        </w:tc>
      </w:tr>
      <w:tr w:rsidR="00302FC1" w:rsidRPr="00AB26B3" w14:paraId="69F9D1C1" w14:textId="77777777">
        <w:trPr>
          <w:trHeight w:val="300"/>
          <w:jc w:val="center"/>
        </w:trPr>
        <w:tc>
          <w:tcPr>
            <w:tcW w:w="708" w:type="dxa"/>
            <w:shd w:val="clear" w:color="auto" w:fill="C6EFCE"/>
            <w:noWrap/>
          </w:tcPr>
          <w:p w14:paraId="4259D58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131</w:t>
            </w:r>
          </w:p>
        </w:tc>
        <w:tc>
          <w:tcPr>
            <w:tcW w:w="2160" w:type="dxa"/>
            <w:shd w:val="clear" w:color="auto" w:fill="C6EFCE"/>
            <w:noWrap/>
          </w:tcPr>
          <w:p w14:paraId="0B621B5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7 – 2.3. Digitalizácia podnikov – 16706_Digitálna transformácia MSP</w:t>
            </w:r>
          </w:p>
        </w:tc>
        <w:tc>
          <w:tcPr>
            <w:tcW w:w="1146" w:type="dxa"/>
            <w:shd w:val="clear" w:color="auto" w:fill="C6EFCE"/>
            <w:noWrap/>
          </w:tcPr>
          <w:p w14:paraId="4DBF133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5" w:type="dxa"/>
            <w:shd w:val="clear" w:color="auto" w:fill="C6EFCE"/>
            <w:noWrap/>
          </w:tcPr>
          <w:p w14:paraId="365143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Digitálna transformácia MSP – podpora digitalizácie prostredníctvom systémov poukazov</w:t>
            </w:r>
          </w:p>
        </w:tc>
        <w:tc>
          <w:tcPr>
            <w:tcW w:w="1380" w:type="dxa"/>
            <w:shd w:val="clear" w:color="auto" w:fill="C6EFCE"/>
            <w:noWrap/>
          </w:tcPr>
          <w:p w14:paraId="66A6D8B8" w14:textId="77777777" w:rsidR="00302FC1" w:rsidRPr="00AB26B3" w:rsidRDefault="00D64F26">
            <w:pPr>
              <w:pStyle w:val="P68B1DB1-Normal12"/>
              <w:spacing w:after="0" w:line="240" w:lineRule="auto"/>
              <w:rPr>
                <w:noProof/>
                <w:spacing w:val="-6"/>
                <w:lang w:val="sk-SK"/>
              </w:rPr>
            </w:pPr>
            <w:r w:rsidRPr="00AB26B3">
              <w:rPr>
                <w:noProof/>
                <w:spacing w:val="-6"/>
                <w:lang w:val="sk-SK"/>
              </w:rPr>
              <w:t>—100 000 MSP dostalo podporu na digitalizáciu financovanú zo systému poukážok</w:t>
            </w:r>
          </w:p>
          <w:p w14:paraId="29D508F3"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6CC520A6" w14:textId="5923063A" w:rsidR="00302FC1" w:rsidRPr="00AB26B3" w:rsidRDefault="00D64F26">
            <w:pPr>
              <w:pStyle w:val="P68B1DB1-Normal12"/>
              <w:spacing w:after="0" w:line="240" w:lineRule="auto"/>
              <w:rPr>
                <w:noProof/>
                <w:spacing w:val="-6"/>
                <w:lang w:val="sk-SK"/>
              </w:rPr>
            </w:pPr>
            <w:r w:rsidRPr="00AB26B3">
              <w:rPr>
                <w:noProof/>
                <w:spacing w:val="-6"/>
                <w:lang w:val="sk-SK"/>
              </w:rPr>
              <w:t>— 190000 registračných pokladníc</w:t>
            </w:r>
            <w:r w:rsidR="00AB26B3" w:rsidRPr="00AB26B3">
              <w:rPr>
                <w:noProof/>
                <w:spacing w:val="-6"/>
                <w:lang w:val="sk-SK"/>
              </w:rPr>
              <w:t xml:space="preserve"> a </w:t>
            </w:r>
            <w:r w:rsidRPr="00AB26B3">
              <w:rPr>
                <w:noProof/>
                <w:spacing w:val="-6"/>
                <w:lang w:val="sk-SK"/>
              </w:rPr>
              <w:br/>
              <w:t>45 00 POS nové, modernizované alebo nahradené počítačovými riešeniami financovanými systémom poukazov</w:t>
            </w:r>
          </w:p>
          <w:p w14:paraId="6182805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66830D3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57" w:type="dxa"/>
            <w:shd w:val="clear" w:color="auto" w:fill="C6EFCE"/>
            <w:noWrap/>
          </w:tcPr>
          <w:p w14:paraId="4C9F790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0" w:type="dxa"/>
            <w:shd w:val="clear" w:color="auto" w:fill="C6EFCE"/>
            <w:noWrap/>
          </w:tcPr>
          <w:p w14:paraId="1CF317A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25" w:type="dxa"/>
            <w:shd w:val="clear" w:color="auto" w:fill="C6EFCE"/>
            <w:noWrap/>
          </w:tcPr>
          <w:p w14:paraId="34DE284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49" w:type="dxa"/>
            <w:shd w:val="clear" w:color="auto" w:fill="C6EFCE"/>
            <w:noWrap/>
          </w:tcPr>
          <w:p w14:paraId="49BCB6E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617" w:type="dxa"/>
            <w:shd w:val="clear" w:color="auto" w:fill="C6EFCE"/>
            <w:noWrap/>
          </w:tcPr>
          <w:p w14:paraId="63132782" w14:textId="77777777" w:rsidR="00302FC1" w:rsidRPr="00AB26B3" w:rsidRDefault="00D64F26">
            <w:pPr>
              <w:pStyle w:val="P68B1DB1-Normal12"/>
              <w:spacing w:after="0" w:line="240" w:lineRule="auto"/>
              <w:rPr>
                <w:noProof/>
                <w:spacing w:val="-6"/>
                <w:lang w:val="sk-SK"/>
              </w:rPr>
            </w:pPr>
            <w:r w:rsidRPr="00AB26B3">
              <w:rPr>
                <w:noProof/>
                <w:spacing w:val="-6"/>
                <w:lang w:val="sk-SK"/>
              </w:rPr>
              <w:t>—100 000 MSP dostalo podporu na digitalizáciu financovanú zo systému poukážok</w:t>
            </w:r>
          </w:p>
          <w:p w14:paraId="70DF90FF"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4BCA809F" w14:textId="7594FE03" w:rsidR="00302FC1" w:rsidRPr="00AB26B3" w:rsidRDefault="00D64F26">
            <w:pPr>
              <w:pStyle w:val="P68B1DB1-Normal12"/>
              <w:spacing w:after="0" w:line="240" w:lineRule="auto"/>
              <w:rPr>
                <w:noProof/>
                <w:spacing w:val="-6"/>
                <w:lang w:val="sk-SK"/>
              </w:rPr>
            </w:pPr>
            <w:r w:rsidRPr="00AB26B3">
              <w:rPr>
                <w:noProof/>
                <w:spacing w:val="-6"/>
                <w:lang w:val="sk-SK"/>
              </w:rPr>
              <w:t>— 190000 nových, modernizovaných alebo nahradených registračných pokladníc počítačovými riešeniami</w:t>
            </w:r>
            <w:r w:rsidR="00AB26B3" w:rsidRPr="00AB26B3">
              <w:rPr>
                <w:noProof/>
                <w:spacing w:val="-6"/>
                <w:lang w:val="sk-SK"/>
              </w:rPr>
              <w:t xml:space="preserve"> a </w:t>
            </w:r>
            <w:r w:rsidRPr="00AB26B3">
              <w:rPr>
                <w:noProof/>
                <w:spacing w:val="-6"/>
                <w:lang w:val="sk-SK"/>
              </w:rPr>
              <w:t>45000 nových, nahradených alebo modernizovaných systémov POS financovaných</w:t>
            </w:r>
            <w:r w:rsidR="00AB26B3" w:rsidRPr="00AB26B3">
              <w:rPr>
                <w:noProof/>
                <w:spacing w:val="-6"/>
                <w:lang w:val="sk-SK"/>
              </w:rPr>
              <w:t xml:space="preserve"> z </w:t>
            </w:r>
            <w:r w:rsidRPr="00AB26B3">
              <w:rPr>
                <w:noProof/>
                <w:spacing w:val="-6"/>
                <w:lang w:val="sk-SK"/>
              </w:rPr>
              <w:t>poukážok</w:t>
            </w:r>
          </w:p>
          <w:p w14:paraId="32B5228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2519BEA7" w14:textId="77777777">
        <w:trPr>
          <w:trHeight w:val="300"/>
          <w:jc w:val="center"/>
        </w:trPr>
        <w:tc>
          <w:tcPr>
            <w:tcW w:w="708" w:type="dxa"/>
            <w:shd w:val="clear" w:color="auto" w:fill="C6EFCE"/>
            <w:noWrap/>
          </w:tcPr>
          <w:p w14:paraId="2FF0D4F9" w14:textId="77777777" w:rsidR="00302FC1" w:rsidRPr="00AB26B3" w:rsidRDefault="00D64F26">
            <w:pPr>
              <w:pStyle w:val="P68B1DB1-Normal12"/>
              <w:spacing w:line="240" w:lineRule="auto"/>
              <w:rPr>
                <w:noProof/>
                <w:spacing w:val="-6"/>
                <w:lang w:val="sk-SK"/>
              </w:rPr>
            </w:pPr>
            <w:r w:rsidRPr="00AB26B3">
              <w:rPr>
                <w:noProof/>
                <w:spacing w:val="-6"/>
                <w:lang w:val="sk-SK"/>
              </w:rPr>
              <w:t>131a</w:t>
            </w:r>
          </w:p>
        </w:tc>
        <w:tc>
          <w:tcPr>
            <w:tcW w:w="2160" w:type="dxa"/>
            <w:shd w:val="clear" w:color="auto" w:fill="C6EFCE"/>
            <w:noWrap/>
          </w:tcPr>
          <w:p w14:paraId="452711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7 – 2.3. Digitalizácia podnikov – 16706_Digitálna transformácia MSP</w:t>
            </w:r>
          </w:p>
        </w:tc>
        <w:tc>
          <w:tcPr>
            <w:tcW w:w="1146" w:type="dxa"/>
            <w:shd w:val="clear" w:color="auto" w:fill="C6EFCE"/>
            <w:noWrap/>
          </w:tcPr>
          <w:p w14:paraId="06DAFCD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5" w:type="dxa"/>
            <w:shd w:val="clear" w:color="auto" w:fill="C6EFCE"/>
            <w:noWrap/>
          </w:tcPr>
          <w:p w14:paraId="1A21966D" w14:textId="54B65D95" w:rsidR="00302FC1" w:rsidRPr="00AB26B3" w:rsidRDefault="00D64F26">
            <w:pPr>
              <w:pStyle w:val="P68B1DB1-Normal12"/>
              <w:spacing w:after="0"/>
              <w:rPr>
                <w:noProof/>
                <w:spacing w:val="-6"/>
                <w:lang w:val="sk-SK"/>
              </w:rPr>
            </w:pPr>
            <w:r w:rsidRPr="00AB26B3">
              <w:rPr>
                <w:noProof/>
                <w:spacing w:val="-6"/>
                <w:lang w:val="sk-SK"/>
              </w:rPr>
              <w:t>Digitálna transformácia MSP – vykonávanie investičných projektov pre digitálne produkty</w:t>
            </w:r>
          </w:p>
          <w:p w14:paraId="1594856E"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380" w:type="dxa"/>
            <w:shd w:val="clear" w:color="auto" w:fill="C6EFCE"/>
            <w:noWrap/>
          </w:tcPr>
          <w:p w14:paraId="7DCF786A" w14:textId="77777777" w:rsidR="00302FC1" w:rsidRPr="00AB26B3" w:rsidRDefault="00D64F26">
            <w:pPr>
              <w:pStyle w:val="P68B1DB1-Normal12"/>
              <w:spacing w:after="0" w:line="240" w:lineRule="auto"/>
              <w:rPr>
                <w:noProof/>
                <w:spacing w:val="-6"/>
                <w:lang w:val="sk-SK"/>
              </w:rPr>
            </w:pPr>
            <w:r w:rsidRPr="00AB26B3">
              <w:rPr>
                <w:noProof/>
                <w:spacing w:val="-6"/>
                <w:lang w:val="sk-SK"/>
              </w:rPr>
              <w:t>150 realizovaných investičných projektov</w:t>
            </w:r>
          </w:p>
        </w:tc>
        <w:tc>
          <w:tcPr>
            <w:tcW w:w="960" w:type="dxa"/>
            <w:shd w:val="clear" w:color="auto" w:fill="C6EFCE"/>
            <w:noWrap/>
          </w:tcPr>
          <w:p w14:paraId="1B4B8833"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957" w:type="dxa"/>
            <w:shd w:val="clear" w:color="auto" w:fill="C6EFCE"/>
            <w:noWrap/>
          </w:tcPr>
          <w:p w14:paraId="3BB4D296"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690" w:type="dxa"/>
            <w:shd w:val="clear" w:color="auto" w:fill="C6EFCE"/>
            <w:noWrap/>
          </w:tcPr>
          <w:p w14:paraId="22FF97F7"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1025" w:type="dxa"/>
            <w:shd w:val="clear" w:color="auto" w:fill="C6EFCE"/>
            <w:noWrap/>
          </w:tcPr>
          <w:p w14:paraId="42759F8B" w14:textId="77777777" w:rsidR="00302FC1" w:rsidRPr="00AB26B3" w:rsidRDefault="00D64F26">
            <w:pPr>
              <w:pStyle w:val="P68B1DB1-Normal12"/>
              <w:spacing w:line="240" w:lineRule="auto"/>
              <w:rPr>
                <w:noProof/>
                <w:spacing w:val="-6"/>
                <w:lang w:val="sk-SK"/>
              </w:rPr>
            </w:pPr>
            <w:r w:rsidRPr="00AB26B3">
              <w:rPr>
                <w:noProof/>
                <w:spacing w:val="-6"/>
                <w:lang w:val="sk-SK"/>
              </w:rPr>
              <w:t>ŠTVRTÝ ŠTVRŤROK</w:t>
            </w:r>
          </w:p>
        </w:tc>
        <w:tc>
          <w:tcPr>
            <w:tcW w:w="749" w:type="dxa"/>
            <w:shd w:val="clear" w:color="auto" w:fill="C6EFCE"/>
            <w:noWrap/>
          </w:tcPr>
          <w:p w14:paraId="357675E8" w14:textId="77777777" w:rsidR="00302FC1" w:rsidRPr="00AB26B3" w:rsidRDefault="00D64F26">
            <w:pPr>
              <w:pStyle w:val="P68B1DB1-Normal12"/>
              <w:spacing w:line="240" w:lineRule="auto"/>
              <w:rPr>
                <w:noProof/>
                <w:spacing w:val="-6"/>
                <w:lang w:val="sk-SK"/>
              </w:rPr>
            </w:pPr>
            <w:r w:rsidRPr="00AB26B3">
              <w:rPr>
                <w:noProof/>
                <w:spacing w:val="-6"/>
                <w:lang w:val="sk-SK"/>
              </w:rPr>
              <w:t>2025</w:t>
            </w:r>
          </w:p>
        </w:tc>
        <w:tc>
          <w:tcPr>
            <w:tcW w:w="3617" w:type="dxa"/>
            <w:shd w:val="clear" w:color="auto" w:fill="C6EFCE"/>
            <w:noWrap/>
          </w:tcPr>
          <w:p w14:paraId="1C961A07" w14:textId="325A31D4" w:rsidR="00302FC1" w:rsidRPr="00AB26B3" w:rsidRDefault="00D64F26">
            <w:pPr>
              <w:pStyle w:val="P68B1DB1-Normal12"/>
              <w:spacing w:after="0" w:line="240" w:lineRule="auto"/>
              <w:rPr>
                <w:noProof/>
                <w:spacing w:val="-6"/>
                <w:lang w:val="sk-SK"/>
              </w:rPr>
            </w:pPr>
            <w:r w:rsidRPr="00AB26B3">
              <w:rPr>
                <w:noProof/>
                <w:spacing w:val="-6"/>
                <w:lang w:val="sk-SK"/>
              </w:rPr>
              <w:t>Realizácia najmenej 150 investičných projektov zameraných na digitálne produkty</w:t>
            </w:r>
          </w:p>
          <w:p w14:paraId="457142BA"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15887910" w14:textId="77777777">
        <w:trPr>
          <w:trHeight w:val="300"/>
          <w:jc w:val="center"/>
        </w:trPr>
        <w:tc>
          <w:tcPr>
            <w:tcW w:w="708" w:type="dxa"/>
            <w:shd w:val="clear" w:color="auto" w:fill="C6EFCE"/>
            <w:noWrap/>
            <w:hideMark/>
          </w:tcPr>
          <w:p w14:paraId="67B3C16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132</w:t>
            </w:r>
          </w:p>
        </w:tc>
        <w:tc>
          <w:tcPr>
            <w:tcW w:w="2160" w:type="dxa"/>
            <w:shd w:val="clear" w:color="auto" w:fill="C6EFCE"/>
            <w:noWrap/>
            <w:hideMark/>
          </w:tcPr>
          <w:p w14:paraId="760FFAE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7 – 2.3. Digitalizácia podnikov – 16973_Vytvorenie digitálneho podnikateľského ekosystému na uľahčenie digitálnej transformácie MSP</w:t>
            </w:r>
          </w:p>
        </w:tc>
        <w:tc>
          <w:tcPr>
            <w:tcW w:w="1146" w:type="dxa"/>
            <w:shd w:val="clear" w:color="auto" w:fill="C6EFCE"/>
            <w:noWrap/>
            <w:hideMark/>
          </w:tcPr>
          <w:p w14:paraId="5E19C31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5" w:type="dxa"/>
            <w:shd w:val="clear" w:color="auto" w:fill="C6EFCE"/>
            <w:noWrap/>
            <w:hideMark/>
          </w:tcPr>
          <w:p w14:paraId="1D5D37E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Digitálna transformácia MSP – legislatívna reforma na stimulovanie zavádzania technológií</w:t>
            </w:r>
          </w:p>
        </w:tc>
        <w:tc>
          <w:tcPr>
            <w:tcW w:w="1380" w:type="dxa"/>
            <w:shd w:val="clear" w:color="auto" w:fill="C6EFCE"/>
            <w:noWrap/>
            <w:hideMark/>
          </w:tcPr>
          <w:p w14:paraId="1C371CEC" w14:textId="41D0611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 na zriadenie platformy eMarketPlace</w:t>
            </w:r>
            <w:r w:rsidR="00AB26B3" w:rsidRPr="00AB26B3">
              <w:rPr>
                <w:noProof/>
                <w:spacing w:val="-6"/>
                <w:lang w:val="sk-SK"/>
              </w:rPr>
              <w:t xml:space="preserve"> a </w:t>
            </w:r>
            <w:r w:rsidRPr="00AB26B3">
              <w:rPr>
                <w:noProof/>
                <w:spacing w:val="-6"/>
                <w:lang w:val="sk-SK"/>
              </w:rPr>
              <w:t xml:space="preserve">továrne umelej inteligencie „Pharos“. </w:t>
            </w:r>
          </w:p>
        </w:tc>
        <w:tc>
          <w:tcPr>
            <w:tcW w:w="960" w:type="dxa"/>
            <w:shd w:val="clear" w:color="auto" w:fill="C6EFCE"/>
            <w:noWrap/>
          </w:tcPr>
          <w:p w14:paraId="095D487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57" w:type="dxa"/>
            <w:shd w:val="clear" w:color="auto" w:fill="C6EFCE"/>
            <w:noWrap/>
          </w:tcPr>
          <w:p w14:paraId="5AB13EE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0" w:type="dxa"/>
            <w:shd w:val="clear" w:color="auto" w:fill="C6EFCE"/>
            <w:noWrap/>
          </w:tcPr>
          <w:p w14:paraId="5CC685D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25" w:type="dxa"/>
            <w:shd w:val="clear" w:color="auto" w:fill="C6EFCE"/>
            <w:noWrap/>
            <w:hideMark/>
          </w:tcPr>
          <w:p w14:paraId="470A9C1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49" w:type="dxa"/>
            <w:shd w:val="clear" w:color="auto" w:fill="C6EFCE"/>
            <w:noWrap/>
            <w:hideMark/>
          </w:tcPr>
          <w:p w14:paraId="7D12332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617" w:type="dxa"/>
            <w:shd w:val="clear" w:color="auto" w:fill="C6EFCE"/>
            <w:noWrap/>
            <w:hideMark/>
          </w:tcPr>
          <w:p w14:paraId="7F34946B" w14:textId="0BC77567" w:rsidR="00AB26B3" w:rsidRPr="00AB26B3" w:rsidRDefault="00D64F26">
            <w:pPr>
              <w:pStyle w:val="P68B1DB1-Normal12"/>
              <w:spacing w:after="0" w:line="240" w:lineRule="auto"/>
              <w:rPr>
                <w:noProof/>
                <w:spacing w:val="-6"/>
                <w:lang w:val="sk-SK"/>
              </w:rPr>
            </w:pPr>
            <w:r w:rsidRPr="00AB26B3">
              <w:rPr>
                <w:noProof/>
                <w:spacing w:val="-6"/>
                <w:lang w:val="sk-SK"/>
              </w:rPr>
              <w:t>Nadobudnutie účinnosti regulačného rámca pre a) zriadenie elektronického trhu na financovanie dodávok</w:t>
            </w:r>
            <w:r w:rsidR="00AB26B3" w:rsidRPr="00AB26B3">
              <w:rPr>
                <w:noProof/>
                <w:spacing w:val="-6"/>
                <w:lang w:val="sk-SK"/>
              </w:rPr>
              <w:t xml:space="preserve"> a </w:t>
            </w:r>
            <w:r w:rsidRPr="00AB26B3">
              <w:rPr>
                <w:noProof/>
                <w:spacing w:val="-6"/>
                <w:lang w:val="sk-SK"/>
              </w:rPr>
              <w:t>zavádzania digitálnych nástrojov</w:t>
            </w:r>
            <w:r w:rsidR="00AB26B3" w:rsidRPr="00AB26B3">
              <w:rPr>
                <w:noProof/>
                <w:spacing w:val="-6"/>
                <w:lang w:val="sk-SK"/>
              </w:rPr>
              <w:t xml:space="preserve"> a </w:t>
            </w:r>
            <w:r w:rsidRPr="00AB26B3">
              <w:rPr>
                <w:noProof/>
                <w:spacing w:val="-6"/>
                <w:lang w:val="sk-SK"/>
              </w:rPr>
              <w:t>procesov</w:t>
            </w:r>
            <w:r w:rsidR="00AB26B3" w:rsidRPr="00AB26B3">
              <w:rPr>
                <w:noProof/>
                <w:spacing w:val="-6"/>
                <w:lang w:val="sk-SK"/>
              </w:rPr>
              <w:t xml:space="preserve"> a </w:t>
            </w:r>
            <w:r w:rsidRPr="00AB26B3">
              <w:rPr>
                <w:noProof/>
                <w:spacing w:val="-6"/>
                <w:lang w:val="sk-SK"/>
              </w:rPr>
              <w:t>b) zriadenie právneho subjektu na riadenie umelej inteligencie Pharos, na správu údajov poskytovaných subjektmi verejného sektora</w:t>
            </w:r>
            <w:r w:rsidR="00AB26B3" w:rsidRPr="00AB26B3">
              <w:rPr>
                <w:noProof/>
                <w:spacing w:val="-6"/>
                <w:lang w:val="sk-SK"/>
              </w:rPr>
              <w:t xml:space="preserve"> a </w:t>
            </w:r>
            <w:r w:rsidRPr="00AB26B3">
              <w:rPr>
                <w:noProof/>
                <w:spacing w:val="-6"/>
                <w:lang w:val="sk-SK"/>
              </w:rPr>
              <w:t>na poskytovanie služieb, napríklad prístupu</w:t>
            </w:r>
            <w:r w:rsidR="00AB26B3" w:rsidRPr="00AB26B3">
              <w:rPr>
                <w:noProof/>
                <w:spacing w:val="-6"/>
                <w:lang w:val="sk-SK"/>
              </w:rPr>
              <w:t xml:space="preserve"> k </w:t>
            </w:r>
            <w:r w:rsidRPr="00AB26B3">
              <w:rPr>
                <w:noProof/>
                <w:spacing w:val="-6"/>
                <w:lang w:val="sk-SK"/>
              </w:rPr>
              <w:t>údajom, výpočtovým zdrojom</w:t>
            </w:r>
            <w:r w:rsidR="00AB26B3" w:rsidRPr="00AB26B3">
              <w:rPr>
                <w:noProof/>
                <w:spacing w:val="-6"/>
                <w:lang w:val="sk-SK"/>
              </w:rPr>
              <w:t xml:space="preserve"> a </w:t>
            </w:r>
            <w:r w:rsidRPr="00AB26B3">
              <w:rPr>
                <w:noProof/>
                <w:spacing w:val="-6"/>
                <w:lang w:val="sk-SK"/>
              </w:rPr>
              <w:t>odbornej príprave pre startupy</w:t>
            </w:r>
            <w:r w:rsidR="00AB26B3" w:rsidRPr="00AB26B3">
              <w:rPr>
                <w:noProof/>
                <w:spacing w:val="-6"/>
                <w:lang w:val="sk-SK"/>
              </w:rPr>
              <w:t xml:space="preserve"> a </w:t>
            </w:r>
            <w:r w:rsidRPr="00AB26B3">
              <w:rPr>
                <w:noProof/>
                <w:spacing w:val="-6"/>
                <w:lang w:val="sk-SK"/>
              </w:rPr>
              <w:t>MSP</w:t>
            </w:r>
            <w:r w:rsidR="00AB26B3" w:rsidRPr="00AB26B3">
              <w:rPr>
                <w:noProof/>
                <w:spacing w:val="-6"/>
                <w:lang w:val="sk-SK"/>
              </w:rPr>
              <w:t>.</w:t>
            </w:r>
          </w:p>
          <w:p w14:paraId="4AE079B0" w14:textId="0F6DB7E5"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20A92F4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bl>
    <w:p w14:paraId="2F99175B" w14:textId="77777777" w:rsidR="00302FC1" w:rsidRPr="00AB26B3" w:rsidRDefault="00302FC1">
      <w:pPr>
        <w:spacing w:before="120" w:after="120" w:line="240" w:lineRule="auto"/>
        <w:jc w:val="both"/>
        <w:outlineLvl w:val="3"/>
        <w:rPr>
          <w:rFonts w:ascii="Times New Roman" w:hAnsi="Times New Roman" w:cs="Times New Roman"/>
          <w:b/>
          <w:bCs/>
          <w:noProof/>
          <w:spacing w:val="-6"/>
          <w:sz w:val="24"/>
          <w:lang w:val="sk-SK"/>
        </w:rPr>
        <w:sectPr w:rsidR="00302FC1" w:rsidRPr="00AB26B3" w:rsidSect="00315FC0">
          <w:headerReference w:type="even" r:id="rId138"/>
          <w:headerReference w:type="default" r:id="rId139"/>
          <w:footerReference w:type="even" r:id="rId140"/>
          <w:footerReference w:type="default" r:id="rId141"/>
          <w:headerReference w:type="first" r:id="rId142"/>
          <w:footerReference w:type="first" r:id="rId143"/>
          <w:pgSz w:w="16839" w:h="11907" w:orient="landscape"/>
          <w:pgMar w:top="1417" w:right="1134" w:bottom="1417" w:left="1134" w:header="709" w:footer="359" w:gutter="0"/>
          <w:cols w:space="720"/>
          <w:docGrid w:linePitch="360"/>
        </w:sectPr>
      </w:pPr>
    </w:p>
    <w:p w14:paraId="038BC68C" w14:textId="77777777" w:rsidR="00AB26B3" w:rsidRPr="00AB26B3" w:rsidRDefault="00D64F26">
      <w:pPr>
        <w:pStyle w:val="P68B1DB1-Normal16"/>
        <w:spacing w:before="120" w:after="120" w:line="240" w:lineRule="auto"/>
        <w:ind w:firstLine="6"/>
        <w:jc w:val="both"/>
        <w:outlineLvl w:val="3"/>
        <w:rPr>
          <w:noProof/>
          <w:spacing w:val="-6"/>
          <w:lang w:val="sk-SK"/>
        </w:rPr>
      </w:pPr>
      <w:r w:rsidRPr="00AB26B3">
        <w:rPr>
          <w:noProof/>
          <w:spacing w:val="-6"/>
          <w:lang w:val="sk-SK"/>
        </w:rPr>
        <w:t>H. ZLOŽKA 3.1: PODPOROVAŤ VYTVÁRANIE PRACOVNÝCH MIEST A ÚČASŤ NA TRHU PRÁCE</w:t>
      </w:r>
    </w:p>
    <w:p w14:paraId="4BB6B279" w14:textId="153AFD2E" w:rsidR="00AB26B3" w:rsidRPr="00AB26B3" w:rsidRDefault="00D64F26">
      <w:pPr>
        <w:pStyle w:val="P68B1DB1-Normal17"/>
        <w:spacing w:before="120" w:after="120" w:line="240" w:lineRule="auto"/>
        <w:jc w:val="both"/>
        <w:rPr>
          <w:rFonts w:ascii="Times New Roman" w:hAnsi="Times New Roman"/>
          <w:noProof/>
          <w:spacing w:val="-6"/>
          <w:lang w:val="sk-SK"/>
        </w:rPr>
      </w:pPr>
      <w:r w:rsidRPr="00AB26B3">
        <w:rPr>
          <w:rFonts w:ascii="Times New Roman" w:hAnsi="Times New Roman"/>
          <w:noProof/>
          <w:color w:val="000000"/>
          <w:spacing w:val="-6"/>
          <w:shd w:val="clear" w:color="auto" w:fill="FFFFFF"/>
          <w:lang w:val="sk-SK"/>
        </w:rPr>
        <w:t xml:space="preserve">Tento komponent </w:t>
      </w:r>
      <w:r w:rsidRPr="00AB26B3">
        <w:rPr>
          <w:rFonts w:ascii="Times New Roman" w:hAnsi="Times New Roman"/>
          <w:noProof/>
          <w:color w:val="000000"/>
          <w:spacing w:val="-6"/>
          <w:lang w:val="sk-SK"/>
        </w:rPr>
        <w:t>gréckeho plánu obnovy</w:t>
      </w:r>
      <w:r w:rsidR="00AB26B3" w:rsidRPr="00AB26B3">
        <w:rPr>
          <w:rFonts w:ascii="Times New Roman" w:hAnsi="Times New Roman"/>
          <w:noProof/>
          <w:color w:val="000000"/>
          <w:spacing w:val="-6"/>
          <w:lang w:val="sk-SK"/>
        </w:rPr>
        <w:t xml:space="preserve"> a </w:t>
      </w:r>
      <w:r w:rsidRPr="00AB26B3">
        <w:rPr>
          <w:rFonts w:ascii="Times New Roman" w:hAnsi="Times New Roman"/>
          <w:noProof/>
          <w:color w:val="000000"/>
          <w:spacing w:val="-6"/>
          <w:lang w:val="sk-SK"/>
        </w:rPr>
        <w:t>odolnosti</w:t>
      </w:r>
      <w:r w:rsidRPr="00AB26B3">
        <w:rPr>
          <w:rFonts w:ascii="Times New Roman" w:hAnsi="Times New Roman"/>
          <w:noProof/>
          <w:spacing w:val="-6"/>
          <w:lang w:val="sk-SK"/>
        </w:rPr>
        <w:t xml:space="preserve"> </w:t>
      </w:r>
      <w:r w:rsidRPr="00AB26B3">
        <w:rPr>
          <w:rFonts w:ascii="Times New Roman" w:hAnsi="Times New Roman"/>
          <w:noProof/>
          <w:color w:val="000000"/>
          <w:spacing w:val="-6"/>
          <w:shd w:val="clear" w:color="auto" w:fill="FFFFFF"/>
          <w:lang w:val="sk-SK"/>
        </w:rPr>
        <w:t>zahŕňa opatrenia na prepracovanie</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posilnenie aktívnych politík trhu práce, zlepšenie efektívnosti verejných služieb zamestnanosti</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poskytnutie účinnej záchrannej siete proti nezamestnanosti pri súčasnom posilnení stimulov pre opätovný vstup na trh práce.</w:t>
      </w:r>
      <w:r w:rsidRPr="00AB26B3">
        <w:rPr>
          <w:rFonts w:ascii="Times New Roman" w:hAnsi="Times New Roman"/>
          <w:b/>
          <w:noProof/>
          <w:color w:val="000000"/>
          <w:spacing w:val="-6"/>
          <w:shd w:val="clear" w:color="auto" w:fill="FFFFFF"/>
          <w:lang w:val="sk-SK"/>
        </w:rPr>
        <w:t xml:space="preserve"> </w:t>
      </w:r>
      <w:r w:rsidRPr="00AB26B3">
        <w:rPr>
          <w:rFonts w:ascii="Times New Roman" w:hAnsi="Times New Roman"/>
          <w:noProof/>
          <w:color w:val="000000"/>
          <w:spacing w:val="-6"/>
          <w:shd w:val="clear" w:color="auto" w:fill="FFFFFF"/>
          <w:lang w:val="sk-SK"/>
        </w:rPr>
        <w:t xml:space="preserve">Väčšina čiastkových opatrení sa zameriava na aktívne politiky trhu práce </w:t>
      </w:r>
      <w:r w:rsidRPr="00AB26B3">
        <w:rPr>
          <w:rFonts w:ascii="Times New Roman" w:hAnsi="Times New Roman"/>
          <w:noProof/>
          <w:spacing w:val="-6"/>
          <w:lang w:val="sk-SK"/>
        </w:rPr>
        <w:t>vrátane aktivačných programov, ktorými sa dotuje zamestnanosť</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súkromnom sektore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podporuje zvyšovanie úrovne zručností</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rekvalifikácia pracovnej sily, ako aj na investície na zvýšenie kapacity verejných služieb zamestnanosti (OAED do 18</w:t>
      </w:r>
      <w:r w:rsidR="00AB26B3" w:rsidRPr="00AB26B3">
        <w:rPr>
          <w:rFonts w:ascii="Times New Roman" w:hAnsi="Times New Roman"/>
          <w:noProof/>
          <w:spacing w:val="-6"/>
          <w:lang w:val="sk-SK"/>
        </w:rPr>
        <w:t>. apríla</w:t>
      </w:r>
      <w:r w:rsidRPr="00AB26B3">
        <w:rPr>
          <w:rFonts w:ascii="Times New Roman" w:hAnsi="Times New Roman"/>
          <w:noProof/>
          <w:spacing w:val="-6"/>
          <w:lang w:val="sk-SK"/>
        </w:rPr>
        <w:t xml:space="preserve"> 2022, DYPA po tomto dátume) prostredníctvom posilnenej digitalizácie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poradenských služieb.</w:t>
      </w:r>
      <w:r w:rsidR="00AB26B3" w:rsidRPr="00AB26B3">
        <w:rPr>
          <w:rFonts w:ascii="Times New Roman" w:hAnsi="Times New Roman"/>
          <w:noProof/>
          <w:color w:val="000000"/>
          <w:spacing w:val="-6"/>
          <w:shd w:val="clear" w:color="auto" w:fill="FFFFFF"/>
          <w:lang w:val="sk-SK"/>
        </w:rPr>
        <w:t xml:space="preserve"> V </w:t>
      </w:r>
      <w:r w:rsidRPr="00AB26B3">
        <w:rPr>
          <w:rFonts w:ascii="Times New Roman" w:hAnsi="Times New Roman"/>
          <w:noProof/>
          <w:color w:val="000000"/>
          <w:spacing w:val="-6"/>
          <w:shd w:val="clear" w:color="auto" w:fill="FFFFFF"/>
          <w:lang w:val="sk-SK"/>
        </w:rPr>
        <w:t xml:space="preserve">rámci reformy pasívnych politík trhu práce </w:t>
      </w:r>
      <w:r w:rsidRPr="00AB26B3">
        <w:rPr>
          <w:rFonts w:ascii="Times New Roman" w:hAnsi="Times New Roman"/>
          <w:noProof/>
          <w:spacing w:val="-6"/>
          <w:lang w:val="sk-SK"/>
        </w:rPr>
        <w:t>je cieľom plánu zlepšiť pokrytie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rozdelenie dávok</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nezamestnanosti, posilniť záchrannú sociálnu sieť, podporiť účasť na trhu práce,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to aj medzi zraniteľnými skupinami,</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zlepšiť efektívnosť</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účinnosť systému sociálnej ochrany.</w:t>
      </w:r>
      <w:r w:rsidRPr="00AB26B3">
        <w:rPr>
          <w:rFonts w:ascii="Times New Roman" w:hAnsi="Times New Roman"/>
          <w:noProof/>
          <w:color w:val="000000"/>
          <w:spacing w:val="-6"/>
          <w:shd w:val="clear" w:color="auto" w:fill="FFFFFF"/>
          <w:lang w:val="sk-SK"/>
        </w:rPr>
        <w:t xml:space="preserve"> Komponent je</w:t>
      </w:r>
      <w:r w:rsidR="00AB26B3" w:rsidRPr="00AB26B3">
        <w:rPr>
          <w:rFonts w:ascii="Times New Roman" w:hAnsi="Times New Roman"/>
          <w:noProof/>
          <w:color w:val="000000"/>
          <w:spacing w:val="-6"/>
          <w:shd w:val="clear" w:color="auto" w:fill="FFFFFF"/>
          <w:lang w:val="sk-SK"/>
        </w:rPr>
        <w:t xml:space="preserve"> v </w:t>
      </w:r>
      <w:r w:rsidRPr="00AB26B3">
        <w:rPr>
          <w:rFonts w:ascii="Times New Roman" w:hAnsi="Times New Roman"/>
          <w:noProof/>
          <w:color w:val="000000"/>
          <w:spacing w:val="-6"/>
          <w:shd w:val="clear" w:color="auto" w:fill="FFFFFF"/>
          <w:lang w:val="sk-SK"/>
        </w:rPr>
        <w:t>súlade</w:t>
      </w:r>
      <w:r w:rsidR="00AB26B3" w:rsidRPr="00AB26B3">
        <w:rPr>
          <w:rFonts w:ascii="Times New Roman" w:hAnsi="Times New Roman"/>
          <w:noProof/>
          <w:color w:val="000000"/>
          <w:spacing w:val="-6"/>
          <w:shd w:val="clear" w:color="auto" w:fill="FFFFFF"/>
          <w:lang w:val="sk-SK"/>
        </w:rPr>
        <w:t xml:space="preserve"> s </w:t>
      </w:r>
      <w:r w:rsidRPr="00AB26B3">
        <w:rPr>
          <w:rFonts w:ascii="Times New Roman" w:hAnsi="Times New Roman"/>
          <w:noProof/>
          <w:color w:val="000000"/>
          <w:spacing w:val="-6"/>
          <w:shd w:val="clear" w:color="auto" w:fill="FFFFFF"/>
          <w:lang w:val="sk-SK"/>
        </w:rPr>
        <w:t>odporúčaniami pre jednotlivé krajiny</w:t>
      </w:r>
      <w:r w:rsidR="00AB26B3" w:rsidRPr="00AB26B3">
        <w:rPr>
          <w:rFonts w:ascii="Times New Roman" w:hAnsi="Times New Roman"/>
          <w:noProof/>
          <w:color w:val="000000"/>
          <w:spacing w:val="-6"/>
          <w:shd w:val="clear" w:color="auto" w:fill="FFFFFF"/>
          <w:lang w:val="sk-SK"/>
        </w:rPr>
        <w:t xml:space="preserve"> s </w:t>
      </w:r>
      <w:r w:rsidRPr="00AB26B3">
        <w:rPr>
          <w:rFonts w:ascii="Times New Roman" w:hAnsi="Times New Roman"/>
          <w:noProof/>
          <w:color w:val="000000"/>
          <w:spacing w:val="-6"/>
          <w:shd w:val="clear" w:color="auto" w:fill="FFFFFF"/>
          <w:lang w:val="sk-SK"/>
        </w:rPr>
        <w:t>cieľom zabezpečiť účinnú podporu aktivácie trhu práce, investovať do zručností</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zamestnateľnosti</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 xml:space="preserve">zlepšiť digitalizáciu verejnej správy (odporúčania pre jednotlivé krajiny </w:t>
      </w:r>
      <w:r w:rsidR="00AB26B3" w:rsidRPr="00AB26B3">
        <w:rPr>
          <w:rFonts w:ascii="Times New Roman" w:hAnsi="Times New Roman"/>
          <w:noProof/>
          <w:color w:val="000000"/>
          <w:spacing w:val="-6"/>
          <w:shd w:val="clear" w:color="auto" w:fill="FFFFFF"/>
          <w:lang w:val="sk-SK"/>
        </w:rPr>
        <w:t>č. </w:t>
      </w:r>
      <w:r w:rsidRPr="00AB26B3">
        <w:rPr>
          <w:rFonts w:ascii="Times New Roman" w:hAnsi="Times New Roman"/>
          <w:noProof/>
          <w:color w:val="000000"/>
          <w:spacing w:val="-6"/>
          <w:shd w:val="clear" w:color="auto" w:fill="FFFFFF"/>
          <w:lang w:val="sk-SK"/>
        </w:rPr>
        <w:t>2</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3</w:t>
      </w:r>
      <w:r w:rsidR="00AB26B3" w:rsidRPr="00AB26B3">
        <w:rPr>
          <w:rFonts w:ascii="Times New Roman" w:hAnsi="Times New Roman"/>
          <w:noProof/>
          <w:color w:val="000000"/>
          <w:spacing w:val="-6"/>
          <w:shd w:val="clear" w:color="auto" w:fill="FFFFFF"/>
          <w:lang w:val="sk-SK"/>
        </w:rPr>
        <w:t xml:space="preserve"> z </w:t>
      </w:r>
      <w:r w:rsidRPr="00AB26B3">
        <w:rPr>
          <w:rFonts w:ascii="Times New Roman" w:hAnsi="Times New Roman"/>
          <w:noProof/>
          <w:color w:val="000000"/>
          <w:spacing w:val="-6"/>
          <w:shd w:val="clear" w:color="auto" w:fill="FFFFFF"/>
          <w:lang w:val="sk-SK"/>
        </w:rPr>
        <w:t>roku 2020</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 xml:space="preserve">odporúčanieprejednotlivé krajiny </w:t>
      </w:r>
      <w:r w:rsidR="00AB26B3" w:rsidRPr="00AB26B3">
        <w:rPr>
          <w:rFonts w:ascii="Times New Roman" w:hAnsi="Times New Roman"/>
          <w:noProof/>
          <w:color w:val="000000"/>
          <w:spacing w:val="-6"/>
          <w:shd w:val="clear" w:color="auto" w:fill="FFFFFF"/>
          <w:lang w:val="sk-SK"/>
        </w:rPr>
        <w:t>č. </w:t>
      </w:r>
      <w:r w:rsidRPr="00AB26B3">
        <w:rPr>
          <w:rFonts w:ascii="Times New Roman" w:hAnsi="Times New Roman"/>
          <w:noProof/>
          <w:color w:val="000000"/>
          <w:spacing w:val="-6"/>
          <w:shd w:val="clear" w:color="auto" w:fill="FFFFFF"/>
          <w:lang w:val="sk-SK"/>
        </w:rPr>
        <w:t>2</w:t>
      </w:r>
      <w:r w:rsidR="00AB26B3" w:rsidRPr="00AB26B3">
        <w:rPr>
          <w:rFonts w:ascii="Times New Roman" w:hAnsi="Times New Roman"/>
          <w:noProof/>
          <w:color w:val="000000"/>
          <w:spacing w:val="-6"/>
          <w:shd w:val="clear" w:color="auto" w:fill="FFFFFF"/>
          <w:lang w:val="sk-SK"/>
        </w:rPr>
        <w:t xml:space="preserve"> z </w:t>
      </w:r>
      <w:r w:rsidRPr="00AB26B3">
        <w:rPr>
          <w:rFonts w:ascii="Times New Roman" w:hAnsi="Times New Roman"/>
          <w:noProof/>
          <w:color w:val="000000"/>
          <w:spacing w:val="-6"/>
          <w:shd w:val="clear" w:color="auto" w:fill="FFFFFF"/>
          <w:lang w:val="sk-SK"/>
        </w:rPr>
        <w:t>roku 2019). Okrem toho komponent podporuje digitálnu</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zelenú transformáciu tým, že sa okrem iného zameriava na podporu zručností</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zamestnanosti</w:t>
      </w:r>
      <w:r w:rsidR="00AB26B3" w:rsidRPr="00AB26B3">
        <w:rPr>
          <w:rFonts w:ascii="Times New Roman" w:hAnsi="Times New Roman"/>
          <w:noProof/>
          <w:color w:val="000000"/>
          <w:spacing w:val="-6"/>
          <w:shd w:val="clear" w:color="auto" w:fill="FFFFFF"/>
          <w:lang w:val="sk-SK"/>
        </w:rPr>
        <w:t xml:space="preserve"> v </w:t>
      </w:r>
      <w:r w:rsidRPr="00AB26B3">
        <w:rPr>
          <w:rFonts w:ascii="Times New Roman" w:hAnsi="Times New Roman"/>
          <w:noProof/>
          <w:color w:val="000000"/>
          <w:spacing w:val="-6"/>
          <w:shd w:val="clear" w:color="auto" w:fill="FFFFFF"/>
          <w:lang w:val="sk-SK"/>
        </w:rPr>
        <w:t>digitálnom</w:t>
      </w:r>
      <w:r w:rsidR="00AB26B3" w:rsidRPr="00AB26B3">
        <w:rPr>
          <w:rFonts w:ascii="Times New Roman" w:hAnsi="Times New Roman"/>
          <w:noProof/>
          <w:color w:val="000000"/>
          <w:spacing w:val="-6"/>
          <w:shd w:val="clear" w:color="auto" w:fill="FFFFFF"/>
          <w:lang w:val="sk-SK"/>
        </w:rPr>
        <w:t xml:space="preserve"> a </w:t>
      </w:r>
      <w:r w:rsidRPr="00AB26B3">
        <w:rPr>
          <w:rFonts w:ascii="Times New Roman" w:hAnsi="Times New Roman"/>
          <w:noProof/>
          <w:color w:val="000000"/>
          <w:spacing w:val="-6"/>
          <w:shd w:val="clear" w:color="auto" w:fill="FFFFFF"/>
          <w:lang w:val="sk-SK"/>
        </w:rPr>
        <w:t xml:space="preserve">ekologickom sektore. </w:t>
      </w:r>
      <w:r w:rsidRPr="00AB26B3">
        <w:rPr>
          <w:rFonts w:ascii="Times New Roman" w:hAnsi="Times New Roman"/>
          <w:noProof/>
          <w:spacing w:val="-6"/>
          <w:lang w:val="sk-SK"/>
        </w:rPr>
        <w:t>Očakáva sa, že žiadne opatrenie</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tomto komponente výrazne nenaruší environmentálne ciele</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zmysle článku 17 nariadenia (EÚ) 2020/852, pričom sa zohľadní opis opatrení</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zmierňujúce kroky stanovené</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pláne obnovy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odolnosti</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súlade</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technickými usmerneniami „výrazne nenarušiť“ (2021/C58/01)</w:t>
      </w:r>
      <w:r w:rsidR="00AB26B3" w:rsidRPr="00AB26B3">
        <w:rPr>
          <w:rFonts w:ascii="Times New Roman" w:hAnsi="Times New Roman"/>
          <w:noProof/>
          <w:spacing w:val="-6"/>
          <w:lang w:val="sk-SK"/>
        </w:rPr>
        <w:t>.</w:t>
      </w:r>
    </w:p>
    <w:p w14:paraId="206D57E3" w14:textId="019E1BF4"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H.1.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1DD1727D" w14:textId="6D3E78CE"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 xml:space="preserve">Reforma: </w:t>
      </w:r>
      <w:r w:rsidRPr="00AB26B3">
        <w:rPr>
          <w:noProof/>
          <w:spacing w:val="-6"/>
          <w:lang w:val="sk-SK"/>
        </w:rPr>
        <w:t>Modernizácia</w:t>
      </w:r>
      <w:r w:rsidR="00AB26B3" w:rsidRPr="00AB26B3">
        <w:rPr>
          <w:noProof/>
          <w:spacing w:val="-6"/>
          <w:lang w:val="sk-SK"/>
        </w:rPr>
        <w:t xml:space="preserve"> a </w:t>
      </w:r>
      <w:r w:rsidRPr="00AB26B3">
        <w:rPr>
          <w:noProof/>
          <w:spacing w:val="-6"/>
          <w:lang w:val="sk-SK"/>
        </w:rPr>
        <w:t>zjednodušenie pracovného práva (opatrenie ID: 16744)</w:t>
      </w:r>
    </w:p>
    <w:p w14:paraId="0721E2C8" w14:textId="158D2793"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Reforma zahŕňa nadobudnutie účinnosti komplexného pracovného práva, ktorým sa zefektívnia kľúčové aspekty trhu práce</w:t>
      </w:r>
      <w:r w:rsidR="00AB26B3" w:rsidRPr="00AB26B3">
        <w:rPr>
          <w:noProof/>
          <w:spacing w:val="-6"/>
          <w:lang w:val="sk-SK"/>
        </w:rPr>
        <w:t xml:space="preserve"> s </w:t>
      </w:r>
      <w:r w:rsidRPr="00AB26B3">
        <w:rPr>
          <w:noProof/>
          <w:spacing w:val="-6"/>
          <w:lang w:val="sk-SK"/>
        </w:rPr>
        <w:t>cieľom zlepšiť jeho fungovanie. Reforma sa zameria najmä na modernizáciu a) zákona</w:t>
      </w:r>
      <w:r w:rsidR="00AB26B3" w:rsidRPr="00AB26B3">
        <w:rPr>
          <w:noProof/>
          <w:spacing w:val="-6"/>
          <w:lang w:val="sk-SK"/>
        </w:rPr>
        <w:t xml:space="preserve"> o </w:t>
      </w:r>
      <w:r w:rsidRPr="00AB26B3">
        <w:rPr>
          <w:noProof/>
          <w:spacing w:val="-6"/>
          <w:lang w:val="sk-SK"/>
        </w:rPr>
        <w:t>individuálnej práci, b) zákona</w:t>
      </w:r>
      <w:r w:rsidR="00AB26B3" w:rsidRPr="00AB26B3">
        <w:rPr>
          <w:noProof/>
          <w:spacing w:val="-6"/>
          <w:lang w:val="sk-SK"/>
        </w:rPr>
        <w:t xml:space="preserve"> o </w:t>
      </w:r>
      <w:r w:rsidRPr="00AB26B3">
        <w:rPr>
          <w:noProof/>
          <w:spacing w:val="-6"/>
          <w:lang w:val="sk-SK"/>
        </w:rPr>
        <w:t>kolektívnej práci</w:t>
      </w:r>
      <w:r w:rsidR="00AB26B3" w:rsidRPr="00AB26B3">
        <w:rPr>
          <w:noProof/>
          <w:spacing w:val="-6"/>
          <w:lang w:val="sk-SK"/>
        </w:rPr>
        <w:t xml:space="preserve"> a </w:t>
      </w:r>
      <w:r w:rsidRPr="00AB26B3">
        <w:rPr>
          <w:noProof/>
          <w:spacing w:val="-6"/>
          <w:lang w:val="sk-SK"/>
        </w:rPr>
        <w:t>práva odborových zväzov, c) informačného systému ERGANI ministerstva práce, ktorý sa používa na monitorovanie trhu práce</w:t>
      </w:r>
      <w:r w:rsidR="00AB26B3" w:rsidRPr="00AB26B3">
        <w:rPr>
          <w:noProof/>
          <w:spacing w:val="-6"/>
          <w:lang w:val="sk-SK"/>
        </w:rPr>
        <w:t xml:space="preserve"> a </w:t>
      </w:r>
      <w:r w:rsidRPr="00AB26B3">
        <w:rPr>
          <w:noProof/>
          <w:spacing w:val="-6"/>
          <w:lang w:val="sk-SK"/>
        </w:rPr>
        <w:t>odhaľovanie nedeklarovanej</w:t>
      </w:r>
      <w:r w:rsidR="00AB26B3" w:rsidRPr="00AB26B3">
        <w:rPr>
          <w:noProof/>
          <w:spacing w:val="-6"/>
          <w:lang w:val="sk-SK"/>
        </w:rPr>
        <w:t xml:space="preserve"> a </w:t>
      </w:r>
      <w:r w:rsidRPr="00AB26B3">
        <w:rPr>
          <w:noProof/>
          <w:spacing w:val="-6"/>
          <w:lang w:val="sk-SK"/>
        </w:rPr>
        <w:t>nedostatočne deklarovanej práce,</w:t>
      </w:r>
      <w:r w:rsidR="00AB26B3" w:rsidRPr="00AB26B3">
        <w:rPr>
          <w:noProof/>
          <w:spacing w:val="-6"/>
          <w:lang w:val="sk-SK"/>
        </w:rPr>
        <w:t xml:space="preserve"> a </w:t>
      </w:r>
      <w:r w:rsidRPr="00AB26B3">
        <w:rPr>
          <w:noProof/>
          <w:spacing w:val="-6"/>
          <w:lang w:val="sk-SK"/>
        </w:rPr>
        <w:t>d) rámca pre rovnováhu medzi pracovným</w:t>
      </w:r>
      <w:r w:rsidR="00AB26B3" w:rsidRPr="00AB26B3">
        <w:rPr>
          <w:noProof/>
          <w:spacing w:val="-6"/>
          <w:lang w:val="sk-SK"/>
        </w:rPr>
        <w:t xml:space="preserve"> a </w:t>
      </w:r>
      <w:r w:rsidRPr="00AB26B3">
        <w:rPr>
          <w:noProof/>
          <w:spacing w:val="-6"/>
          <w:lang w:val="sk-SK"/>
        </w:rPr>
        <w:t>súkromným životom. Hlavnými cieľmi reformy sú zvýšenie tvorby pracovných miest</w:t>
      </w:r>
      <w:r w:rsidR="00AB26B3" w:rsidRPr="00AB26B3">
        <w:rPr>
          <w:noProof/>
          <w:spacing w:val="-6"/>
          <w:lang w:val="sk-SK"/>
        </w:rPr>
        <w:t xml:space="preserve"> a </w:t>
      </w:r>
      <w:r w:rsidRPr="00AB26B3">
        <w:rPr>
          <w:noProof/>
          <w:spacing w:val="-6"/>
          <w:lang w:val="sk-SK"/>
        </w:rPr>
        <w:t>konkurencieschopnosti, boj proti nedeklarovanej</w:t>
      </w:r>
      <w:r w:rsidR="00AB26B3" w:rsidRPr="00AB26B3">
        <w:rPr>
          <w:noProof/>
          <w:spacing w:val="-6"/>
          <w:lang w:val="sk-SK"/>
        </w:rPr>
        <w:t xml:space="preserve"> a </w:t>
      </w:r>
      <w:r w:rsidRPr="00AB26B3">
        <w:rPr>
          <w:noProof/>
          <w:spacing w:val="-6"/>
          <w:lang w:val="sk-SK"/>
        </w:rPr>
        <w:t>nedostatočne deklarovanej práci, zlepšenie rovnováhy medzi pracovným</w:t>
      </w:r>
      <w:r w:rsidR="00AB26B3" w:rsidRPr="00AB26B3">
        <w:rPr>
          <w:noProof/>
          <w:spacing w:val="-6"/>
          <w:lang w:val="sk-SK"/>
        </w:rPr>
        <w:t xml:space="preserve"> a </w:t>
      </w:r>
      <w:r w:rsidRPr="00AB26B3">
        <w:rPr>
          <w:noProof/>
          <w:spacing w:val="-6"/>
          <w:lang w:val="sk-SK"/>
        </w:rPr>
        <w:t>súkromným životom</w:t>
      </w:r>
      <w:r w:rsidR="00AB26B3" w:rsidRPr="00AB26B3">
        <w:rPr>
          <w:noProof/>
          <w:spacing w:val="-6"/>
          <w:lang w:val="sk-SK"/>
        </w:rPr>
        <w:t xml:space="preserve"> a </w:t>
      </w:r>
      <w:r w:rsidRPr="00AB26B3">
        <w:rPr>
          <w:noProof/>
          <w:spacing w:val="-6"/>
          <w:lang w:val="sk-SK"/>
        </w:rPr>
        <w:t>preklenutie rozdielov</w:t>
      </w:r>
      <w:r w:rsidR="00AB26B3" w:rsidRPr="00AB26B3">
        <w:rPr>
          <w:noProof/>
          <w:spacing w:val="-6"/>
          <w:lang w:val="sk-SK"/>
        </w:rPr>
        <w:t xml:space="preserve"> v </w:t>
      </w:r>
      <w:r w:rsidRPr="00AB26B3">
        <w:rPr>
          <w:noProof/>
          <w:spacing w:val="-6"/>
          <w:lang w:val="sk-SK"/>
        </w:rPr>
        <w:t>zamestnanosti žien</w:t>
      </w:r>
      <w:r w:rsidR="00AB26B3" w:rsidRPr="00AB26B3">
        <w:rPr>
          <w:noProof/>
          <w:spacing w:val="-6"/>
          <w:lang w:val="sk-SK"/>
        </w:rPr>
        <w:t xml:space="preserve"> a </w:t>
      </w:r>
      <w:r w:rsidRPr="00AB26B3">
        <w:rPr>
          <w:noProof/>
          <w:spacing w:val="-6"/>
          <w:lang w:val="sk-SK"/>
        </w:rPr>
        <w:t>mužov. Implementácia reformy sa dokončí do 30</w:t>
      </w:r>
      <w:r w:rsidR="00AB26B3" w:rsidRPr="00AB26B3">
        <w:rPr>
          <w:noProof/>
          <w:spacing w:val="-6"/>
          <w:lang w:val="sk-SK"/>
        </w:rPr>
        <w:t>. septembra</w:t>
      </w:r>
      <w:r w:rsidRPr="00AB26B3">
        <w:rPr>
          <w:noProof/>
          <w:spacing w:val="-6"/>
          <w:lang w:val="sk-SK"/>
        </w:rPr>
        <w:t xml:space="preserve"> 2021</w:t>
      </w:r>
      <w:r w:rsidRPr="00AB26B3">
        <w:rPr>
          <w:i/>
          <w:noProof/>
          <w:spacing w:val="-6"/>
          <w:lang w:val="sk-SK"/>
        </w:rPr>
        <w:t>.</w:t>
      </w:r>
    </w:p>
    <w:p w14:paraId="3A05BD11"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systémov práce (identifikačné číslo opatrenia: 16750)</w:t>
      </w:r>
    </w:p>
    <w:p w14:paraId="2EDE080D" w14:textId="71293E3C" w:rsidR="00AB26B3" w:rsidRPr="00AB26B3" w:rsidRDefault="00D64F26">
      <w:pPr>
        <w:pStyle w:val="P68B1DB1-Normal7"/>
        <w:spacing w:after="0" w:line="240" w:lineRule="auto"/>
        <w:jc w:val="both"/>
        <w:rPr>
          <w:noProof/>
          <w:spacing w:val="-6"/>
          <w:lang w:val="sk-SK"/>
        </w:rPr>
      </w:pPr>
      <w:r w:rsidRPr="00AB26B3">
        <w:rPr>
          <w:noProof/>
          <w:spacing w:val="-6"/>
          <w:lang w:val="sk-SK"/>
        </w:rPr>
        <w:t>Cieľom opatrenia je modernizovať verejnú správu</w:t>
      </w:r>
      <w:r w:rsidR="00AB26B3" w:rsidRPr="00AB26B3">
        <w:rPr>
          <w:noProof/>
          <w:spacing w:val="-6"/>
          <w:lang w:val="sk-SK"/>
        </w:rPr>
        <w:t xml:space="preserve"> a </w:t>
      </w:r>
      <w:r w:rsidRPr="00AB26B3">
        <w:rPr>
          <w:noProof/>
          <w:spacing w:val="-6"/>
          <w:lang w:val="sk-SK"/>
        </w:rPr>
        <w:t>zvýšiť jej schopnosť ponúkať lepšie</w:t>
      </w:r>
      <w:r w:rsidR="00AB26B3" w:rsidRPr="00AB26B3">
        <w:rPr>
          <w:noProof/>
          <w:spacing w:val="-6"/>
          <w:lang w:val="sk-SK"/>
        </w:rPr>
        <w:t xml:space="preserve"> a </w:t>
      </w:r>
      <w:r w:rsidRPr="00AB26B3">
        <w:rPr>
          <w:noProof/>
          <w:spacing w:val="-6"/>
          <w:lang w:val="sk-SK"/>
        </w:rPr>
        <w:t>rýchlejšie služby zamestnancom</w:t>
      </w:r>
      <w:r w:rsidR="00AB26B3" w:rsidRPr="00AB26B3">
        <w:rPr>
          <w:noProof/>
          <w:spacing w:val="-6"/>
          <w:lang w:val="sk-SK"/>
        </w:rPr>
        <w:t xml:space="preserve"> a </w:t>
      </w:r>
      <w:r w:rsidRPr="00AB26B3">
        <w:rPr>
          <w:noProof/>
          <w:spacing w:val="-6"/>
          <w:lang w:val="sk-SK"/>
        </w:rPr>
        <w:t>zamestnávateľom. Investícia pozostáva</w:t>
      </w:r>
      <w:r w:rsidR="00AB26B3" w:rsidRPr="00AB26B3">
        <w:rPr>
          <w:noProof/>
          <w:spacing w:val="-6"/>
          <w:lang w:val="sk-SK"/>
        </w:rPr>
        <w:t xml:space="preserve"> z </w:t>
      </w:r>
      <w:r w:rsidRPr="00AB26B3">
        <w:rPr>
          <w:noProof/>
          <w:spacing w:val="-6"/>
          <w:lang w:val="sk-SK"/>
        </w:rPr>
        <w:t>modernizácie</w:t>
      </w:r>
      <w:r w:rsidR="00AB26B3" w:rsidRPr="00AB26B3">
        <w:rPr>
          <w:noProof/>
          <w:spacing w:val="-6"/>
          <w:lang w:val="sk-SK"/>
        </w:rPr>
        <w:t xml:space="preserve"> a </w:t>
      </w:r>
      <w:r w:rsidRPr="00AB26B3">
        <w:rPr>
          <w:noProof/>
          <w:spacing w:val="-6"/>
          <w:lang w:val="sk-SK"/>
        </w:rPr>
        <w:t>rozšírenia digitálnej infraštruktúry verejných orgánov zodpovedných za monitorovanie trhu práce</w:t>
      </w:r>
      <w:r w:rsidR="00AB26B3" w:rsidRPr="00AB26B3">
        <w:rPr>
          <w:noProof/>
          <w:spacing w:val="-6"/>
          <w:lang w:val="sk-SK"/>
        </w:rPr>
        <w:t xml:space="preserve"> a </w:t>
      </w:r>
      <w:r w:rsidRPr="00AB26B3">
        <w:rPr>
          <w:noProof/>
          <w:spacing w:val="-6"/>
          <w:lang w:val="sk-SK"/>
        </w:rPr>
        <w:t>otázky sociálneho zabezpečenia</w:t>
      </w:r>
      <w:r w:rsidR="00AB26B3" w:rsidRPr="00AB26B3">
        <w:rPr>
          <w:noProof/>
          <w:spacing w:val="-6"/>
          <w:lang w:val="sk-SK"/>
        </w:rPr>
        <w:t>.</w:t>
      </w:r>
    </w:p>
    <w:p w14:paraId="34FCF2CF" w14:textId="3AE99AA2"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Reforma aktívnych politík trhu práce (identifikačné číslo opatrenia: 16747)</w:t>
      </w:r>
    </w:p>
    <w:p w14:paraId="51FE2A5F" w14:textId="41C2718D" w:rsidR="00AB26B3" w:rsidRPr="00AB26B3" w:rsidRDefault="00D64F26">
      <w:pPr>
        <w:pStyle w:val="P68B1DB1-Normal7"/>
        <w:spacing w:before="120" w:after="120" w:line="240" w:lineRule="auto"/>
        <w:jc w:val="both"/>
        <w:rPr>
          <w:noProof/>
          <w:color w:val="000000" w:themeColor="text1"/>
          <w:spacing w:val="-6"/>
          <w:lang w:val="sk-SK"/>
        </w:rPr>
      </w:pPr>
      <w:r w:rsidRPr="00AB26B3">
        <w:rPr>
          <w:noProof/>
          <w:spacing w:val="-6"/>
          <w:lang w:val="sk-SK"/>
        </w:rPr>
        <w:t>Cieľom reformy je prepracovať</w:t>
      </w:r>
      <w:r w:rsidR="00AB26B3" w:rsidRPr="00AB26B3">
        <w:rPr>
          <w:noProof/>
          <w:spacing w:val="-6"/>
          <w:lang w:val="sk-SK"/>
        </w:rPr>
        <w:t xml:space="preserve"> a </w:t>
      </w:r>
      <w:r w:rsidRPr="00AB26B3">
        <w:rPr>
          <w:noProof/>
          <w:spacing w:val="-6"/>
          <w:lang w:val="sk-SK"/>
        </w:rPr>
        <w:t>posilniť aktívne programy trhu práce. Reforma pozostáva</w:t>
      </w:r>
      <w:r w:rsidR="00AB26B3" w:rsidRPr="00AB26B3">
        <w:rPr>
          <w:noProof/>
          <w:spacing w:val="-6"/>
          <w:lang w:val="sk-SK"/>
        </w:rPr>
        <w:t xml:space="preserve"> z </w:t>
      </w:r>
      <w:r w:rsidRPr="00AB26B3">
        <w:rPr>
          <w:noProof/>
          <w:spacing w:val="-6"/>
          <w:lang w:val="sk-SK"/>
        </w:rPr>
        <w:t>programov odbornej prípravy</w:t>
      </w:r>
      <w:r w:rsidR="00AB26B3" w:rsidRPr="00AB26B3">
        <w:rPr>
          <w:noProof/>
          <w:spacing w:val="-6"/>
          <w:lang w:val="sk-SK"/>
        </w:rPr>
        <w:t xml:space="preserve"> a </w:t>
      </w:r>
      <w:r w:rsidRPr="00AB26B3">
        <w:rPr>
          <w:noProof/>
          <w:spacing w:val="-6"/>
          <w:lang w:val="sk-SK"/>
        </w:rPr>
        <w:t>zamestnanosti</w:t>
      </w:r>
      <w:r w:rsidR="00AB26B3" w:rsidRPr="00AB26B3">
        <w:rPr>
          <w:noProof/>
          <w:spacing w:val="-6"/>
          <w:lang w:val="sk-SK"/>
        </w:rPr>
        <w:t xml:space="preserve"> a </w:t>
      </w:r>
      <w:r w:rsidRPr="00AB26B3">
        <w:rPr>
          <w:noProof/>
          <w:color w:val="000000" w:themeColor="text1"/>
          <w:spacing w:val="-6"/>
          <w:lang w:val="sk-SK"/>
        </w:rPr>
        <w:t>dočasného zlepšenia</w:t>
      </w:r>
      <w:r w:rsidR="00AB26B3" w:rsidRPr="00AB26B3">
        <w:rPr>
          <w:noProof/>
          <w:color w:val="000000" w:themeColor="text1"/>
          <w:spacing w:val="-6"/>
          <w:lang w:val="sk-SK"/>
        </w:rPr>
        <w:t xml:space="preserve"> a </w:t>
      </w:r>
      <w:r w:rsidRPr="00AB26B3">
        <w:rPr>
          <w:noProof/>
          <w:color w:val="000000" w:themeColor="text1"/>
          <w:spacing w:val="-6"/>
          <w:lang w:val="sk-SK"/>
        </w:rPr>
        <w:t>zvyšovania úrovne zručností poradenských pracovníkov verejných služieb zamestnanosti</w:t>
      </w:r>
      <w:r w:rsidR="00AB26B3" w:rsidRPr="00AB26B3">
        <w:rPr>
          <w:noProof/>
          <w:color w:val="000000" w:themeColor="text1"/>
          <w:spacing w:val="-6"/>
          <w:lang w:val="sk-SK"/>
        </w:rPr>
        <w:t>.</w:t>
      </w:r>
    </w:p>
    <w:p w14:paraId="623A2EE0" w14:textId="16E7B45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Reforma pasívnych politík trhu práce na podporu prechodu do zamestnania (identifikačné číslo opatrenia: 16746)</w:t>
      </w:r>
    </w:p>
    <w:p w14:paraId="6D25307F" w14:textId="41F4B4CA"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reformy je zlepšiť účinnosť</w:t>
      </w:r>
      <w:r w:rsidR="00AB26B3" w:rsidRPr="00AB26B3">
        <w:rPr>
          <w:noProof/>
          <w:spacing w:val="-6"/>
          <w:lang w:val="sk-SK"/>
        </w:rPr>
        <w:t xml:space="preserve"> a </w:t>
      </w:r>
      <w:r w:rsidRPr="00AB26B3">
        <w:rPr>
          <w:noProof/>
          <w:spacing w:val="-6"/>
          <w:lang w:val="sk-SK"/>
        </w:rPr>
        <w:t>efektívnosť pasívnych politík trhu práce. Reforma pozostáva</w:t>
      </w:r>
      <w:r w:rsidR="00AB26B3" w:rsidRPr="00AB26B3">
        <w:rPr>
          <w:noProof/>
          <w:spacing w:val="-6"/>
          <w:lang w:val="sk-SK"/>
        </w:rPr>
        <w:t xml:space="preserve"> z </w:t>
      </w:r>
      <w:r w:rsidRPr="00AB26B3">
        <w:rPr>
          <w:noProof/>
          <w:color w:val="000000" w:themeColor="text1"/>
          <w:spacing w:val="-6"/>
          <w:lang w:val="sk-SK"/>
        </w:rPr>
        <w:t>konsolidácie</w:t>
      </w:r>
      <w:r w:rsidR="00AB26B3" w:rsidRPr="00AB26B3">
        <w:rPr>
          <w:noProof/>
          <w:color w:val="000000" w:themeColor="text1"/>
          <w:spacing w:val="-6"/>
          <w:lang w:val="sk-SK"/>
        </w:rPr>
        <w:t xml:space="preserve"> a </w:t>
      </w:r>
      <w:r w:rsidRPr="00AB26B3">
        <w:rPr>
          <w:noProof/>
          <w:color w:val="000000" w:themeColor="text1"/>
          <w:spacing w:val="-6"/>
          <w:lang w:val="sk-SK"/>
        </w:rPr>
        <w:t>zefektívnenia dávok</w:t>
      </w:r>
      <w:r w:rsidR="00AB26B3" w:rsidRPr="00AB26B3">
        <w:rPr>
          <w:noProof/>
          <w:color w:val="000000" w:themeColor="text1"/>
          <w:spacing w:val="-6"/>
          <w:lang w:val="sk-SK"/>
        </w:rPr>
        <w:t xml:space="preserve"> a </w:t>
      </w:r>
      <w:r w:rsidRPr="00AB26B3">
        <w:rPr>
          <w:noProof/>
          <w:color w:val="000000" w:themeColor="text1"/>
          <w:spacing w:val="-6"/>
          <w:lang w:val="sk-SK"/>
        </w:rPr>
        <w:t>prídavkov</w:t>
      </w:r>
      <w:r w:rsidR="00AB26B3" w:rsidRPr="00AB26B3">
        <w:rPr>
          <w:noProof/>
          <w:color w:val="000000" w:themeColor="text1"/>
          <w:spacing w:val="-6"/>
          <w:lang w:val="sk-SK"/>
        </w:rPr>
        <w:t xml:space="preserve"> v </w:t>
      </w:r>
      <w:r w:rsidRPr="00AB26B3">
        <w:rPr>
          <w:noProof/>
          <w:color w:val="000000" w:themeColor="text1"/>
          <w:spacing w:val="-6"/>
          <w:lang w:val="sk-SK"/>
        </w:rPr>
        <w:t>nezamestnanosti, odstránenia prekážok zvyšovania úrovne zručností/rekvalifikácie nezamestnaných</w:t>
      </w:r>
      <w:r w:rsidRPr="00AB26B3">
        <w:rPr>
          <w:noProof/>
          <w:color w:val="000000"/>
          <w:spacing w:val="-6"/>
          <w:shd w:val="clear" w:color="auto" w:fill="FFFFFF"/>
          <w:lang w:val="sk-SK"/>
        </w:rPr>
        <w:t>a jedného</w:t>
      </w:r>
      <w:r w:rsidRPr="00AB26B3">
        <w:rPr>
          <w:noProof/>
          <w:color w:val="000000" w:themeColor="text1"/>
          <w:spacing w:val="-6"/>
          <w:lang w:val="sk-SK"/>
        </w:rPr>
        <w:t xml:space="preserve"> pilotného projektu </w:t>
      </w:r>
      <w:r w:rsidRPr="00AB26B3">
        <w:rPr>
          <w:noProof/>
          <w:color w:val="000000"/>
          <w:spacing w:val="-6"/>
          <w:shd w:val="clear" w:color="auto" w:fill="FFFFFF"/>
          <w:lang w:val="sk-SK"/>
        </w:rPr>
        <w:t>na testovanie systému poistenia</w:t>
      </w:r>
      <w:r w:rsidR="00AB26B3" w:rsidRPr="00AB26B3">
        <w:rPr>
          <w:noProof/>
          <w:color w:val="000000"/>
          <w:spacing w:val="-6"/>
          <w:shd w:val="clear" w:color="auto" w:fill="FFFFFF"/>
          <w:lang w:val="sk-SK"/>
        </w:rPr>
        <w:t xml:space="preserve"> v </w:t>
      </w:r>
      <w:r w:rsidRPr="00AB26B3">
        <w:rPr>
          <w:noProof/>
          <w:color w:val="000000"/>
          <w:spacing w:val="-6"/>
          <w:shd w:val="clear" w:color="auto" w:fill="FFFFFF"/>
          <w:lang w:val="sk-SK"/>
        </w:rPr>
        <w:t>nezamestnanosti</w:t>
      </w:r>
      <w:r w:rsidR="00AB26B3" w:rsidRPr="00AB26B3">
        <w:rPr>
          <w:noProof/>
          <w:color w:val="000000"/>
          <w:spacing w:val="-6"/>
          <w:shd w:val="clear" w:color="auto" w:fill="FFFFFF"/>
          <w:lang w:val="sk-SK"/>
        </w:rPr>
        <w:t xml:space="preserve"> v </w:t>
      </w:r>
      <w:r w:rsidRPr="00AB26B3">
        <w:rPr>
          <w:noProof/>
          <w:color w:val="000000" w:themeColor="text1"/>
          <w:spacing w:val="-6"/>
          <w:lang w:val="sk-SK"/>
        </w:rPr>
        <w:t>Grécku.</w:t>
      </w:r>
    </w:p>
    <w:p w14:paraId="46C27245" w14:textId="20645C1A" w:rsidR="00302FC1" w:rsidRPr="00AB26B3" w:rsidRDefault="00D64F26">
      <w:pPr>
        <w:pStyle w:val="P68B1DB1-Normal5"/>
        <w:spacing w:before="120" w:after="120" w:line="240" w:lineRule="auto"/>
        <w:jc w:val="both"/>
        <w:rPr>
          <w:rFonts w:cs="Times New Roman"/>
          <w:noProof/>
          <w:spacing w:val="-6"/>
          <w:szCs w:val="24"/>
          <w:lang w:val="sk-SK"/>
        </w:rPr>
      </w:pPr>
      <w:r w:rsidRPr="00AB26B3">
        <w:rPr>
          <w:b/>
          <w:noProof/>
          <w:spacing w:val="-6"/>
          <w:lang w:val="sk-SK"/>
        </w:rPr>
        <w:t>Investície:</w:t>
      </w:r>
      <w:r w:rsidRPr="00AB26B3">
        <w:rPr>
          <w:noProof/>
          <w:spacing w:val="-6"/>
          <w:lang w:val="sk-SK"/>
        </w:rPr>
        <w:t xml:space="preserve"> Reštrukturalizácia</w:t>
      </w:r>
      <w:r w:rsidR="00AB26B3" w:rsidRPr="00AB26B3">
        <w:rPr>
          <w:noProof/>
          <w:spacing w:val="-6"/>
          <w:lang w:val="sk-SK"/>
        </w:rPr>
        <w:t xml:space="preserve"> a </w:t>
      </w:r>
      <w:r w:rsidRPr="00AB26B3">
        <w:rPr>
          <w:noProof/>
          <w:spacing w:val="-6"/>
          <w:lang w:val="sk-SK"/>
        </w:rPr>
        <w:t>zmena názvu miestnych pobočiek DYPA na podporu zamestnanosti (KPA2) (identifikačné číslo opatrenia: 16941)</w:t>
      </w:r>
    </w:p>
    <w:p w14:paraId="568F51CE" w14:textId="153FB837" w:rsidR="00AB26B3" w:rsidRPr="00AB26B3" w:rsidRDefault="00D64F26">
      <w:pPr>
        <w:spacing w:before="120" w:after="120" w:line="240" w:lineRule="auto"/>
        <w:jc w:val="both"/>
        <w:rPr>
          <w:rFonts w:ascii="Times New Roman" w:hAnsi="Times New Roman"/>
          <w:noProof/>
          <w:spacing w:val="-6"/>
          <w:sz w:val="24"/>
          <w:szCs w:val="24"/>
          <w:lang w:val="sk-SK"/>
        </w:rPr>
      </w:pPr>
      <w:r w:rsidRPr="00AB26B3">
        <w:rPr>
          <w:rFonts w:ascii="Times New Roman" w:hAnsi="Times New Roman"/>
          <w:noProof/>
          <w:spacing w:val="-6"/>
          <w:sz w:val="24"/>
          <w:szCs w:val="24"/>
          <w:lang w:val="sk-SK"/>
        </w:rPr>
        <w:t>Cieľom investície je zlepšiť účinnosť</w:t>
      </w:r>
      <w:r w:rsidR="00AB26B3" w:rsidRPr="00AB26B3">
        <w:rPr>
          <w:rFonts w:ascii="Times New Roman" w:hAnsi="Times New Roman"/>
          <w:noProof/>
          <w:spacing w:val="-6"/>
          <w:sz w:val="24"/>
          <w:szCs w:val="24"/>
          <w:lang w:val="sk-SK"/>
        </w:rPr>
        <w:t xml:space="preserve"> a </w:t>
      </w:r>
      <w:r w:rsidRPr="00AB26B3">
        <w:rPr>
          <w:rFonts w:ascii="Times New Roman" w:hAnsi="Times New Roman"/>
          <w:noProof/>
          <w:spacing w:val="-6"/>
          <w:sz w:val="24"/>
          <w:szCs w:val="24"/>
          <w:lang w:val="sk-SK"/>
        </w:rPr>
        <w:t>efektívnosť služieb, ktoré ponúkajú grécke verejné služby zamestnanosti (DYPA). Investícia pozostáva</w:t>
      </w:r>
      <w:r w:rsidR="00AB26B3" w:rsidRPr="00AB26B3">
        <w:rPr>
          <w:rFonts w:ascii="Times New Roman" w:hAnsi="Times New Roman"/>
          <w:noProof/>
          <w:spacing w:val="-6"/>
          <w:sz w:val="24"/>
          <w:szCs w:val="24"/>
          <w:lang w:val="sk-SK"/>
        </w:rPr>
        <w:t xml:space="preserve"> z </w:t>
      </w:r>
      <w:r w:rsidRPr="00AB26B3">
        <w:rPr>
          <w:rFonts w:ascii="Times New Roman" w:hAnsi="Times New Roman"/>
          <w:noProof/>
          <w:spacing w:val="-6"/>
          <w:sz w:val="24"/>
          <w:szCs w:val="24"/>
          <w:lang w:val="sk-SK"/>
        </w:rPr>
        <w:t>obnovy budov miestnych pobočiek DYPA</w:t>
      </w:r>
      <w:r w:rsidR="00AB26B3" w:rsidRPr="00AB26B3">
        <w:rPr>
          <w:rFonts w:ascii="Times New Roman" w:hAnsi="Times New Roman"/>
          <w:noProof/>
          <w:spacing w:val="-6"/>
          <w:sz w:val="24"/>
          <w:szCs w:val="24"/>
          <w:lang w:val="sk-SK"/>
        </w:rPr>
        <w:t>.</w:t>
      </w:r>
    </w:p>
    <w:p w14:paraId="0F0482C9" w14:textId="1EAC6444"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verejných služieb zamestnanosti (DYPA) (identifikačné číslo opatrenia: 16942)</w:t>
      </w:r>
    </w:p>
    <w:p w14:paraId="2B251599" w14:textId="6AAF0528"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investície je zlepšiť efektívnosť</w:t>
      </w:r>
      <w:r w:rsidR="00AB26B3" w:rsidRPr="00AB26B3">
        <w:rPr>
          <w:noProof/>
          <w:spacing w:val="-6"/>
          <w:lang w:val="sk-SK"/>
        </w:rPr>
        <w:t xml:space="preserve"> a </w:t>
      </w:r>
      <w:r w:rsidRPr="00AB26B3">
        <w:rPr>
          <w:noProof/>
          <w:spacing w:val="-6"/>
          <w:lang w:val="sk-SK"/>
        </w:rPr>
        <w:t>účinnosť verejných služieb zamestnanosti (DYPA). Investícia pozostáva</w:t>
      </w:r>
      <w:r w:rsidR="00AB26B3" w:rsidRPr="00AB26B3">
        <w:rPr>
          <w:noProof/>
          <w:spacing w:val="-6"/>
          <w:lang w:val="sk-SK"/>
        </w:rPr>
        <w:t xml:space="preserve"> z </w:t>
      </w:r>
      <w:r w:rsidRPr="00AB26B3">
        <w:rPr>
          <w:noProof/>
          <w:spacing w:val="-6"/>
          <w:lang w:val="sk-SK"/>
        </w:rPr>
        <w:t>rozšírenia</w:t>
      </w:r>
      <w:r w:rsidR="00AB26B3" w:rsidRPr="00AB26B3">
        <w:rPr>
          <w:noProof/>
          <w:spacing w:val="-6"/>
          <w:lang w:val="sk-SK"/>
        </w:rPr>
        <w:t xml:space="preserve"> a </w:t>
      </w:r>
      <w:r w:rsidRPr="00AB26B3">
        <w:rPr>
          <w:noProof/>
          <w:spacing w:val="-6"/>
          <w:lang w:val="sk-SK"/>
        </w:rPr>
        <w:t>modernizácie IT infraštruktúry</w:t>
      </w:r>
      <w:r w:rsidR="00AB26B3" w:rsidRPr="00AB26B3">
        <w:rPr>
          <w:noProof/>
          <w:spacing w:val="-6"/>
          <w:lang w:val="sk-SK"/>
        </w:rPr>
        <w:t xml:space="preserve"> a </w:t>
      </w:r>
      <w:r w:rsidRPr="00AB26B3">
        <w:rPr>
          <w:noProof/>
          <w:spacing w:val="-6"/>
          <w:lang w:val="sk-SK"/>
        </w:rPr>
        <w:t>digitálnych nástrojov verejných služieb zamestnanosti</w:t>
      </w:r>
      <w:r w:rsidR="00AB26B3" w:rsidRPr="00AB26B3">
        <w:rPr>
          <w:noProof/>
          <w:spacing w:val="-6"/>
          <w:lang w:val="sk-SK"/>
        </w:rPr>
        <w:t>.</w:t>
      </w:r>
    </w:p>
    <w:p w14:paraId="6F980A3D" w14:textId="53422227" w:rsidR="00302FC1" w:rsidRPr="00AB26B3" w:rsidRDefault="00302FC1">
      <w:pPr>
        <w:pStyle w:val="paragraph"/>
        <w:spacing w:before="0" w:beforeAutospacing="0" w:after="0" w:afterAutospacing="0"/>
        <w:rPr>
          <w:noProof/>
          <w:color w:val="006100"/>
          <w:spacing w:val="-6"/>
          <w:sz w:val="18"/>
          <w:szCs w:val="18"/>
          <w:lang w:val="sk-SK"/>
        </w:rPr>
        <w:sectPr w:rsidR="00302FC1" w:rsidRPr="00AB26B3" w:rsidSect="00315FC0">
          <w:headerReference w:type="even" r:id="rId144"/>
          <w:headerReference w:type="default" r:id="rId145"/>
          <w:footerReference w:type="even" r:id="rId146"/>
          <w:footerReference w:type="default" r:id="rId147"/>
          <w:headerReference w:type="first" r:id="rId148"/>
          <w:footerReference w:type="first" r:id="rId149"/>
          <w:pgSz w:w="11906" w:h="16838"/>
          <w:pgMar w:top="1417" w:right="1417" w:bottom="1417" w:left="1417" w:header="708" w:footer="708" w:gutter="0"/>
          <w:cols w:space="708"/>
          <w:docGrid w:linePitch="360"/>
        </w:sectPr>
      </w:pPr>
    </w:p>
    <w:p w14:paraId="36CDC4DD" w14:textId="18CCDA2F"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H.2.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7BBD8EF3" w14:textId="54BD7C83"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Kľúčová reforma 6: Modernizácia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zjednodušenie pracovného práva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digitálna transformácia pracovných systémov</w:t>
      </w:r>
    </w:p>
    <w:tbl>
      <w:tblPr>
        <w:tblpPr w:leftFromText="180" w:rightFromText="180" w:vertAnchor="text" w:tblpX="-5"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60"/>
        <w:gridCol w:w="1151"/>
        <w:gridCol w:w="1323"/>
        <w:gridCol w:w="1469"/>
        <w:gridCol w:w="981"/>
        <w:gridCol w:w="992"/>
        <w:gridCol w:w="709"/>
        <w:gridCol w:w="996"/>
        <w:gridCol w:w="709"/>
        <w:gridCol w:w="4248"/>
      </w:tblGrid>
      <w:tr w:rsidR="00302FC1" w:rsidRPr="00AB26B3" w14:paraId="06C1E1C9" w14:textId="77777777">
        <w:trPr>
          <w:trHeight w:val="614"/>
          <w:tblHeader/>
        </w:trPr>
        <w:tc>
          <w:tcPr>
            <w:tcW w:w="708" w:type="dxa"/>
            <w:vMerge w:val="restart"/>
            <w:shd w:val="clear" w:color="auto" w:fill="BDD7EE"/>
            <w:vAlign w:val="center"/>
            <w:hideMark/>
          </w:tcPr>
          <w:p w14:paraId="3221E941" w14:textId="184347AE"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2160" w:type="dxa"/>
            <w:vMerge w:val="restart"/>
            <w:shd w:val="clear" w:color="auto" w:fill="BDD7EE"/>
            <w:vAlign w:val="center"/>
            <w:hideMark/>
          </w:tcPr>
          <w:p w14:paraId="59FE288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51" w:type="dxa"/>
            <w:vMerge w:val="restart"/>
            <w:shd w:val="clear" w:color="auto" w:fill="BDD7EE"/>
            <w:vAlign w:val="center"/>
            <w:hideMark/>
          </w:tcPr>
          <w:p w14:paraId="0665623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323" w:type="dxa"/>
            <w:vMerge w:val="restart"/>
            <w:shd w:val="clear" w:color="auto" w:fill="BDD7EE"/>
            <w:vAlign w:val="center"/>
            <w:hideMark/>
          </w:tcPr>
          <w:p w14:paraId="7A75A10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469" w:type="dxa"/>
            <w:vMerge w:val="restart"/>
            <w:shd w:val="clear" w:color="auto" w:fill="BDD7EE"/>
            <w:vAlign w:val="center"/>
            <w:hideMark/>
          </w:tcPr>
          <w:p w14:paraId="0DAFB3E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682" w:type="dxa"/>
            <w:gridSpan w:val="3"/>
            <w:shd w:val="clear" w:color="auto" w:fill="BDD7EE"/>
            <w:vAlign w:val="center"/>
            <w:hideMark/>
          </w:tcPr>
          <w:p w14:paraId="28968D66" w14:textId="543E95BB"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705" w:type="dxa"/>
            <w:gridSpan w:val="2"/>
            <w:shd w:val="clear" w:color="auto" w:fill="BDD7EE"/>
            <w:vAlign w:val="center"/>
            <w:hideMark/>
          </w:tcPr>
          <w:p w14:paraId="32BB570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248" w:type="dxa"/>
            <w:vMerge w:val="restart"/>
            <w:shd w:val="clear" w:color="auto" w:fill="BDD7EE"/>
            <w:vAlign w:val="center"/>
            <w:hideMark/>
          </w:tcPr>
          <w:p w14:paraId="58065A45" w14:textId="38C0A12B"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D1937F0" w14:textId="77777777">
        <w:trPr>
          <w:trHeight w:val="542"/>
          <w:tblHeader/>
        </w:trPr>
        <w:tc>
          <w:tcPr>
            <w:tcW w:w="708" w:type="dxa"/>
            <w:vMerge/>
            <w:vAlign w:val="center"/>
            <w:hideMark/>
          </w:tcPr>
          <w:p w14:paraId="56FF91E4" w14:textId="77777777" w:rsidR="00302FC1" w:rsidRPr="00AB26B3" w:rsidRDefault="00302FC1">
            <w:pPr>
              <w:spacing w:after="0" w:line="240" w:lineRule="auto"/>
              <w:jc w:val="center"/>
              <w:rPr>
                <w:rFonts w:ascii="Times New Roman" w:eastAsia="Times New Roman" w:hAnsi="Times New Roman" w:cs="Times New Roman"/>
                <w:b/>
                <w:bCs/>
                <w:noProof/>
                <w:spacing w:val="-6"/>
                <w:sz w:val="18"/>
                <w:szCs w:val="18"/>
                <w:lang w:val="sk-SK"/>
              </w:rPr>
            </w:pPr>
          </w:p>
        </w:tc>
        <w:tc>
          <w:tcPr>
            <w:tcW w:w="2160" w:type="dxa"/>
            <w:vMerge/>
            <w:vAlign w:val="center"/>
            <w:hideMark/>
          </w:tcPr>
          <w:p w14:paraId="258CC8AC" w14:textId="77777777" w:rsidR="00302FC1" w:rsidRPr="00AB26B3" w:rsidRDefault="00302FC1">
            <w:pPr>
              <w:spacing w:after="0" w:line="240" w:lineRule="auto"/>
              <w:jc w:val="center"/>
              <w:rPr>
                <w:rFonts w:ascii="Times New Roman" w:eastAsia="Times New Roman" w:hAnsi="Times New Roman" w:cs="Times New Roman"/>
                <w:b/>
                <w:bCs/>
                <w:noProof/>
                <w:spacing w:val="-6"/>
                <w:sz w:val="18"/>
                <w:szCs w:val="18"/>
                <w:lang w:val="sk-SK"/>
              </w:rPr>
            </w:pPr>
          </w:p>
        </w:tc>
        <w:tc>
          <w:tcPr>
            <w:tcW w:w="1151" w:type="dxa"/>
            <w:vMerge/>
            <w:vAlign w:val="center"/>
            <w:hideMark/>
          </w:tcPr>
          <w:p w14:paraId="24FB3718" w14:textId="77777777" w:rsidR="00302FC1" w:rsidRPr="00AB26B3" w:rsidRDefault="00302FC1">
            <w:pPr>
              <w:spacing w:after="0" w:line="240" w:lineRule="auto"/>
              <w:jc w:val="center"/>
              <w:rPr>
                <w:rFonts w:ascii="Times New Roman" w:eastAsia="Times New Roman" w:hAnsi="Times New Roman" w:cs="Times New Roman"/>
                <w:b/>
                <w:bCs/>
                <w:noProof/>
                <w:spacing w:val="-6"/>
                <w:sz w:val="18"/>
                <w:szCs w:val="18"/>
                <w:lang w:val="sk-SK"/>
              </w:rPr>
            </w:pPr>
          </w:p>
        </w:tc>
        <w:tc>
          <w:tcPr>
            <w:tcW w:w="1323" w:type="dxa"/>
            <w:vMerge/>
            <w:vAlign w:val="center"/>
            <w:hideMark/>
          </w:tcPr>
          <w:p w14:paraId="547D4791" w14:textId="77777777" w:rsidR="00302FC1" w:rsidRPr="00AB26B3" w:rsidRDefault="00302FC1">
            <w:pPr>
              <w:spacing w:after="0" w:line="240" w:lineRule="auto"/>
              <w:jc w:val="center"/>
              <w:rPr>
                <w:rFonts w:ascii="Times New Roman" w:eastAsia="Times New Roman" w:hAnsi="Times New Roman" w:cs="Times New Roman"/>
                <w:b/>
                <w:bCs/>
                <w:noProof/>
                <w:spacing w:val="-6"/>
                <w:sz w:val="18"/>
                <w:szCs w:val="18"/>
                <w:lang w:val="sk-SK"/>
              </w:rPr>
            </w:pPr>
          </w:p>
        </w:tc>
        <w:tc>
          <w:tcPr>
            <w:tcW w:w="1469" w:type="dxa"/>
            <w:vMerge/>
            <w:vAlign w:val="center"/>
            <w:hideMark/>
          </w:tcPr>
          <w:p w14:paraId="652F7A30" w14:textId="77777777" w:rsidR="00302FC1" w:rsidRPr="00AB26B3" w:rsidRDefault="00302FC1">
            <w:pPr>
              <w:spacing w:after="0" w:line="240" w:lineRule="auto"/>
              <w:jc w:val="center"/>
              <w:rPr>
                <w:rFonts w:ascii="Times New Roman" w:eastAsia="Times New Roman" w:hAnsi="Times New Roman" w:cs="Times New Roman"/>
                <w:b/>
                <w:bCs/>
                <w:noProof/>
                <w:spacing w:val="-6"/>
                <w:sz w:val="18"/>
                <w:szCs w:val="18"/>
                <w:lang w:val="sk-SK"/>
              </w:rPr>
            </w:pPr>
          </w:p>
        </w:tc>
        <w:tc>
          <w:tcPr>
            <w:tcW w:w="981" w:type="dxa"/>
            <w:shd w:val="clear" w:color="auto" w:fill="BDD7EE"/>
            <w:vAlign w:val="center"/>
            <w:hideMark/>
          </w:tcPr>
          <w:p w14:paraId="696F6E9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2" w:type="dxa"/>
            <w:shd w:val="clear" w:color="auto" w:fill="BDD7EE"/>
            <w:vAlign w:val="center"/>
            <w:hideMark/>
          </w:tcPr>
          <w:p w14:paraId="72F2409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709" w:type="dxa"/>
            <w:shd w:val="clear" w:color="auto" w:fill="BDD7EE"/>
            <w:vAlign w:val="center"/>
            <w:hideMark/>
          </w:tcPr>
          <w:p w14:paraId="52A4C15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996" w:type="dxa"/>
            <w:shd w:val="clear" w:color="auto" w:fill="BDD7EE"/>
            <w:vAlign w:val="center"/>
            <w:hideMark/>
          </w:tcPr>
          <w:p w14:paraId="159AE4D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72495CE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248" w:type="dxa"/>
            <w:vMerge/>
            <w:vAlign w:val="center"/>
            <w:hideMark/>
          </w:tcPr>
          <w:p w14:paraId="037DD32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6DC6F596" w14:textId="77777777">
        <w:trPr>
          <w:trHeight w:val="309"/>
        </w:trPr>
        <w:tc>
          <w:tcPr>
            <w:tcW w:w="708" w:type="dxa"/>
            <w:shd w:val="clear" w:color="auto" w:fill="C6EFCE"/>
            <w:noWrap/>
          </w:tcPr>
          <w:p w14:paraId="1B83A6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133</w:t>
            </w:r>
          </w:p>
        </w:tc>
        <w:tc>
          <w:tcPr>
            <w:tcW w:w="2160" w:type="dxa"/>
            <w:shd w:val="clear" w:color="auto" w:fill="C6EFCE"/>
            <w:noWrap/>
          </w:tcPr>
          <w:p w14:paraId="24911B45" w14:textId="24BADE0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16744_Modernizácia</w:t>
            </w:r>
            <w:r w:rsidR="00AB26B3" w:rsidRPr="00AB26B3">
              <w:rPr>
                <w:noProof/>
                <w:spacing w:val="-6"/>
                <w:lang w:val="sk-SK"/>
              </w:rPr>
              <w:t xml:space="preserve"> a </w:t>
            </w:r>
            <w:r w:rsidRPr="00AB26B3">
              <w:rPr>
                <w:noProof/>
                <w:spacing w:val="-6"/>
                <w:lang w:val="sk-SK"/>
              </w:rPr>
              <w:t>zjednodušenie pracovného práva</w:t>
            </w:r>
          </w:p>
        </w:tc>
        <w:tc>
          <w:tcPr>
            <w:tcW w:w="1151" w:type="dxa"/>
            <w:shd w:val="clear" w:color="auto" w:fill="C6EFCE"/>
            <w:noWrap/>
          </w:tcPr>
          <w:p w14:paraId="6DCFDA5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23" w:type="dxa"/>
            <w:shd w:val="clear" w:color="auto" w:fill="C6EFCE"/>
            <w:noWrap/>
          </w:tcPr>
          <w:p w14:paraId="59F919B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pracovného práva</w:t>
            </w:r>
          </w:p>
        </w:tc>
        <w:tc>
          <w:tcPr>
            <w:tcW w:w="1469" w:type="dxa"/>
            <w:shd w:val="clear" w:color="auto" w:fill="C6EFCE"/>
            <w:noWrap/>
          </w:tcPr>
          <w:p w14:paraId="445D86E2" w14:textId="110D92D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Ustanovenie zákona</w:t>
            </w:r>
            <w:r w:rsidR="00AB26B3" w:rsidRPr="00AB26B3">
              <w:rPr>
                <w:noProof/>
                <w:spacing w:val="-6"/>
                <w:lang w:val="sk-SK"/>
              </w:rPr>
              <w:t xml:space="preserve"> o </w:t>
            </w:r>
            <w:r w:rsidRPr="00AB26B3">
              <w:rPr>
                <w:noProof/>
                <w:spacing w:val="-6"/>
                <w:lang w:val="sk-SK"/>
              </w:rPr>
              <w:t xml:space="preserve">nadobudnutí účinnosti — </w:t>
            </w:r>
          </w:p>
        </w:tc>
        <w:tc>
          <w:tcPr>
            <w:tcW w:w="981" w:type="dxa"/>
            <w:shd w:val="clear" w:color="auto" w:fill="C6EFCE"/>
            <w:noWrap/>
          </w:tcPr>
          <w:p w14:paraId="530C656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1D9B812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71B59ED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6" w:type="dxa"/>
            <w:shd w:val="clear" w:color="auto" w:fill="C6EFCE"/>
            <w:noWrap/>
          </w:tcPr>
          <w:p w14:paraId="5F9C4FE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9" w:type="dxa"/>
            <w:shd w:val="clear" w:color="auto" w:fill="C6EFCE"/>
            <w:noWrap/>
          </w:tcPr>
          <w:p w14:paraId="0AB19BF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248" w:type="dxa"/>
            <w:shd w:val="clear" w:color="auto" w:fill="C6EFCE"/>
            <w:noWrap/>
          </w:tcPr>
          <w:p w14:paraId="5AB85CA4" w14:textId="73D03CD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pracovného práva, ktorým sa modernizuje a) zákon</w:t>
            </w:r>
            <w:r w:rsidR="00AB26B3" w:rsidRPr="00AB26B3">
              <w:rPr>
                <w:noProof/>
                <w:spacing w:val="-6"/>
                <w:lang w:val="sk-SK"/>
              </w:rPr>
              <w:t xml:space="preserve"> o </w:t>
            </w:r>
            <w:r w:rsidRPr="00AB26B3">
              <w:rPr>
                <w:noProof/>
                <w:spacing w:val="-6"/>
                <w:lang w:val="sk-SK"/>
              </w:rPr>
              <w:t>individuálnej práci, b) zákon</w:t>
            </w:r>
            <w:r w:rsidR="00AB26B3" w:rsidRPr="00AB26B3">
              <w:rPr>
                <w:noProof/>
                <w:spacing w:val="-6"/>
                <w:lang w:val="sk-SK"/>
              </w:rPr>
              <w:t xml:space="preserve"> o </w:t>
            </w:r>
            <w:r w:rsidRPr="00AB26B3">
              <w:rPr>
                <w:noProof/>
                <w:spacing w:val="-6"/>
                <w:lang w:val="sk-SK"/>
              </w:rPr>
              <w:t>kolektívnej práci</w:t>
            </w:r>
            <w:r w:rsidR="00AB26B3" w:rsidRPr="00AB26B3">
              <w:rPr>
                <w:noProof/>
                <w:spacing w:val="-6"/>
                <w:lang w:val="sk-SK"/>
              </w:rPr>
              <w:t xml:space="preserve"> a </w:t>
            </w:r>
            <w:r w:rsidRPr="00AB26B3">
              <w:rPr>
                <w:noProof/>
                <w:spacing w:val="-6"/>
                <w:lang w:val="sk-SK"/>
              </w:rPr>
              <w:t>právo odborových zväzov, c) informačný systém ERGANI ministerstva práce, ktorý sa používa na monitorovanie trhu práce</w:t>
            </w:r>
            <w:r w:rsidR="00AB26B3" w:rsidRPr="00AB26B3">
              <w:rPr>
                <w:noProof/>
                <w:spacing w:val="-6"/>
                <w:lang w:val="sk-SK"/>
              </w:rPr>
              <w:t xml:space="preserve"> a </w:t>
            </w:r>
            <w:r w:rsidRPr="00AB26B3">
              <w:rPr>
                <w:noProof/>
                <w:spacing w:val="-6"/>
                <w:lang w:val="sk-SK"/>
              </w:rPr>
              <w:t>odhaľovanie nedeklarovanej</w:t>
            </w:r>
            <w:r w:rsidR="00AB26B3" w:rsidRPr="00AB26B3">
              <w:rPr>
                <w:noProof/>
                <w:spacing w:val="-6"/>
                <w:lang w:val="sk-SK"/>
              </w:rPr>
              <w:t xml:space="preserve"> a </w:t>
            </w:r>
            <w:r w:rsidRPr="00AB26B3">
              <w:rPr>
                <w:noProof/>
                <w:spacing w:val="-6"/>
                <w:lang w:val="sk-SK"/>
              </w:rPr>
              <w:t>nedostatočne deklarovanej práce,</w:t>
            </w:r>
            <w:r w:rsidR="00AB26B3" w:rsidRPr="00AB26B3">
              <w:rPr>
                <w:noProof/>
                <w:spacing w:val="-6"/>
                <w:lang w:val="sk-SK"/>
              </w:rPr>
              <w:t xml:space="preserve"> a </w:t>
            </w:r>
            <w:r w:rsidRPr="00AB26B3">
              <w:rPr>
                <w:noProof/>
                <w:spacing w:val="-6"/>
                <w:lang w:val="sk-SK"/>
              </w:rPr>
              <w:t>d) rámec pre rovnováhu medzi pracovným</w:t>
            </w:r>
            <w:r w:rsidR="00AB26B3" w:rsidRPr="00AB26B3">
              <w:rPr>
                <w:noProof/>
                <w:spacing w:val="-6"/>
                <w:lang w:val="sk-SK"/>
              </w:rPr>
              <w:t xml:space="preserve"> a </w:t>
            </w:r>
            <w:r w:rsidRPr="00AB26B3">
              <w:rPr>
                <w:noProof/>
                <w:spacing w:val="-6"/>
                <w:lang w:val="sk-SK"/>
              </w:rPr>
              <w:t>súkromným životom.</w:t>
            </w:r>
          </w:p>
        </w:tc>
      </w:tr>
      <w:tr w:rsidR="00302FC1" w:rsidRPr="00AB26B3" w14:paraId="35825FA6" w14:textId="77777777">
        <w:trPr>
          <w:trHeight w:val="309"/>
        </w:trPr>
        <w:tc>
          <w:tcPr>
            <w:tcW w:w="708" w:type="dxa"/>
            <w:shd w:val="clear" w:color="auto" w:fill="C6EFCE"/>
            <w:noWrap/>
          </w:tcPr>
          <w:p w14:paraId="04C87EE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134</w:t>
            </w:r>
          </w:p>
        </w:tc>
        <w:tc>
          <w:tcPr>
            <w:tcW w:w="2160" w:type="dxa"/>
            <w:shd w:val="clear" w:color="auto" w:fill="C6EFCE"/>
            <w:noWrap/>
          </w:tcPr>
          <w:p w14:paraId="1AB9C7ED" w14:textId="3CDE4BA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16750_Digitálna transformácia systémov práce</w:t>
            </w:r>
          </w:p>
        </w:tc>
        <w:tc>
          <w:tcPr>
            <w:tcW w:w="1151" w:type="dxa"/>
            <w:shd w:val="clear" w:color="auto" w:fill="C6EFCE"/>
            <w:noWrap/>
          </w:tcPr>
          <w:p w14:paraId="64379EA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23" w:type="dxa"/>
            <w:shd w:val="clear" w:color="auto" w:fill="C6EFCE"/>
            <w:noWrap/>
          </w:tcPr>
          <w:p w14:paraId="44CF0294" w14:textId="0385FCF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Zadávanie zákaziek na pracovné IT systémy</w:t>
            </w:r>
          </w:p>
        </w:tc>
        <w:tc>
          <w:tcPr>
            <w:tcW w:w="1469" w:type="dxa"/>
            <w:shd w:val="clear" w:color="auto" w:fill="C6EFCE"/>
            <w:noWrap/>
          </w:tcPr>
          <w:p w14:paraId="54A2B64A" w14:textId="13AEAC9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981" w:type="dxa"/>
            <w:shd w:val="clear" w:color="auto" w:fill="C6EFCE"/>
            <w:noWrap/>
          </w:tcPr>
          <w:p w14:paraId="01381C8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60AA891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0959CD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6" w:type="dxa"/>
            <w:shd w:val="clear" w:color="auto" w:fill="C6EFCE"/>
            <w:noWrap/>
          </w:tcPr>
          <w:p w14:paraId="551ABDF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7DF75AD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248" w:type="dxa"/>
            <w:shd w:val="clear" w:color="auto" w:fill="C6EFCE"/>
            <w:noWrap/>
          </w:tcPr>
          <w:p w14:paraId="1564D25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zadania zákazky na tieto projekty:</w:t>
            </w:r>
          </w:p>
          <w:p w14:paraId="57E5D3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Jednotný informačný systém na monitorovanie trhu práce (ARIADNE)</w:t>
            </w:r>
          </w:p>
          <w:p w14:paraId="26FC5AC3" w14:textId="1ED5430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Bezpečnosť</w:t>
            </w:r>
            <w:r w:rsidR="00AB26B3" w:rsidRPr="00AB26B3">
              <w:rPr>
                <w:noProof/>
                <w:spacing w:val="-6"/>
                <w:lang w:val="sk-SK"/>
              </w:rPr>
              <w:t xml:space="preserve"> a </w:t>
            </w:r>
            <w:r w:rsidRPr="00AB26B3">
              <w:rPr>
                <w:noProof/>
                <w:spacing w:val="-6"/>
                <w:lang w:val="sk-SK"/>
              </w:rPr>
              <w:t>ochrana zdravia pri práci (HERIDANOS)</w:t>
            </w:r>
          </w:p>
          <w:p w14:paraId="3A32B02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Proces stanovovania zákonnej minimálnej mzdy</w:t>
            </w:r>
          </w:p>
          <w:p w14:paraId="668B83C4" w14:textId="77777777" w:rsidR="00AB26B3" w:rsidRPr="00AB26B3" w:rsidRDefault="00D64F26">
            <w:pPr>
              <w:pStyle w:val="P68B1DB1-Normal12"/>
              <w:spacing w:after="0" w:line="240" w:lineRule="auto"/>
              <w:rPr>
                <w:noProof/>
                <w:spacing w:val="-6"/>
                <w:lang w:val="sk-SK"/>
              </w:rPr>
            </w:pPr>
            <w:r w:rsidRPr="00AB26B3">
              <w:rPr>
                <w:noProof/>
                <w:spacing w:val="-6"/>
                <w:lang w:val="sk-SK"/>
              </w:rPr>
              <w:t>— Digitalizácia histórie poistenia jednotného dôchodkového fondu (e-EFKA)</w:t>
            </w:r>
          </w:p>
          <w:p w14:paraId="1F5A1974" w14:textId="06AE44A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Nový integrovaný informačný systém pre e-EFKA (EFKA IITS)</w:t>
            </w:r>
          </w:p>
          <w:p w14:paraId="5E8F2B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Modernizácia digitálneho systému priznávania dôchodkov (ATLAS)</w:t>
            </w:r>
          </w:p>
        </w:tc>
      </w:tr>
      <w:tr w:rsidR="00302FC1" w:rsidRPr="00AB26B3" w14:paraId="5BD4C63C" w14:textId="77777777">
        <w:trPr>
          <w:trHeight w:val="309"/>
        </w:trPr>
        <w:tc>
          <w:tcPr>
            <w:tcW w:w="708" w:type="dxa"/>
            <w:shd w:val="clear" w:color="auto" w:fill="C6EFCE"/>
            <w:noWrap/>
          </w:tcPr>
          <w:p w14:paraId="659C35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135</w:t>
            </w:r>
          </w:p>
        </w:tc>
        <w:tc>
          <w:tcPr>
            <w:tcW w:w="2160" w:type="dxa"/>
            <w:shd w:val="clear" w:color="auto" w:fill="C6EFCE"/>
            <w:noWrap/>
          </w:tcPr>
          <w:p w14:paraId="34C5F2EB" w14:textId="332C5DE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16942_Digitálna transformácia verejných služieb zamestnanosti (DYPA)</w:t>
            </w:r>
          </w:p>
        </w:tc>
        <w:tc>
          <w:tcPr>
            <w:tcW w:w="1151" w:type="dxa"/>
            <w:shd w:val="clear" w:color="auto" w:fill="C6EFCE"/>
            <w:noWrap/>
          </w:tcPr>
          <w:p w14:paraId="2904EC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23" w:type="dxa"/>
            <w:shd w:val="clear" w:color="auto" w:fill="C6EFCE"/>
            <w:noWrap/>
          </w:tcPr>
          <w:p w14:paraId="3CFB5140" w14:textId="3AA67CA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DYPA Digitalizácia, uchovávanie</w:t>
            </w:r>
            <w:r w:rsidR="00AB26B3" w:rsidRPr="00AB26B3">
              <w:rPr>
                <w:noProof/>
                <w:spacing w:val="-6"/>
                <w:lang w:val="sk-SK"/>
              </w:rPr>
              <w:t xml:space="preserve"> a </w:t>
            </w:r>
            <w:r w:rsidRPr="00AB26B3">
              <w:rPr>
                <w:noProof/>
                <w:spacing w:val="-6"/>
                <w:lang w:val="sk-SK"/>
              </w:rPr>
              <w:t>archivácia archívov</w:t>
            </w:r>
          </w:p>
        </w:tc>
        <w:tc>
          <w:tcPr>
            <w:tcW w:w="1469" w:type="dxa"/>
            <w:shd w:val="clear" w:color="auto" w:fill="C6EFCE"/>
            <w:noWrap/>
          </w:tcPr>
          <w:p w14:paraId="1068D361" w14:textId="20F627C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Osvedčenie</w:t>
            </w:r>
            <w:r w:rsidR="00AB26B3" w:rsidRPr="00AB26B3">
              <w:rPr>
                <w:noProof/>
                <w:spacing w:val="-6"/>
                <w:lang w:val="sk-SK"/>
              </w:rPr>
              <w:t xml:space="preserve"> o </w:t>
            </w:r>
            <w:r w:rsidRPr="00AB26B3">
              <w:rPr>
                <w:noProof/>
                <w:spacing w:val="-6"/>
                <w:lang w:val="sk-SK"/>
              </w:rPr>
              <w:t>prijatí výstupov projektu</w:t>
            </w:r>
          </w:p>
        </w:tc>
        <w:tc>
          <w:tcPr>
            <w:tcW w:w="981" w:type="dxa"/>
            <w:shd w:val="clear" w:color="auto" w:fill="C6EFCE"/>
            <w:noWrap/>
          </w:tcPr>
          <w:p w14:paraId="2081DC8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30F5C19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5F0FBD0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6" w:type="dxa"/>
            <w:shd w:val="clear" w:color="auto" w:fill="C6EFCE"/>
            <w:noWrap/>
          </w:tcPr>
          <w:p w14:paraId="79D492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6B0D14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248" w:type="dxa"/>
            <w:shd w:val="clear" w:color="auto" w:fill="C6EFCE"/>
            <w:noWrap/>
          </w:tcPr>
          <w:p w14:paraId="6FDF127A" w14:textId="2F10733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digitalizácie, uchovávania</w:t>
            </w:r>
            <w:r w:rsidR="00AB26B3" w:rsidRPr="00AB26B3">
              <w:rPr>
                <w:noProof/>
                <w:spacing w:val="-6"/>
                <w:lang w:val="sk-SK"/>
              </w:rPr>
              <w:t xml:space="preserve"> a </w:t>
            </w:r>
            <w:r w:rsidRPr="00AB26B3">
              <w:rPr>
                <w:noProof/>
                <w:spacing w:val="-6"/>
                <w:lang w:val="sk-SK"/>
              </w:rPr>
              <w:t>archivácie archívov DYPA.</w:t>
            </w:r>
          </w:p>
        </w:tc>
      </w:tr>
      <w:tr w:rsidR="00302FC1" w:rsidRPr="00AB26B3" w14:paraId="762D3F86" w14:textId="77777777">
        <w:trPr>
          <w:trHeight w:val="309"/>
        </w:trPr>
        <w:tc>
          <w:tcPr>
            <w:tcW w:w="708" w:type="dxa"/>
            <w:shd w:val="clear" w:color="auto" w:fill="C6EFCE"/>
            <w:noWrap/>
          </w:tcPr>
          <w:p w14:paraId="0CC5C5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135a</w:t>
            </w:r>
          </w:p>
        </w:tc>
        <w:tc>
          <w:tcPr>
            <w:tcW w:w="2160" w:type="dxa"/>
            <w:shd w:val="clear" w:color="auto" w:fill="C6EFCE"/>
            <w:noWrap/>
          </w:tcPr>
          <w:p w14:paraId="1A3BCFE4" w14:textId="7FD921D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16942_Digitálna transformácia verejných služieb zamestnanosti</w:t>
            </w:r>
          </w:p>
        </w:tc>
        <w:tc>
          <w:tcPr>
            <w:tcW w:w="1151" w:type="dxa"/>
            <w:shd w:val="clear" w:color="auto" w:fill="C6EFCE"/>
            <w:noWrap/>
          </w:tcPr>
          <w:p w14:paraId="03A310DC"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323" w:type="dxa"/>
            <w:shd w:val="clear" w:color="auto" w:fill="C6EFCE"/>
            <w:noWrap/>
          </w:tcPr>
          <w:p w14:paraId="21CA6FC9" w14:textId="77777777" w:rsidR="00302FC1" w:rsidRPr="00AB26B3" w:rsidRDefault="00D64F26">
            <w:pPr>
              <w:pStyle w:val="P68B1DB1-Normal12"/>
              <w:spacing w:after="0" w:line="240" w:lineRule="auto"/>
              <w:rPr>
                <w:noProof/>
                <w:spacing w:val="-6"/>
                <w:lang w:val="sk-SK"/>
              </w:rPr>
            </w:pPr>
            <w:r w:rsidRPr="00AB26B3">
              <w:rPr>
                <w:noProof/>
                <w:spacing w:val="-6"/>
                <w:lang w:val="sk-SK"/>
              </w:rPr>
              <w:t>Digitálna transformácia DYPA</w:t>
            </w:r>
          </w:p>
        </w:tc>
        <w:tc>
          <w:tcPr>
            <w:tcW w:w="1469" w:type="dxa"/>
            <w:shd w:val="clear" w:color="auto" w:fill="C6EFCE"/>
            <w:noWrap/>
          </w:tcPr>
          <w:p w14:paraId="6E2F3DC5" w14:textId="0508E04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projektov a, b</w:t>
            </w:r>
            <w:r w:rsidR="00AB26B3" w:rsidRPr="00AB26B3">
              <w:rPr>
                <w:noProof/>
                <w:spacing w:val="-6"/>
                <w:lang w:val="sk-SK"/>
              </w:rPr>
              <w:t xml:space="preserve"> a </w:t>
            </w:r>
            <w:r w:rsidRPr="00AB26B3">
              <w:rPr>
                <w:noProof/>
                <w:spacing w:val="-6"/>
                <w:lang w:val="sk-SK"/>
              </w:rPr>
              <w:t xml:space="preserve">c </w:t>
            </w:r>
          </w:p>
        </w:tc>
        <w:tc>
          <w:tcPr>
            <w:tcW w:w="981" w:type="dxa"/>
            <w:shd w:val="clear" w:color="auto" w:fill="C6EFCE"/>
            <w:noWrap/>
          </w:tcPr>
          <w:p w14:paraId="2561A0E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2D66C55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5AAC708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6" w:type="dxa"/>
            <w:shd w:val="clear" w:color="auto" w:fill="C6EFCE"/>
            <w:noWrap/>
          </w:tcPr>
          <w:p w14:paraId="24656BB8"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709" w:type="dxa"/>
            <w:shd w:val="clear" w:color="auto" w:fill="C6EFCE"/>
            <w:noWrap/>
          </w:tcPr>
          <w:p w14:paraId="61E23DA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248" w:type="dxa"/>
            <w:shd w:val="clear" w:color="auto" w:fill="C6EFCE"/>
            <w:noWrap/>
          </w:tcPr>
          <w:p w14:paraId="65AA113A" w14:textId="77777777" w:rsidR="00AB26B3" w:rsidRPr="00AB26B3" w:rsidRDefault="00D64F26">
            <w:pPr>
              <w:pStyle w:val="P68B1DB1-paragraph35"/>
              <w:spacing w:before="0" w:beforeAutospacing="0" w:after="0" w:afterAutospacing="0"/>
              <w:textAlignment w:val="baseline"/>
              <w:rPr>
                <w:noProof/>
                <w:spacing w:val="-6"/>
                <w:lang w:val="sk-SK"/>
              </w:rPr>
            </w:pPr>
            <w:r w:rsidRPr="00AB26B3">
              <w:rPr>
                <w:noProof/>
                <w:spacing w:val="-6"/>
                <w:lang w:val="sk-SK"/>
              </w:rPr>
              <w:t>Realizácia týchto projektov</w:t>
            </w:r>
            <w:r w:rsidR="00AB26B3" w:rsidRPr="00AB26B3">
              <w:rPr>
                <w:noProof/>
                <w:spacing w:val="-6"/>
                <w:lang w:val="sk-SK"/>
              </w:rPr>
              <w:t>:</w:t>
            </w:r>
          </w:p>
          <w:p w14:paraId="106E01A3" w14:textId="32399230" w:rsidR="00AB26B3" w:rsidRPr="00AB26B3" w:rsidRDefault="00D64F26">
            <w:pPr>
              <w:pStyle w:val="P68B1DB1-paragraph35"/>
              <w:spacing w:before="0" w:beforeAutospacing="0" w:after="0" w:afterAutospacing="0"/>
              <w:textAlignment w:val="baseline"/>
              <w:rPr>
                <w:noProof/>
                <w:spacing w:val="-6"/>
                <w:lang w:val="sk-SK"/>
              </w:rPr>
            </w:pPr>
            <w:r w:rsidRPr="00AB26B3">
              <w:rPr>
                <w:noProof/>
                <w:spacing w:val="-6"/>
                <w:lang w:val="sk-SK"/>
              </w:rPr>
              <w:t>a) nákup IT systémov [OVP OPS, FMIS, HRM, kybernetická bezpečnosť, Chatbot, infraštruktúra virtuálnych stolových počítačov (VDI)]</w:t>
            </w:r>
            <w:r w:rsidR="00AB26B3" w:rsidRPr="00AB26B3">
              <w:rPr>
                <w:noProof/>
                <w:spacing w:val="-6"/>
                <w:lang w:val="sk-SK"/>
              </w:rPr>
              <w:t>;</w:t>
            </w:r>
          </w:p>
          <w:p w14:paraId="3737D81A" w14:textId="64B4BACC" w:rsidR="00302FC1" w:rsidRPr="00AB26B3" w:rsidRDefault="00D64F26">
            <w:pPr>
              <w:pStyle w:val="P68B1DB1-paragraph35"/>
              <w:spacing w:before="0" w:beforeAutospacing="0" w:after="0" w:afterAutospacing="0"/>
              <w:textAlignment w:val="baseline"/>
              <w:rPr>
                <w:noProof/>
                <w:spacing w:val="-6"/>
                <w:lang w:val="sk-SK"/>
              </w:rPr>
            </w:pPr>
            <w:r w:rsidRPr="00AB26B3">
              <w:rPr>
                <w:noProof/>
                <w:spacing w:val="-6"/>
                <w:lang w:val="sk-SK"/>
              </w:rPr>
              <w:t>b) prepracovanie OPS DYPA, nového systému rozhodovania založeného na dôkazoch</w:t>
            </w:r>
            <w:r w:rsidR="00AB26B3" w:rsidRPr="00AB26B3">
              <w:rPr>
                <w:noProof/>
                <w:spacing w:val="-6"/>
                <w:lang w:val="sk-SK"/>
              </w:rPr>
              <w:t xml:space="preserve"> a </w:t>
            </w:r>
            <w:r w:rsidRPr="00AB26B3">
              <w:rPr>
                <w:noProof/>
                <w:spacing w:val="-6"/>
                <w:lang w:val="sk-SK"/>
              </w:rPr>
              <w:t>údajoch;</w:t>
            </w:r>
          </w:p>
          <w:p w14:paraId="746A2F90" w14:textId="3502178F" w:rsidR="00302FC1" w:rsidRPr="00AB26B3" w:rsidRDefault="00D64F26">
            <w:pPr>
              <w:pStyle w:val="P68B1DB1-paragraph35"/>
              <w:spacing w:before="0" w:beforeAutospacing="0" w:after="0" w:afterAutospacing="0"/>
              <w:rPr>
                <w:noProof/>
                <w:spacing w:val="-6"/>
                <w:lang w:val="sk-SK"/>
              </w:rPr>
            </w:pPr>
            <w:r w:rsidRPr="00AB26B3">
              <w:rPr>
                <w:noProof/>
                <w:spacing w:val="-6"/>
                <w:lang w:val="sk-SK"/>
              </w:rPr>
              <w:t>C) Nástroj, ktorý má pomôcť verejným službám zamestnanosti optimalizovať proces zosúlaďovania ponuky</w:t>
            </w:r>
            <w:r w:rsidR="00AB26B3" w:rsidRPr="00AB26B3">
              <w:rPr>
                <w:noProof/>
                <w:spacing w:val="-6"/>
                <w:lang w:val="sk-SK"/>
              </w:rPr>
              <w:t xml:space="preserve"> a </w:t>
            </w:r>
            <w:r w:rsidRPr="00AB26B3">
              <w:rPr>
                <w:noProof/>
                <w:spacing w:val="-6"/>
                <w:lang w:val="sk-SK"/>
              </w:rPr>
              <w:t>dopytu po pracovnej sile.</w:t>
            </w:r>
          </w:p>
          <w:p w14:paraId="28AFAA8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79435206" w14:textId="77777777">
        <w:trPr>
          <w:trHeight w:val="309"/>
        </w:trPr>
        <w:tc>
          <w:tcPr>
            <w:tcW w:w="708" w:type="dxa"/>
            <w:shd w:val="clear" w:color="auto" w:fill="C6EFCE"/>
            <w:noWrap/>
          </w:tcPr>
          <w:p w14:paraId="40EAF303" w14:textId="77777777" w:rsidR="00302FC1" w:rsidRPr="00AB26B3" w:rsidRDefault="00D64F26">
            <w:pPr>
              <w:pStyle w:val="P68B1DB1-Normal24"/>
              <w:spacing w:after="0" w:line="240" w:lineRule="auto"/>
              <w:rPr>
                <w:noProof/>
                <w:spacing w:val="-6"/>
                <w:lang w:val="sk-SK"/>
              </w:rPr>
            </w:pPr>
            <w:r w:rsidRPr="00AB26B3">
              <w:rPr>
                <w:noProof/>
                <w:spacing w:val="-6"/>
                <w:lang w:val="sk-SK"/>
              </w:rPr>
              <w:t>134a</w:t>
            </w:r>
          </w:p>
        </w:tc>
        <w:tc>
          <w:tcPr>
            <w:tcW w:w="2160" w:type="dxa"/>
            <w:shd w:val="clear" w:color="auto" w:fill="C6EFCE"/>
            <w:noWrap/>
          </w:tcPr>
          <w:p w14:paraId="10799355" w14:textId="5BA9008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16750_Digitálna transformácia systémov práce</w:t>
            </w:r>
          </w:p>
        </w:tc>
        <w:tc>
          <w:tcPr>
            <w:tcW w:w="1151" w:type="dxa"/>
            <w:shd w:val="clear" w:color="auto" w:fill="C6EFCE"/>
            <w:noWrap/>
          </w:tcPr>
          <w:p w14:paraId="2315E42B" w14:textId="77777777" w:rsidR="00302FC1" w:rsidRPr="00AB26B3" w:rsidRDefault="00D64F26">
            <w:pPr>
              <w:pStyle w:val="P68B1DB1-Normal24"/>
              <w:spacing w:after="0" w:line="240" w:lineRule="auto"/>
              <w:rPr>
                <w:noProof/>
                <w:spacing w:val="-6"/>
                <w:lang w:val="sk-SK"/>
              </w:rPr>
            </w:pPr>
            <w:r w:rsidRPr="00AB26B3">
              <w:rPr>
                <w:noProof/>
                <w:spacing w:val="-6"/>
                <w:lang w:val="sk-SK"/>
              </w:rPr>
              <w:t>Míľnik</w:t>
            </w:r>
          </w:p>
        </w:tc>
        <w:tc>
          <w:tcPr>
            <w:tcW w:w="1323" w:type="dxa"/>
            <w:shd w:val="clear" w:color="auto" w:fill="C6EFCE"/>
            <w:noWrap/>
          </w:tcPr>
          <w:p w14:paraId="19DF199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Poskytovanie pracovných IT systémov</w:t>
            </w:r>
          </w:p>
        </w:tc>
        <w:tc>
          <w:tcPr>
            <w:tcW w:w="1469" w:type="dxa"/>
            <w:shd w:val="clear" w:color="auto" w:fill="C6EFCE"/>
            <w:noWrap/>
          </w:tcPr>
          <w:p w14:paraId="1EE68DA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Realizácia projektov 1 – 3 </w:t>
            </w:r>
          </w:p>
        </w:tc>
        <w:tc>
          <w:tcPr>
            <w:tcW w:w="981" w:type="dxa"/>
            <w:shd w:val="clear" w:color="auto" w:fill="C6EFCE"/>
            <w:noWrap/>
          </w:tcPr>
          <w:p w14:paraId="0DD41B0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1D1E991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shd w:val="clear" w:color="auto" w:fill="C6EFCE"/>
            <w:noWrap/>
          </w:tcPr>
          <w:p w14:paraId="39E3D94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6" w:type="dxa"/>
            <w:shd w:val="clear" w:color="auto" w:fill="C6EFCE"/>
            <w:noWrap/>
          </w:tcPr>
          <w:p w14:paraId="75125A8B" w14:textId="77777777" w:rsidR="00302FC1" w:rsidRPr="00AB26B3" w:rsidRDefault="00D64F26">
            <w:pPr>
              <w:pStyle w:val="P68B1DB1-Normal24"/>
              <w:spacing w:after="0" w:line="240" w:lineRule="auto"/>
              <w:rPr>
                <w:noProof/>
                <w:spacing w:val="-6"/>
                <w:lang w:val="sk-SK"/>
              </w:rPr>
            </w:pPr>
            <w:r w:rsidRPr="00AB26B3">
              <w:rPr>
                <w:noProof/>
                <w:spacing w:val="-6"/>
                <w:lang w:val="sk-SK"/>
              </w:rPr>
              <w:t>ŠTVRTÝ ŠTVRŤROK</w:t>
            </w:r>
          </w:p>
        </w:tc>
        <w:tc>
          <w:tcPr>
            <w:tcW w:w="709" w:type="dxa"/>
            <w:shd w:val="clear" w:color="auto" w:fill="C6EFCE"/>
            <w:noWrap/>
          </w:tcPr>
          <w:p w14:paraId="5C286EB8" w14:textId="77777777" w:rsidR="00302FC1" w:rsidRPr="00AB26B3" w:rsidRDefault="00D64F26">
            <w:pPr>
              <w:pStyle w:val="P68B1DB1-Normal24"/>
              <w:spacing w:after="0" w:line="240" w:lineRule="auto"/>
              <w:rPr>
                <w:noProof/>
                <w:spacing w:val="-6"/>
                <w:lang w:val="sk-SK"/>
              </w:rPr>
            </w:pPr>
            <w:r w:rsidRPr="00AB26B3">
              <w:rPr>
                <w:noProof/>
                <w:spacing w:val="-6"/>
                <w:lang w:val="sk-SK"/>
              </w:rPr>
              <w:t>2025</w:t>
            </w:r>
          </w:p>
        </w:tc>
        <w:tc>
          <w:tcPr>
            <w:tcW w:w="4248" w:type="dxa"/>
            <w:shd w:val="clear" w:color="auto" w:fill="C6EFCE"/>
            <w:noWrap/>
          </w:tcPr>
          <w:p w14:paraId="162C7C2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týchto projektov:</w:t>
            </w:r>
          </w:p>
          <w:p w14:paraId="43A3F946" w14:textId="77777777" w:rsidR="00302FC1" w:rsidRPr="00AB26B3" w:rsidRDefault="00D64F26">
            <w:pPr>
              <w:pStyle w:val="P68B1DB1-ListParagraph19"/>
              <w:numPr>
                <w:ilvl w:val="0"/>
                <w:numId w:val="22"/>
              </w:numPr>
              <w:spacing w:after="0" w:line="240" w:lineRule="auto"/>
              <w:ind w:left="357" w:hanging="357"/>
              <w:rPr>
                <w:rFonts w:eastAsia="Times New Roman"/>
                <w:noProof/>
                <w:spacing w:val="-6"/>
                <w:lang w:val="sk-SK"/>
              </w:rPr>
            </w:pPr>
            <w:r w:rsidRPr="00AB26B3">
              <w:rPr>
                <w:noProof/>
                <w:spacing w:val="-6"/>
                <w:lang w:val="sk-SK"/>
              </w:rPr>
              <w:t>Jednotný informačný systém na monitorovanie trhu práce (ARIADNE)</w:t>
            </w:r>
          </w:p>
          <w:p w14:paraId="01A57EEF" w14:textId="77777777" w:rsidR="00AB26B3" w:rsidRPr="00AB26B3" w:rsidRDefault="00D64F26">
            <w:pPr>
              <w:pStyle w:val="P68B1DB1-Normal12"/>
              <w:spacing w:after="0" w:line="240" w:lineRule="auto"/>
              <w:ind w:left="357" w:hanging="357"/>
              <w:rPr>
                <w:noProof/>
                <w:spacing w:val="-6"/>
                <w:lang w:val="sk-SK"/>
              </w:rPr>
            </w:pPr>
            <w:r w:rsidRPr="00AB26B3">
              <w:rPr>
                <w:noProof/>
                <w:spacing w:val="-6"/>
                <w:lang w:val="sk-SK"/>
              </w:rPr>
              <w:t>Digitalizácia histórie poistenia jednotného dôchodkového fondu (e-EFKA)</w:t>
            </w:r>
          </w:p>
          <w:p w14:paraId="5DBB65F5" w14:textId="114AE7A6" w:rsidR="00302FC1" w:rsidRPr="00AB26B3" w:rsidRDefault="00D64F26">
            <w:pPr>
              <w:pStyle w:val="P68B1DB1-ListParagraph19"/>
              <w:numPr>
                <w:ilvl w:val="0"/>
                <w:numId w:val="22"/>
              </w:numPr>
              <w:spacing w:after="0" w:line="240" w:lineRule="auto"/>
              <w:ind w:left="357" w:hanging="357"/>
              <w:rPr>
                <w:rFonts w:eastAsia="Times New Roman"/>
                <w:noProof/>
                <w:spacing w:val="-6"/>
                <w:lang w:val="sk-SK"/>
              </w:rPr>
            </w:pPr>
            <w:r w:rsidRPr="00AB26B3">
              <w:rPr>
                <w:noProof/>
                <w:spacing w:val="-6"/>
                <w:lang w:val="sk-SK"/>
              </w:rPr>
              <w:t>— Nový integrovaný informačný systém pre e-EFKA (EFKA IITS) vrátane modernizácie digitálneho systému priznávania dôchodkov (ATLAS)</w:t>
            </w:r>
          </w:p>
        </w:tc>
      </w:tr>
    </w:tbl>
    <w:p w14:paraId="26AEB135" w14:textId="1300AF3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15FC0">
          <w:headerReference w:type="even" r:id="rId150"/>
          <w:headerReference w:type="default" r:id="rId151"/>
          <w:footerReference w:type="even" r:id="rId152"/>
          <w:footerReference w:type="default" r:id="rId153"/>
          <w:headerReference w:type="first" r:id="rId154"/>
          <w:footerReference w:type="first" r:id="rId155"/>
          <w:pgSz w:w="16839" w:h="11907" w:orient="landscape"/>
          <w:pgMar w:top="720" w:right="720" w:bottom="720" w:left="720" w:header="709" w:footer="217" w:gutter="0"/>
          <w:cols w:space="720"/>
          <w:docGrid w:linePitch="360"/>
        </w:sectPr>
      </w:pPr>
    </w:p>
    <w:p w14:paraId="16D11001" w14:textId="28A1121C"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szCs w:val="24"/>
          <w:lang w:val="sk-SK"/>
        </w:rPr>
      </w:pPr>
      <w:r w:rsidRPr="00AB26B3">
        <w:rPr>
          <w:rFonts w:ascii="Times New Roman" w:hAnsi="Times New Roman"/>
          <w:noProof/>
          <w:spacing w:val="-6"/>
          <w:lang w:val="sk-SK"/>
        </w:rPr>
        <w:t>Skupina 11: Podporovať vytváranie pracovných miest</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účasť na trhu práce/vzdelávanie, odborné vzdelávanie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prípravu</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zručnosti – DYPA – reformy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investície</w:t>
      </w:r>
    </w:p>
    <w:p w14:paraId="6D5FB05B" w14:textId="32979300" w:rsidR="00302FC1" w:rsidRPr="00AB26B3" w:rsidRDefault="00D64F26">
      <w:pPr>
        <w:pStyle w:val="P68B1DB1-Normal5"/>
        <w:numPr>
          <w:ilvl w:val="0"/>
          <w:numId w:val="21"/>
        </w:numPr>
        <w:spacing w:before="120" w:after="0" w:line="240" w:lineRule="auto"/>
        <w:jc w:val="both"/>
        <w:rPr>
          <w:rFonts w:cs="Times New Roman"/>
          <w:noProof/>
          <w:spacing w:val="-6"/>
          <w:lang w:val="sk-SK"/>
        </w:rPr>
      </w:pPr>
      <w:r w:rsidRPr="00AB26B3">
        <w:rPr>
          <w:noProof/>
          <w:spacing w:val="-6"/>
          <w:lang w:val="sk-SK"/>
        </w:rPr>
        <w:t>Reštrukturalizácia</w:t>
      </w:r>
      <w:r w:rsidR="00AB26B3" w:rsidRPr="00AB26B3">
        <w:rPr>
          <w:noProof/>
          <w:spacing w:val="-6"/>
          <w:lang w:val="sk-SK"/>
        </w:rPr>
        <w:t xml:space="preserve"> a </w:t>
      </w:r>
      <w:r w:rsidRPr="00AB26B3">
        <w:rPr>
          <w:noProof/>
          <w:spacing w:val="-6"/>
          <w:lang w:val="sk-SK"/>
        </w:rPr>
        <w:t>zmena názvu miestnych pobočiek DYPA na podporu zamestnanosti (KPA2) (ID: 16941)</w:t>
      </w:r>
    </w:p>
    <w:p w14:paraId="0AFD8388" w14:textId="77777777" w:rsidR="00302FC1" w:rsidRPr="00AB26B3" w:rsidRDefault="00D64F26">
      <w:pPr>
        <w:pStyle w:val="P68B1DB1-Normal5"/>
        <w:numPr>
          <w:ilvl w:val="0"/>
          <w:numId w:val="21"/>
        </w:numPr>
        <w:spacing w:before="120" w:after="0" w:line="240" w:lineRule="auto"/>
        <w:jc w:val="both"/>
        <w:rPr>
          <w:rFonts w:cs="Times New Roman"/>
          <w:noProof/>
          <w:spacing w:val="-6"/>
          <w:lang w:val="sk-SK"/>
        </w:rPr>
      </w:pPr>
      <w:r w:rsidRPr="00AB26B3">
        <w:rPr>
          <w:noProof/>
          <w:spacing w:val="-6"/>
          <w:lang w:val="sk-SK"/>
        </w:rPr>
        <w:t>Reforma aktívnych politík trhu práce (ID: 16747)</w:t>
      </w:r>
    </w:p>
    <w:p w14:paraId="3AAB9E3F" w14:textId="77777777" w:rsidR="00302FC1" w:rsidRPr="00AB26B3" w:rsidRDefault="00D64F26">
      <w:pPr>
        <w:pStyle w:val="P68B1DB1-Normal5"/>
        <w:numPr>
          <w:ilvl w:val="0"/>
          <w:numId w:val="21"/>
        </w:numPr>
        <w:spacing w:before="120" w:after="0" w:line="240" w:lineRule="auto"/>
        <w:jc w:val="both"/>
        <w:rPr>
          <w:rFonts w:cs="Times New Roman"/>
          <w:noProof/>
          <w:spacing w:val="-6"/>
          <w:lang w:val="sk-SK"/>
        </w:rPr>
      </w:pPr>
      <w:r w:rsidRPr="00AB26B3">
        <w:rPr>
          <w:noProof/>
          <w:spacing w:val="-6"/>
          <w:lang w:val="sk-SK"/>
        </w:rPr>
        <w:t>Posilnenie systému učňovskej prípravy (ID: 16794)</w:t>
      </w:r>
    </w:p>
    <w:p w14:paraId="64E2A64F" w14:textId="77777777" w:rsidR="00302FC1" w:rsidRPr="00AB26B3" w:rsidRDefault="00D64F26">
      <w:pPr>
        <w:pStyle w:val="P68B1DB1-Normal5"/>
        <w:numPr>
          <w:ilvl w:val="0"/>
          <w:numId w:val="21"/>
        </w:numPr>
        <w:spacing w:before="120" w:after="0" w:line="240" w:lineRule="auto"/>
        <w:jc w:val="both"/>
        <w:rPr>
          <w:rFonts w:cs="Times New Roman"/>
          <w:noProof/>
          <w:spacing w:val="-6"/>
          <w:lang w:val="sk-SK"/>
        </w:rPr>
      </w:pPr>
      <w:r w:rsidRPr="00AB26B3">
        <w:rPr>
          <w:noProof/>
          <w:spacing w:val="-6"/>
          <w:lang w:val="sk-SK"/>
        </w:rPr>
        <w:t>Reforma pasívnych politík trhu práce na podporu prechodu do zamestnania (ID: 16746)</w:t>
      </w:r>
    </w:p>
    <w:p w14:paraId="66131337" w14:textId="115E6D8E" w:rsidR="00302FC1" w:rsidRPr="00AB26B3" w:rsidRDefault="00D64F26">
      <w:pPr>
        <w:pStyle w:val="P68B1DB1-Normal5"/>
        <w:numPr>
          <w:ilvl w:val="0"/>
          <w:numId w:val="21"/>
        </w:numPr>
        <w:spacing w:before="120" w:after="120" w:line="240" w:lineRule="auto"/>
        <w:jc w:val="both"/>
        <w:rPr>
          <w:rFonts w:cs="Times New Roman"/>
          <w:noProof/>
          <w:spacing w:val="-6"/>
          <w:lang w:val="sk-SK"/>
        </w:rPr>
      </w:pPr>
      <w:r w:rsidRPr="00AB26B3">
        <w:rPr>
          <w:noProof/>
          <w:spacing w:val="-6"/>
          <w:lang w:val="sk-SK"/>
        </w:rPr>
        <w:t>Získavanie zručností, rekvalifikácia</w:t>
      </w:r>
      <w:r w:rsidR="00AB26B3" w:rsidRPr="00AB26B3">
        <w:rPr>
          <w:noProof/>
          <w:spacing w:val="-6"/>
          <w:lang w:val="sk-SK"/>
        </w:rPr>
        <w:t xml:space="preserve"> a </w:t>
      </w:r>
      <w:r w:rsidRPr="00AB26B3">
        <w:rPr>
          <w:noProof/>
          <w:spacing w:val="-6"/>
          <w:lang w:val="sk-SK"/>
        </w:rPr>
        <w:t>zvyšovanie úrovne zručností pracovných síl prostredníctvom reformovaného modelu odbornej prípravy (reforma odborného vzdelávania</w:t>
      </w:r>
      <w:r w:rsidR="00AB26B3" w:rsidRPr="00AB26B3">
        <w:rPr>
          <w:noProof/>
          <w:spacing w:val="-6"/>
          <w:lang w:val="sk-SK"/>
        </w:rPr>
        <w:t xml:space="preserve"> a </w:t>
      </w:r>
      <w:r w:rsidRPr="00AB26B3">
        <w:rPr>
          <w:noProof/>
          <w:spacing w:val="-6"/>
          <w:lang w:val="sk-SK"/>
        </w:rPr>
        <w:t>prípravy) (ID: 16792)</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241"/>
        <w:gridCol w:w="1099"/>
        <w:gridCol w:w="1365"/>
        <w:gridCol w:w="1471"/>
        <w:gridCol w:w="1135"/>
        <w:gridCol w:w="924"/>
        <w:gridCol w:w="896"/>
        <w:gridCol w:w="846"/>
        <w:gridCol w:w="783"/>
        <w:gridCol w:w="4156"/>
      </w:tblGrid>
      <w:tr w:rsidR="00302FC1" w:rsidRPr="00AB26B3" w14:paraId="040351EF" w14:textId="77777777">
        <w:trPr>
          <w:trHeight w:val="741"/>
          <w:tblHeader/>
          <w:jc w:val="center"/>
        </w:trPr>
        <w:tc>
          <w:tcPr>
            <w:tcW w:w="672" w:type="dxa"/>
            <w:vMerge w:val="restart"/>
            <w:shd w:val="clear" w:color="auto" w:fill="BDD7EE"/>
            <w:vAlign w:val="center"/>
            <w:hideMark/>
          </w:tcPr>
          <w:p w14:paraId="7F8A730B" w14:textId="0F443FC0"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2241" w:type="dxa"/>
            <w:vMerge w:val="restart"/>
            <w:shd w:val="clear" w:color="auto" w:fill="BDD7EE"/>
            <w:vAlign w:val="center"/>
            <w:hideMark/>
          </w:tcPr>
          <w:p w14:paraId="7D6C7C41"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Súvisiace opatrenie (reforma alebo investícia)</w:t>
            </w:r>
          </w:p>
        </w:tc>
        <w:tc>
          <w:tcPr>
            <w:tcW w:w="1099" w:type="dxa"/>
            <w:vMerge w:val="restart"/>
            <w:shd w:val="clear" w:color="auto" w:fill="BDD7EE"/>
            <w:vAlign w:val="center"/>
            <w:hideMark/>
          </w:tcPr>
          <w:p w14:paraId="45E7D534"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Míľnik/cieľ</w:t>
            </w:r>
          </w:p>
        </w:tc>
        <w:tc>
          <w:tcPr>
            <w:tcW w:w="1365" w:type="dxa"/>
            <w:vMerge w:val="restart"/>
            <w:shd w:val="clear" w:color="auto" w:fill="BDD7EE"/>
            <w:vAlign w:val="center"/>
            <w:hideMark/>
          </w:tcPr>
          <w:p w14:paraId="69EB1503"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Názov</w:t>
            </w:r>
          </w:p>
        </w:tc>
        <w:tc>
          <w:tcPr>
            <w:tcW w:w="1471" w:type="dxa"/>
            <w:vMerge w:val="restart"/>
            <w:shd w:val="clear" w:color="auto" w:fill="BDD7EE"/>
            <w:vAlign w:val="center"/>
            <w:hideMark/>
          </w:tcPr>
          <w:p w14:paraId="7A920E38" w14:textId="0D263D14"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Kvalitatívne ukazovatele  </w:t>
            </w:r>
            <w:r w:rsidRPr="00AB26B3">
              <w:rPr>
                <w:noProof/>
                <w:spacing w:val="-6"/>
                <w:lang w:val="sk-SK"/>
              </w:rPr>
              <w:br/>
              <w:t xml:space="preserve"> (pre míľniky)</w:t>
            </w:r>
          </w:p>
        </w:tc>
        <w:tc>
          <w:tcPr>
            <w:tcW w:w="2955" w:type="dxa"/>
            <w:gridSpan w:val="3"/>
            <w:shd w:val="clear" w:color="auto" w:fill="BDD7EE"/>
            <w:vAlign w:val="center"/>
            <w:hideMark/>
          </w:tcPr>
          <w:p w14:paraId="50387D65" w14:textId="0E97B9BA"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Kvantitatívne ukazovatele (pre ciele)</w:t>
            </w:r>
          </w:p>
        </w:tc>
        <w:tc>
          <w:tcPr>
            <w:tcW w:w="1629" w:type="dxa"/>
            <w:gridSpan w:val="2"/>
            <w:shd w:val="clear" w:color="auto" w:fill="BDD7EE"/>
            <w:vAlign w:val="center"/>
            <w:hideMark/>
          </w:tcPr>
          <w:p w14:paraId="222F59B2"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Orientačný harmonogram dokončenia </w:t>
            </w:r>
          </w:p>
        </w:tc>
        <w:tc>
          <w:tcPr>
            <w:tcW w:w="4156" w:type="dxa"/>
            <w:vMerge w:val="restart"/>
            <w:shd w:val="clear" w:color="auto" w:fill="BDD7EE"/>
            <w:vAlign w:val="center"/>
            <w:hideMark/>
          </w:tcPr>
          <w:p w14:paraId="0D90B884" w14:textId="2D7CC48A"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6D22E57D" w14:textId="77777777">
        <w:trPr>
          <w:trHeight w:val="512"/>
          <w:tblHeader/>
          <w:jc w:val="center"/>
        </w:trPr>
        <w:tc>
          <w:tcPr>
            <w:tcW w:w="672" w:type="dxa"/>
            <w:vMerge/>
            <w:vAlign w:val="center"/>
            <w:hideMark/>
          </w:tcPr>
          <w:p w14:paraId="0E6AF73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241" w:type="dxa"/>
            <w:vMerge/>
            <w:vAlign w:val="center"/>
            <w:hideMark/>
          </w:tcPr>
          <w:p w14:paraId="389AFE6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99" w:type="dxa"/>
            <w:vMerge/>
            <w:vAlign w:val="center"/>
            <w:hideMark/>
          </w:tcPr>
          <w:p w14:paraId="2D1F88B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65" w:type="dxa"/>
            <w:vMerge/>
            <w:vAlign w:val="center"/>
            <w:hideMark/>
          </w:tcPr>
          <w:p w14:paraId="2DCBDA2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71" w:type="dxa"/>
            <w:vMerge/>
            <w:vAlign w:val="center"/>
            <w:hideMark/>
          </w:tcPr>
          <w:p w14:paraId="007BBFB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5" w:type="dxa"/>
            <w:shd w:val="clear" w:color="auto" w:fill="BDD7EE"/>
            <w:vAlign w:val="center"/>
            <w:hideMark/>
          </w:tcPr>
          <w:p w14:paraId="26768AE7"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Merná jednotka</w:t>
            </w:r>
          </w:p>
        </w:tc>
        <w:tc>
          <w:tcPr>
            <w:tcW w:w="924" w:type="dxa"/>
            <w:shd w:val="clear" w:color="auto" w:fill="BDD7EE"/>
            <w:vAlign w:val="center"/>
            <w:hideMark/>
          </w:tcPr>
          <w:p w14:paraId="2CBB74F8"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Základná </w:t>
            </w:r>
          </w:p>
        </w:tc>
        <w:tc>
          <w:tcPr>
            <w:tcW w:w="896" w:type="dxa"/>
            <w:shd w:val="clear" w:color="auto" w:fill="BDD7EE"/>
            <w:vAlign w:val="center"/>
            <w:hideMark/>
          </w:tcPr>
          <w:p w14:paraId="2E832426"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Cieľ </w:t>
            </w:r>
          </w:p>
        </w:tc>
        <w:tc>
          <w:tcPr>
            <w:tcW w:w="846" w:type="dxa"/>
            <w:shd w:val="clear" w:color="auto" w:fill="BDD7EE"/>
            <w:vAlign w:val="center"/>
            <w:hideMark/>
          </w:tcPr>
          <w:p w14:paraId="780EA406"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Štvrtina</w:t>
            </w:r>
          </w:p>
        </w:tc>
        <w:tc>
          <w:tcPr>
            <w:tcW w:w="783" w:type="dxa"/>
            <w:shd w:val="clear" w:color="auto" w:fill="BDD7EE"/>
            <w:vAlign w:val="center"/>
            <w:hideMark/>
          </w:tcPr>
          <w:p w14:paraId="64B7770C"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Rok</w:t>
            </w:r>
          </w:p>
        </w:tc>
        <w:tc>
          <w:tcPr>
            <w:tcW w:w="4156" w:type="dxa"/>
            <w:vMerge/>
            <w:vAlign w:val="center"/>
            <w:hideMark/>
          </w:tcPr>
          <w:p w14:paraId="6D5EE92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28A235E0" w14:textId="77777777">
        <w:trPr>
          <w:trHeight w:val="309"/>
          <w:jc w:val="center"/>
        </w:trPr>
        <w:tc>
          <w:tcPr>
            <w:tcW w:w="672" w:type="dxa"/>
            <w:shd w:val="clear" w:color="auto" w:fill="C6EFCE"/>
            <w:noWrap/>
          </w:tcPr>
          <w:p w14:paraId="6ECADD5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141</w:t>
            </w:r>
          </w:p>
        </w:tc>
        <w:tc>
          <w:tcPr>
            <w:tcW w:w="2241" w:type="dxa"/>
            <w:shd w:val="clear" w:color="auto" w:fill="C6EFCE"/>
            <w:noWrap/>
          </w:tcPr>
          <w:p w14:paraId="7799AF29" w14:textId="64E37C7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16941_Reštrukturalizácia</w:t>
            </w:r>
            <w:r w:rsidR="00AB26B3" w:rsidRPr="00AB26B3">
              <w:rPr>
                <w:noProof/>
                <w:spacing w:val="-6"/>
                <w:lang w:val="sk-SK"/>
              </w:rPr>
              <w:t xml:space="preserve"> a </w:t>
            </w:r>
            <w:r w:rsidRPr="00AB26B3">
              <w:rPr>
                <w:noProof/>
                <w:spacing w:val="-6"/>
                <w:lang w:val="sk-SK"/>
              </w:rPr>
              <w:t>zmena značky miestnych VSZ DYPA (KPA2)</w:t>
            </w:r>
          </w:p>
        </w:tc>
        <w:tc>
          <w:tcPr>
            <w:tcW w:w="1099" w:type="dxa"/>
            <w:shd w:val="clear" w:color="auto" w:fill="C6EFCE"/>
            <w:noWrap/>
          </w:tcPr>
          <w:p w14:paraId="5DE1BB6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65" w:type="dxa"/>
            <w:shd w:val="clear" w:color="auto" w:fill="C6EFCE"/>
            <w:noWrap/>
          </w:tcPr>
          <w:p w14:paraId="37DEE32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DYPA Organizačná reforma nadobudnutie účinnosti právnych predpisov </w:t>
            </w:r>
          </w:p>
        </w:tc>
        <w:tc>
          <w:tcPr>
            <w:tcW w:w="1471" w:type="dxa"/>
            <w:shd w:val="clear" w:color="auto" w:fill="C6EFCE"/>
            <w:noWrap/>
          </w:tcPr>
          <w:p w14:paraId="7CBCA08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právnych predpisov. </w:t>
            </w:r>
          </w:p>
        </w:tc>
        <w:tc>
          <w:tcPr>
            <w:tcW w:w="1135" w:type="dxa"/>
            <w:shd w:val="clear" w:color="auto" w:fill="C6EFCE"/>
            <w:noWrap/>
          </w:tcPr>
          <w:p w14:paraId="6B688EE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4" w:type="dxa"/>
            <w:shd w:val="clear" w:color="auto" w:fill="C6EFCE"/>
            <w:noWrap/>
          </w:tcPr>
          <w:p w14:paraId="253EFEA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6" w:type="dxa"/>
            <w:shd w:val="clear" w:color="auto" w:fill="C6EFCE"/>
            <w:noWrap/>
          </w:tcPr>
          <w:p w14:paraId="7CBAF75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2BAFE62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83" w:type="dxa"/>
            <w:shd w:val="clear" w:color="auto" w:fill="C6EFCE"/>
            <w:noWrap/>
          </w:tcPr>
          <w:p w14:paraId="161D315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156" w:type="dxa"/>
            <w:shd w:val="clear" w:color="auto" w:fill="C6EFCE"/>
            <w:noWrap/>
          </w:tcPr>
          <w:p w14:paraId="78F9F7BE" w14:textId="72300E9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organizačnej reformy Helénskej organizácie pre zamestnanosť pracovnej sily (DYPA), reštrukturalizácia, renovácia</w:t>
            </w:r>
            <w:r w:rsidR="00AB26B3" w:rsidRPr="00AB26B3">
              <w:rPr>
                <w:noProof/>
                <w:spacing w:val="-6"/>
                <w:lang w:val="sk-SK"/>
              </w:rPr>
              <w:t xml:space="preserve"> a </w:t>
            </w:r>
            <w:r w:rsidRPr="00AB26B3">
              <w:rPr>
                <w:noProof/>
                <w:spacing w:val="-6"/>
                <w:lang w:val="sk-SK"/>
              </w:rPr>
              <w:t>zmena značky jej miestnych verejných služieb zamestnanosti</w:t>
            </w:r>
            <w:r w:rsidR="00AB26B3" w:rsidRPr="00AB26B3">
              <w:rPr>
                <w:noProof/>
                <w:spacing w:val="-6"/>
                <w:lang w:val="sk-SK"/>
              </w:rPr>
              <w:t xml:space="preserve"> s </w:t>
            </w:r>
            <w:r w:rsidRPr="00AB26B3">
              <w:rPr>
                <w:noProof/>
                <w:spacing w:val="-6"/>
                <w:lang w:val="sk-SK"/>
              </w:rPr>
              <w:t>cieľom zlepšiť kvalitu, kapacitu</w:t>
            </w:r>
            <w:r w:rsidR="00AB26B3" w:rsidRPr="00AB26B3">
              <w:rPr>
                <w:noProof/>
                <w:spacing w:val="-6"/>
                <w:lang w:val="sk-SK"/>
              </w:rPr>
              <w:t xml:space="preserve"> a </w:t>
            </w:r>
            <w:r w:rsidRPr="00AB26B3">
              <w:rPr>
                <w:noProof/>
                <w:spacing w:val="-6"/>
                <w:lang w:val="sk-SK"/>
              </w:rPr>
              <w:t>účinnosť ponúkaných služieb.</w:t>
            </w:r>
          </w:p>
        </w:tc>
      </w:tr>
      <w:tr w:rsidR="00302FC1" w:rsidRPr="00AB26B3" w14:paraId="0DD988E9" w14:textId="77777777">
        <w:trPr>
          <w:trHeight w:val="309"/>
          <w:jc w:val="center"/>
        </w:trPr>
        <w:tc>
          <w:tcPr>
            <w:tcW w:w="672" w:type="dxa"/>
            <w:shd w:val="clear" w:color="auto" w:fill="C6EFCE"/>
            <w:noWrap/>
          </w:tcPr>
          <w:p w14:paraId="71F9A3F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141a</w:t>
            </w:r>
          </w:p>
        </w:tc>
        <w:tc>
          <w:tcPr>
            <w:tcW w:w="2241" w:type="dxa"/>
            <w:shd w:val="clear" w:color="auto" w:fill="C6EFCE"/>
            <w:noWrap/>
          </w:tcPr>
          <w:p w14:paraId="111459E2" w14:textId="4F69C32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16941_Reštrukturalizácia</w:t>
            </w:r>
            <w:r w:rsidR="00AB26B3" w:rsidRPr="00AB26B3">
              <w:rPr>
                <w:noProof/>
                <w:spacing w:val="-6"/>
                <w:lang w:val="sk-SK"/>
              </w:rPr>
              <w:t xml:space="preserve"> a </w:t>
            </w:r>
            <w:r w:rsidRPr="00AB26B3">
              <w:rPr>
                <w:noProof/>
                <w:spacing w:val="-6"/>
                <w:lang w:val="sk-SK"/>
              </w:rPr>
              <w:t>zmena značky miestnych pobočiek DYPA na podporu zamestnanosti (KPA2)</w:t>
            </w:r>
          </w:p>
        </w:tc>
        <w:tc>
          <w:tcPr>
            <w:tcW w:w="1099" w:type="dxa"/>
            <w:shd w:val="clear" w:color="auto" w:fill="C6EFCE"/>
            <w:noWrap/>
          </w:tcPr>
          <w:p w14:paraId="54C8DF1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65" w:type="dxa"/>
            <w:shd w:val="clear" w:color="auto" w:fill="C6EFCE"/>
            <w:noWrap/>
          </w:tcPr>
          <w:p w14:paraId="39231A5F" w14:textId="77777777" w:rsidR="00302FC1" w:rsidRPr="00AB26B3" w:rsidRDefault="00D64F26">
            <w:pPr>
              <w:pStyle w:val="P68B1DB1-Normal12"/>
              <w:spacing w:after="0" w:line="240" w:lineRule="auto"/>
              <w:rPr>
                <w:noProof/>
                <w:spacing w:val="-6"/>
                <w:lang w:val="sk-SK"/>
              </w:rPr>
            </w:pPr>
            <w:r w:rsidRPr="00AB26B3">
              <w:rPr>
                <w:noProof/>
                <w:spacing w:val="-6"/>
                <w:lang w:val="sk-SK"/>
              </w:rPr>
              <w:t>Renovácia KPA2</w:t>
            </w:r>
          </w:p>
        </w:tc>
        <w:tc>
          <w:tcPr>
            <w:tcW w:w="1471" w:type="dxa"/>
            <w:shd w:val="clear" w:color="auto" w:fill="C6EFCE"/>
            <w:noWrap/>
          </w:tcPr>
          <w:p w14:paraId="12B77E04" w14:textId="77777777" w:rsidR="00302FC1" w:rsidRPr="00AB26B3" w:rsidRDefault="00D64F26">
            <w:pPr>
              <w:pStyle w:val="P68B1DB1-Normal12"/>
              <w:spacing w:after="0" w:line="240" w:lineRule="auto"/>
              <w:rPr>
                <w:noProof/>
                <w:spacing w:val="-6"/>
                <w:lang w:val="sk-SK"/>
              </w:rPr>
            </w:pPr>
            <w:r w:rsidRPr="00AB26B3">
              <w:rPr>
                <w:noProof/>
                <w:spacing w:val="-6"/>
                <w:lang w:val="sk-SK"/>
              </w:rPr>
              <w:t>Realizácia projektu</w:t>
            </w:r>
          </w:p>
        </w:tc>
        <w:tc>
          <w:tcPr>
            <w:tcW w:w="1135" w:type="dxa"/>
            <w:shd w:val="clear" w:color="auto" w:fill="C6EFCE"/>
            <w:noWrap/>
          </w:tcPr>
          <w:p w14:paraId="246A083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4" w:type="dxa"/>
            <w:shd w:val="clear" w:color="auto" w:fill="C6EFCE"/>
            <w:noWrap/>
          </w:tcPr>
          <w:p w14:paraId="12C9F8A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6" w:type="dxa"/>
            <w:shd w:val="clear" w:color="auto" w:fill="C6EFCE"/>
            <w:noWrap/>
          </w:tcPr>
          <w:p w14:paraId="6953F96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5592BD4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83" w:type="dxa"/>
            <w:shd w:val="clear" w:color="auto" w:fill="C6EFCE"/>
            <w:noWrap/>
          </w:tcPr>
          <w:p w14:paraId="7973373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156" w:type="dxa"/>
            <w:shd w:val="clear" w:color="auto" w:fill="C6EFCE"/>
            <w:noWrap/>
          </w:tcPr>
          <w:p w14:paraId="1D31D0BD" w14:textId="77777777" w:rsidR="00AB26B3" w:rsidRPr="00AB26B3" w:rsidRDefault="00D64F26">
            <w:pPr>
              <w:pStyle w:val="P68B1DB1-Normal12"/>
              <w:spacing w:after="0" w:line="240" w:lineRule="auto"/>
              <w:rPr>
                <w:noProof/>
                <w:spacing w:val="-6"/>
                <w:lang w:val="sk-SK"/>
              </w:rPr>
            </w:pPr>
            <w:r w:rsidRPr="00AB26B3">
              <w:rPr>
                <w:noProof/>
                <w:spacing w:val="-6"/>
                <w:lang w:val="sk-SK"/>
              </w:rPr>
              <w:t>Realizácia tohto projektu</w:t>
            </w:r>
            <w:r w:rsidR="00AB26B3" w:rsidRPr="00AB26B3">
              <w:rPr>
                <w:noProof/>
                <w:spacing w:val="-6"/>
                <w:lang w:val="sk-SK"/>
              </w:rPr>
              <w:t>:</w:t>
            </w:r>
          </w:p>
          <w:p w14:paraId="269EEB7A" w14:textId="5E8B3309" w:rsidR="00302FC1" w:rsidRPr="00AB26B3" w:rsidRDefault="00D64F26">
            <w:pPr>
              <w:pStyle w:val="P68B1DB1-Normal12"/>
              <w:spacing w:after="0" w:line="240" w:lineRule="auto"/>
              <w:rPr>
                <w:noProof/>
                <w:spacing w:val="-6"/>
                <w:lang w:val="sk-SK"/>
              </w:rPr>
            </w:pPr>
            <w:r w:rsidRPr="00AB26B3">
              <w:rPr>
                <w:noProof/>
                <w:spacing w:val="-6"/>
                <w:lang w:val="sk-SK"/>
              </w:rPr>
              <w:t>— Obnova budov 40 miestnych pobočiek DYPA na podporu zamestnanosti (KPA2).</w:t>
            </w:r>
          </w:p>
          <w:p w14:paraId="39BC74CC"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092A636A" w14:textId="77777777">
        <w:trPr>
          <w:trHeight w:val="309"/>
          <w:jc w:val="center"/>
        </w:trPr>
        <w:tc>
          <w:tcPr>
            <w:tcW w:w="672" w:type="dxa"/>
            <w:shd w:val="clear" w:color="auto" w:fill="C6EFCE"/>
            <w:noWrap/>
          </w:tcPr>
          <w:p w14:paraId="6D65FB1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142</w:t>
            </w:r>
          </w:p>
        </w:tc>
        <w:tc>
          <w:tcPr>
            <w:tcW w:w="2241" w:type="dxa"/>
            <w:shd w:val="clear" w:color="auto" w:fill="C6EFCE"/>
            <w:noWrap/>
          </w:tcPr>
          <w:p w14:paraId="7C5F17F1" w14:textId="5390172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16746_Reforma pasívnych politík trhu práce na podporu prechodu do zamestnania</w:t>
            </w:r>
          </w:p>
        </w:tc>
        <w:tc>
          <w:tcPr>
            <w:tcW w:w="1099" w:type="dxa"/>
            <w:shd w:val="clear" w:color="auto" w:fill="C6EFCE"/>
            <w:noWrap/>
          </w:tcPr>
          <w:p w14:paraId="6726705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65" w:type="dxa"/>
            <w:shd w:val="clear" w:color="auto" w:fill="C6EFCE"/>
            <w:noWrap/>
          </w:tcPr>
          <w:p w14:paraId="48B16458" w14:textId="77777777" w:rsidR="00302FC1" w:rsidRPr="00AB26B3" w:rsidRDefault="00D64F26">
            <w:pPr>
              <w:pStyle w:val="P68B1DB1-Normal12"/>
              <w:spacing w:after="0" w:line="240" w:lineRule="auto"/>
              <w:rPr>
                <w:rFonts w:eastAsia="Times New Roman"/>
                <w:noProof/>
                <w:spacing w:val="-6"/>
                <w:highlight w:val="yellow"/>
                <w:lang w:val="sk-SK"/>
              </w:rPr>
            </w:pPr>
            <w:r w:rsidRPr="00AB26B3">
              <w:rPr>
                <w:noProof/>
                <w:spacing w:val="-6"/>
                <w:lang w:val="sk-SK"/>
              </w:rPr>
              <w:t xml:space="preserve">Reforma rámca vzájomných záväzkov nadobudnutie účinnosti právnych predpisov </w:t>
            </w:r>
          </w:p>
        </w:tc>
        <w:tc>
          <w:tcPr>
            <w:tcW w:w="1471" w:type="dxa"/>
            <w:shd w:val="clear" w:color="auto" w:fill="C6EFCE"/>
            <w:noWrap/>
          </w:tcPr>
          <w:p w14:paraId="586365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p>
        </w:tc>
        <w:tc>
          <w:tcPr>
            <w:tcW w:w="1135" w:type="dxa"/>
            <w:shd w:val="clear" w:color="auto" w:fill="C6EFCE"/>
            <w:noWrap/>
          </w:tcPr>
          <w:p w14:paraId="783AB28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4" w:type="dxa"/>
            <w:shd w:val="clear" w:color="auto" w:fill="C6EFCE"/>
            <w:noWrap/>
          </w:tcPr>
          <w:p w14:paraId="7EE0A22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6" w:type="dxa"/>
            <w:shd w:val="clear" w:color="auto" w:fill="C6EFCE"/>
            <w:noWrap/>
          </w:tcPr>
          <w:p w14:paraId="0AB90D8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7848D4C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83" w:type="dxa"/>
            <w:shd w:val="clear" w:color="auto" w:fill="C6EFCE"/>
            <w:noWrap/>
          </w:tcPr>
          <w:p w14:paraId="1D179CE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156" w:type="dxa"/>
            <w:shd w:val="clear" w:color="auto" w:fill="C6EFCE"/>
            <w:noWrap/>
          </w:tcPr>
          <w:p w14:paraId="2DEA1B69" w14:textId="0496587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 na reformu rámca vzájomných záväzkov,</w:t>
            </w:r>
            <w:r w:rsidR="00AB26B3" w:rsidRPr="00AB26B3">
              <w:rPr>
                <w:noProof/>
                <w:spacing w:val="-6"/>
                <w:lang w:val="sk-SK"/>
              </w:rPr>
              <w:t xml:space="preserve"> v </w:t>
            </w:r>
            <w:r w:rsidRPr="00AB26B3">
              <w:rPr>
                <w:noProof/>
                <w:spacing w:val="-6"/>
                <w:lang w:val="sk-SK"/>
              </w:rPr>
              <w:t>ktorom sa stanovuje vzťah medzi verejnými službami zamestnanosti (VSZ)</w:t>
            </w:r>
            <w:r w:rsidR="00AB26B3" w:rsidRPr="00AB26B3">
              <w:rPr>
                <w:noProof/>
                <w:spacing w:val="-6"/>
                <w:lang w:val="sk-SK"/>
              </w:rPr>
              <w:t xml:space="preserve"> a </w:t>
            </w:r>
            <w:r w:rsidRPr="00AB26B3">
              <w:rPr>
                <w:noProof/>
                <w:spacing w:val="-6"/>
                <w:lang w:val="sk-SK"/>
              </w:rPr>
              <w:t>uchádzačom</w:t>
            </w:r>
            <w:r w:rsidR="00AB26B3" w:rsidRPr="00AB26B3">
              <w:rPr>
                <w:noProof/>
                <w:spacing w:val="-6"/>
                <w:lang w:val="sk-SK"/>
              </w:rPr>
              <w:t xml:space="preserve"> o </w:t>
            </w:r>
            <w:r w:rsidRPr="00AB26B3">
              <w:rPr>
                <w:noProof/>
                <w:spacing w:val="-6"/>
                <w:lang w:val="sk-SK"/>
              </w:rPr>
              <w:t>zamestnanie. Reforma bude okrem iného zahŕňať nové vymedzenie aktívneho hľadania zamestnania</w:t>
            </w:r>
            <w:r w:rsidR="00AB26B3" w:rsidRPr="00AB26B3">
              <w:rPr>
                <w:noProof/>
                <w:spacing w:val="-6"/>
                <w:lang w:val="sk-SK"/>
              </w:rPr>
              <w:t xml:space="preserve"> a </w:t>
            </w:r>
            <w:r w:rsidRPr="00AB26B3">
              <w:rPr>
                <w:noProof/>
                <w:spacing w:val="-6"/>
                <w:lang w:val="sk-SK"/>
              </w:rPr>
              <w:t>sankcií pre nezamestnaných, ktorí nedodržiavajú nové pravidlá.</w:t>
            </w:r>
          </w:p>
        </w:tc>
      </w:tr>
      <w:tr w:rsidR="00302FC1" w:rsidRPr="00AB26B3" w14:paraId="2577C20F" w14:textId="77777777">
        <w:trPr>
          <w:trHeight w:val="309"/>
          <w:jc w:val="center"/>
        </w:trPr>
        <w:tc>
          <w:tcPr>
            <w:tcW w:w="672" w:type="dxa"/>
            <w:shd w:val="clear" w:color="auto" w:fill="C6EFCE"/>
            <w:noWrap/>
          </w:tcPr>
          <w:p w14:paraId="0CE9330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142a</w:t>
            </w:r>
          </w:p>
        </w:tc>
        <w:tc>
          <w:tcPr>
            <w:tcW w:w="2241" w:type="dxa"/>
            <w:shd w:val="clear" w:color="auto" w:fill="C6EFCE"/>
            <w:noWrap/>
          </w:tcPr>
          <w:p w14:paraId="69578043" w14:textId="39CF46D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16746_Reforma pasívnych politík trhu práce na podporu prechodu do zamestnania</w:t>
            </w:r>
          </w:p>
        </w:tc>
        <w:tc>
          <w:tcPr>
            <w:tcW w:w="1099" w:type="dxa"/>
            <w:shd w:val="clear" w:color="auto" w:fill="C6EFCE"/>
            <w:noWrap/>
          </w:tcPr>
          <w:p w14:paraId="5CE079A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65" w:type="dxa"/>
            <w:shd w:val="clear" w:color="auto" w:fill="C6EFCE"/>
            <w:noWrap/>
          </w:tcPr>
          <w:p w14:paraId="2AA90545" w14:textId="4BCAC36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Právne predpisy</w:t>
            </w:r>
            <w:r w:rsidR="00AB26B3" w:rsidRPr="00AB26B3">
              <w:rPr>
                <w:noProof/>
                <w:spacing w:val="-6"/>
                <w:lang w:val="sk-SK"/>
              </w:rPr>
              <w:t xml:space="preserve"> o </w:t>
            </w:r>
            <w:r w:rsidRPr="00AB26B3">
              <w:rPr>
                <w:noProof/>
                <w:spacing w:val="-6"/>
                <w:lang w:val="sk-SK"/>
              </w:rPr>
              <w:t>dávkach</w:t>
            </w:r>
            <w:r w:rsidR="00AB26B3" w:rsidRPr="00AB26B3">
              <w:rPr>
                <w:noProof/>
                <w:spacing w:val="-6"/>
                <w:lang w:val="sk-SK"/>
              </w:rPr>
              <w:t xml:space="preserve"> v </w:t>
            </w:r>
            <w:r w:rsidRPr="00AB26B3">
              <w:rPr>
                <w:noProof/>
                <w:spacing w:val="-6"/>
                <w:lang w:val="sk-SK"/>
              </w:rPr>
              <w:t>nezamestnanosti</w:t>
            </w:r>
            <w:r w:rsidR="00AB26B3" w:rsidRPr="00AB26B3">
              <w:rPr>
                <w:noProof/>
                <w:spacing w:val="-6"/>
                <w:lang w:val="sk-SK"/>
              </w:rPr>
              <w:t xml:space="preserve"> a </w:t>
            </w:r>
            <w:r w:rsidRPr="00AB26B3">
              <w:rPr>
                <w:noProof/>
                <w:spacing w:val="-6"/>
                <w:lang w:val="sk-SK"/>
              </w:rPr>
              <w:t>dávkach</w:t>
            </w:r>
            <w:r w:rsidR="00AB26B3" w:rsidRPr="00AB26B3">
              <w:rPr>
                <w:noProof/>
                <w:spacing w:val="-6"/>
                <w:lang w:val="sk-SK"/>
              </w:rPr>
              <w:t xml:space="preserve"> v </w:t>
            </w:r>
            <w:r w:rsidRPr="00AB26B3">
              <w:rPr>
                <w:noProof/>
                <w:spacing w:val="-6"/>
                <w:lang w:val="sk-SK"/>
              </w:rPr>
              <w:t xml:space="preserve">nezamestnanosti </w:t>
            </w:r>
          </w:p>
        </w:tc>
        <w:tc>
          <w:tcPr>
            <w:tcW w:w="1471" w:type="dxa"/>
            <w:shd w:val="clear" w:color="auto" w:fill="C6EFCE"/>
            <w:noWrap/>
          </w:tcPr>
          <w:p w14:paraId="313BE19D" w14:textId="77777777" w:rsidR="00302FC1" w:rsidRPr="00AB26B3" w:rsidRDefault="00D64F26">
            <w:pPr>
              <w:pStyle w:val="P68B1DB1-Normal12"/>
              <w:spacing w:after="0" w:line="240" w:lineRule="auto"/>
              <w:rPr>
                <w:noProof/>
                <w:spacing w:val="-6"/>
                <w:lang w:val="sk-SK"/>
              </w:rPr>
            </w:pPr>
            <w:r w:rsidRPr="00AB26B3">
              <w:rPr>
                <w:noProof/>
                <w:spacing w:val="-6"/>
                <w:lang w:val="sk-SK"/>
              </w:rPr>
              <w:t>Nadobudnutie účinnosti právnych predpisov.</w:t>
            </w:r>
          </w:p>
          <w:p w14:paraId="614B0AB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5" w:type="dxa"/>
            <w:shd w:val="clear" w:color="auto" w:fill="C6EFCE"/>
            <w:noWrap/>
          </w:tcPr>
          <w:p w14:paraId="16E60D2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4" w:type="dxa"/>
            <w:shd w:val="clear" w:color="auto" w:fill="C6EFCE"/>
            <w:noWrap/>
          </w:tcPr>
          <w:p w14:paraId="12937DB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6" w:type="dxa"/>
            <w:shd w:val="clear" w:color="auto" w:fill="C6EFCE"/>
            <w:noWrap/>
          </w:tcPr>
          <w:p w14:paraId="3F4B9D1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52D5741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83" w:type="dxa"/>
            <w:shd w:val="clear" w:color="auto" w:fill="C6EFCE"/>
            <w:noWrap/>
          </w:tcPr>
          <w:p w14:paraId="61D4355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156" w:type="dxa"/>
            <w:shd w:val="clear" w:color="auto" w:fill="C6EFCE"/>
            <w:noWrap/>
          </w:tcPr>
          <w:p w14:paraId="250ECB95" w14:textId="3F52C4B6" w:rsidR="00302FC1" w:rsidRPr="00AB26B3" w:rsidRDefault="00D64F26">
            <w:pPr>
              <w:pStyle w:val="P68B1DB1-paragraph35"/>
              <w:spacing w:before="0" w:beforeAutospacing="0" w:after="0" w:afterAutospacing="0"/>
              <w:textAlignment w:val="baseline"/>
              <w:rPr>
                <w:noProof/>
                <w:spacing w:val="-6"/>
                <w:lang w:val="sk-SK"/>
              </w:rPr>
            </w:pPr>
            <w:r w:rsidRPr="00AB26B3">
              <w:rPr>
                <w:noProof/>
                <w:spacing w:val="-6"/>
                <w:lang w:val="sk-SK"/>
              </w:rPr>
              <w:t>Nadobudnutie účinnosti právnych predpisov na konsolidáciu</w:t>
            </w:r>
            <w:r w:rsidR="00AB26B3" w:rsidRPr="00AB26B3">
              <w:rPr>
                <w:noProof/>
                <w:spacing w:val="-6"/>
                <w:lang w:val="sk-SK"/>
              </w:rPr>
              <w:t xml:space="preserve"> a </w:t>
            </w:r>
            <w:r w:rsidRPr="00AB26B3">
              <w:rPr>
                <w:noProof/>
                <w:spacing w:val="-6"/>
                <w:lang w:val="sk-SK"/>
              </w:rPr>
              <w:t>zefektívnenie dávok</w:t>
            </w:r>
            <w:r w:rsidR="00AB26B3" w:rsidRPr="00AB26B3">
              <w:rPr>
                <w:noProof/>
                <w:spacing w:val="-6"/>
                <w:lang w:val="sk-SK"/>
              </w:rPr>
              <w:t xml:space="preserve"> v </w:t>
            </w:r>
            <w:r w:rsidRPr="00AB26B3">
              <w:rPr>
                <w:noProof/>
                <w:spacing w:val="-6"/>
                <w:lang w:val="sk-SK"/>
              </w:rPr>
              <w:t>nezamestnanosti</w:t>
            </w:r>
            <w:r w:rsidR="00AB26B3" w:rsidRPr="00AB26B3">
              <w:rPr>
                <w:noProof/>
                <w:spacing w:val="-6"/>
                <w:lang w:val="sk-SK"/>
              </w:rPr>
              <w:t xml:space="preserve"> a </w:t>
            </w:r>
            <w:r w:rsidRPr="00AB26B3">
              <w:rPr>
                <w:noProof/>
                <w:spacing w:val="-6"/>
                <w:lang w:val="sk-SK"/>
              </w:rPr>
              <w:t>dávok</w:t>
            </w:r>
            <w:r w:rsidR="00AB26B3" w:rsidRPr="00AB26B3">
              <w:rPr>
                <w:noProof/>
                <w:spacing w:val="-6"/>
                <w:lang w:val="sk-SK"/>
              </w:rPr>
              <w:t xml:space="preserve"> v </w:t>
            </w:r>
            <w:r w:rsidRPr="00AB26B3">
              <w:rPr>
                <w:noProof/>
                <w:spacing w:val="-6"/>
                <w:lang w:val="sk-SK"/>
              </w:rPr>
              <w:t>nezamestnanosti</w:t>
            </w:r>
            <w:r w:rsidR="00AB26B3" w:rsidRPr="00AB26B3">
              <w:rPr>
                <w:noProof/>
                <w:spacing w:val="-6"/>
                <w:lang w:val="sk-SK"/>
              </w:rPr>
              <w:t xml:space="preserve"> a </w:t>
            </w:r>
            <w:r w:rsidRPr="00AB26B3">
              <w:rPr>
                <w:noProof/>
                <w:spacing w:val="-6"/>
                <w:lang w:val="sk-SK"/>
              </w:rPr>
              <w:t>na odstránenie prekážok zvyšovania úrovne zručností/rekvalifikácie nezamestnaných zachovaním ich nároku na dávky</w:t>
            </w:r>
            <w:r w:rsidR="00AB26B3" w:rsidRPr="00AB26B3">
              <w:rPr>
                <w:noProof/>
                <w:spacing w:val="-6"/>
                <w:lang w:val="sk-SK"/>
              </w:rPr>
              <w:t xml:space="preserve"> v </w:t>
            </w:r>
            <w:r w:rsidRPr="00AB26B3">
              <w:rPr>
                <w:noProof/>
                <w:spacing w:val="-6"/>
                <w:lang w:val="sk-SK"/>
              </w:rPr>
              <w:t>nezamestnanosti počas účasti na odbornej príprave.</w:t>
            </w:r>
          </w:p>
          <w:p w14:paraId="43A4D477" w14:textId="77777777" w:rsidR="00302FC1" w:rsidRPr="00AB26B3" w:rsidRDefault="00302FC1">
            <w:pPr>
              <w:pStyle w:val="paragraph"/>
              <w:spacing w:before="0" w:beforeAutospacing="0" w:after="0" w:afterAutospacing="0"/>
              <w:textAlignment w:val="baseline"/>
              <w:rPr>
                <w:noProof/>
                <w:color w:val="006100"/>
                <w:spacing w:val="-6"/>
                <w:sz w:val="18"/>
                <w:szCs w:val="18"/>
                <w:lang w:val="sk-SK"/>
              </w:rPr>
            </w:pPr>
          </w:p>
        </w:tc>
      </w:tr>
      <w:tr w:rsidR="00302FC1" w:rsidRPr="00AB26B3" w14:paraId="0DD3A2E1" w14:textId="77777777">
        <w:trPr>
          <w:trHeight w:val="309"/>
          <w:jc w:val="center"/>
        </w:trPr>
        <w:tc>
          <w:tcPr>
            <w:tcW w:w="672" w:type="dxa"/>
            <w:shd w:val="clear" w:color="auto" w:fill="C6EFCE"/>
            <w:noWrap/>
          </w:tcPr>
          <w:p w14:paraId="7E5C7158" w14:textId="77777777" w:rsidR="00302FC1" w:rsidRPr="00AB26B3" w:rsidRDefault="00D64F26">
            <w:pPr>
              <w:pStyle w:val="P68B1DB1-Normal12"/>
              <w:spacing w:after="0" w:line="240" w:lineRule="auto"/>
              <w:rPr>
                <w:noProof/>
                <w:spacing w:val="-6"/>
                <w:lang w:val="sk-SK"/>
              </w:rPr>
            </w:pPr>
            <w:r w:rsidRPr="00AB26B3">
              <w:rPr>
                <w:noProof/>
                <w:spacing w:val="-6"/>
                <w:lang w:val="sk-SK"/>
              </w:rPr>
              <w:t>142b</w:t>
            </w:r>
          </w:p>
        </w:tc>
        <w:tc>
          <w:tcPr>
            <w:tcW w:w="2241" w:type="dxa"/>
            <w:shd w:val="clear" w:color="auto" w:fill="C6EFCE"/>
            <w:noWrap/>
          </w:tcPr>
          <w:p w14:paraId="3B752A24" w14:textId="7AF21C7A" w:rsidR="00302FC1" w:rsidRPr="00AB26B3" w:rsidRDefault="00D64F26">
            <w:pPr>
              <w:pStyle w:val="P68B1DB1-Normal12"/>
              <w:spacing w:after="0" w:line="240" w:lineRule="auto"/>
              <w:rPr>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16746_Reforma pasívnych politík trhu práce na podporu prechodu do zamestnania</w:t>
            </w:r>
          </w:p>
        </w:tc>
        <w:tc>
          <w:tcPr>
            <w:tcW w:w="1099" w:type="dxa"/>
            <w:shd w:val="clear" w:color="auto" w:fill="C6EFCE"/>
            <w:noWrap/>
          </w:tcPr>
          <w:p w14:paraId="18DE7395"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365" w:type="dxa"/>
            <w:shd w:val="clear" w:color="auto" w:fill="C6EFCE"/>
            <w:noWrap/>
          </w:tcPr>
          <w:p w14:paraId="2904E011" w14:textId="42C74376" w:rsidR="00302FC1" w:rsidRPr="00AB26B3" w:rsidRDefault="00D64F26">
            <w:pPr>
              <w:pStyle w:val="P68B1DB1-Normal12"/>
              <w:spacing w:after="0" w:line="240" w:lineRule="auto"/>
              <w:rPr>
                <w:noProof/>
                <w:spacing w:val="-6"/>
                <w:lang w:val="sk-SK"/>
              </w:rPr>
            </w:pPr>
            <w:r w:rsidRPr="00AB26B3">
              <w:rPr>
                <w:noProof/>
                <w:spacing w:val="-6"/>
                <w:lang w:val="sk-SK"/>
              </w:rPr>
              <w:t>Pilotný projekt týkajúci sa konsolidácie</w:t>
            </w:r>
            <w:r w:rsidR="00AB26B3" w:rsidRPr="00AB26B3">
              <w:rPr>
                <w:noProof/>
                <w:spacing w:val="-6"/>
                <w:lang w:val="sk-SK"/>
              </w:rPr>
              <w:t xml:space="preserve"> a </w:t>
            </w:r>
            <w:r w:rsidRPr="00AB26B3">
              <w:rPr>
                <w:noProof/>
                <w:spacing w:val="-6"/>
                <w:lang w:val="sk-SK"/>
              </w:rPr>
              <w:t>zefektívnenia dávok</w:t>
            </w:r>
            <w:r w:rsidR="00AB26B3" w:rsidRPr="00AB26B3">
              <w:rPr>
                <w:noProof/>
                <w:spacing w:val="-6"/>
                <w:lang w:val="sk-SK"/>
              </w:rPr>
              <w:t xml:space="preserve"> v </w:t>
            </w:r>
            <w:r w:rsidRPr="00AB26B3">
              <w:rPr>
                <w:noProof/>
                <w:spacing w:val="-6"/>
                <w:lang w:val="sk-SK"/>
              </w:rPr>
              <w:t>nezamestnanosti</w:t>
            </w:r>
          </w:p>
        </w:tc>
        <w:tc>
          <w:tcPr>
            <w:tcW w:w="1471" w:type="dxa"/>
            <w:shd w:val="clear" w:color="auto" w:fill="C6EFCE"/>
            <w:noWrap/>
          </w:tcPr>
          <w:p w14:paraId="3B14A3D9" w14:textId="77777777" w:rsidR="00302FC1" w:rsidRPr="00AB26B3" w:rsidRDefault="00D64F26">
            <w:pPr>
              <w:pStyle w:val="P68B1DB1-Normal12"/>
              <w:spacing w:after="0" w:line="240" w:lineRule="auto"/>
              <w:rPr>
                <w:noProof/>
                <w:spacing w:val="-6"/>
                <w:lang w:val="sk-SK"/>
              </w:rPr>
            </w:pPr>
            <w:r w:rsidRPr="00AB26B3">
              <w:rPr>
                <w:noProof/>
                <w:spacing w:val="-6"/>
                <w:lang w:val="sk-SK"/>
              </w:rPr>
              <w:t>Realizácia pilotného projektu</w:t>
            </w:r>
          </w:p>
        </w:tc>
        <w:tc>
          <w:tcPr>
            <w:tcW w:w="1135" w:type="dxa"/>
            <w:shd w:val="clear" w:color="auto" w:fill="C6EFCE"/>
            <w:noWrap/>
          </w:tcPr>
          <w:p w14:paraId="21DE941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4" w:type="dxa"/>
            <w:shd w:val="clear" w:color="auto" w:fill="C6EFCE"/>
            <w:noWrap/>
          </w:tcPr>
          <w:p w14:paraId="72E45BD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6" w:type="dxa"/>
            <w:shd w:val="clear" w:color="auto" w:fill="C6EFCE"/>
            <w:noWrap/>
          </w:tcPr>
          <w:p w14:paraId="3DA55D3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0BF5F3B4"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83" w:type="dxa"/>
            <w:shd w:val="clear" w:color="auto" w:fill="C6EFCE"/>
            <w:noWrap/>
          </w:tcPr>
          <w:p w14:paraId="7593095E"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4156" w:type="dxa"/>
            <w:shd w:val="clear" w:color="auto" w:fill="C6EFCE"/>
            <w:noWrap/>
          </w:tcPr>
          <w:p w14:paraId="24DB5835" w14:textId="7D644214" w:rsidR="00302FC1" w:rsidRPr="00AB26B3" w:rsidRDefault="00D64F26">
            <w:pPr>
              <w:pStyle w:val="P68B1DB1-Normal12"/>
              <w:spacing w:after="0" w:line="240" w:lineRule="auto"/>
              <w:rPr>
                <w:noProof/>
                <w:spacing w:val="-6"/>
                <w:lang w:val="sk-SK"/>
              </w:rPr>
            </w:pPr>
            <w:r w:rsidRPr="00AB26B3">
              <w:rPr>
                <w:noProof/>
                <w:spacing w:val="-6"/>
                <w:lang w:val="sk-SK"/>
              </w:rPr>
              <w:t>Realizácia pilotného projektu,</w:t>
            </w:r>
            <w:r w:rsidR="00AB26B3" w:rsidRPr="00AB26B3">
              <w:rPr>
                <w:noProof/>
                <w:spacing w:val="-6"/>
                <w:lang w:val="sk-SK"/>
              </w:rPr>
              <w:t xml:space="preserve"> v </w:t>
            </w:r>
            <w:r w:rsidRPr="00AB26B3">
              <w:rPr>
                <w:noProof/>
                <w:spacing w:val="-6"/>
                <w:lang w:val="sk-SK"/>
              </w:rPr>
              <w:t>rámci ktorého sa bude uplatňovať indexácia kombinovaných dávok</w:t>
            </w:r>
            <w:r w:rsidR="00AB26B3" w:rsidRPr="00AB26B3">
              <w:rPr>
                <w:noProof/>
                <w:spacing w:val="-6"/>
                <w:lang w:val="sk-SK"/>
              </w:rPr>
              <w:t xml:space="preserve"> v </w:t>
            </w:r>
            <w:r w:rsidRPr="00AB26B3">
              <w:rPr>
                <w:noProof/>
                <w:spacing w:val="-6"/>
                <w:lang w:val="sk-SK"/>
              </w:rPr>
              <w:t xml:space="preserve">nezamestnanosti na najnovšiu úroveň dennej čistej mzdy. </w:t>
            </w:r>
          </w:p>
        </w:tc>
      </w:tr>
      <w:tr w:rsidR="00302FC1" w:rsidRPr="00AB26B3" w14:paraId="49692B21" w14:textId="77777777">
        <w:trPr>
          <w:trHeight w:val="309"/>
          <w:jc w:val="center"/>
        </w:trPr>
        <w:tc>
          <w:tcPr>
            <w:tcW w:w="672" w:type="dxa"/>
            <w:shd w:val="clear" w:color="auto" w:fill="C6EFCE"/>
            <w:noWrap/>
          </w:tcPr>
          <w:p w14:paraId="0B1C39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144</w:t>
            </w:r>
          </w:p>
        </w:tc>
        <w:tc>
          <w:tcPr>
            <w:tcW w:w="2241" w:type="dxa"/>
            <w:shd w:val="clear" w:color="auto" w:fill="C6EFCE"/>
            <w:noWrap/>
          </w:tcPr>
          <w:p w14:paraId="54C395BB" w14:textId="05D58EDE" w:rsidR="00302FC1" w:rsidRPr="00AB26B3" w:rsidRDefault="00D64F26">
            <w:pPr>
              <w:pStyle w:val="P68B1DB1-Normal12"/>
              <w:spacing w:after="0" w:line="240" w:lineRule="auto"/>
              <w:rPr>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16747</w:t>
            </w:r>
          </w:p>
          <w:p w14:paraId="6E5413E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_Reforma aktívnych politík trhu práce</w:t>
            </w:r>
          </w:p>
        </w:tc>
        <w:tc>
          <w:tcPr>
            <w:tcW w:w="1099" w:type="dxa"/>
            <w:shd w:val="clear" w:color="auto" w:fill="C6EFCE"/>
            <w:noWrap/>
          </w:tcPr>
          <w:p w14:paraId="2A8B7CA0"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365" w:type="dxa"/>
            <w:shd w:val="clear" w:color="auto" w:fill="C6EFCE"/>
            <w:noWrap/>
          </w:tcPr>
          <w:p w14:paraId="4438D087" w14:textId="04C4932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programu odbornej prípravy</w:t>
            </w:r>
            <w:r w:rsidR="00AB26B3" w:rsidRPr="00AB26B3">
              <w:rPr>
                <w:noProof/>
                <w:spacing w:val="-6"/>
                <w:lang w:val="sk-SK"/>
              </w:rPr>
              <w:t xml:space="preserve"> v </w:t>
            </w:r>
            <w:r w:rsidRPr="00AB26B3">
              <w:rPr>
                <w:noProof/>
                <w:spacing w:val="-6"/>
                <w:lang w:val="sk-SK"/>
              </w:rPr>
              <w:t xml:space="preserve">oblasti aktívnych politík trhu práce </w:t>
            </w:r>
          </w:p>
        </w:tc>
        <w:tc>
          <w:tcPr>
            <w:tcW w:w="1471" w:type="dxa"/>
            <w:shd w:val="clear" w:color="auto" w:fill="C6EFCE"/>
            <w:noWrap/>
          </w:tcPr>
          <w:p w14:paraId="1A6CC2EF" w14:textId="77777777" w:rsidR="00AB26B3" w:rsidRPr="00AB26B3" w:rsidRDefault="00D64F26">
            <w:pPr>
              <w:pStyle w:val="P68B1DB1-Normal12"/>
              <w:spacing w:after="0" w:line="240" w:lineRule="auto"/>
              <w:rPr>
                <w:noProof/>
                <w:spacing w:val="-6"/>
                <w:lang w:val="sk-SK"/>
              </w:rPr>
            </w:pPr>
            <w:r w:rsidRPr="00AB26B3">
              <w:rPr>
                <w:noProof/>
                <w:spacing w:val="-6"/>
                <w:lang w:val="sk-SK"/>
              </w:rPr>
              <w:t>Realizácia programu odbornej prípravy</w:t>
            </w:r>
            <w:r w:rsidR="00AB26B3" w:rsidRPr="00AB26B3">
              <w:rPr>
                <w:noProof/>
                <w:spacing w:val="-6"/>
                <w:lang w:val="sk-SK"/>
              </w:rPr>
              <w:t xml:space="preserve"> a </w:t>
            </w:r>
            <w:r w:rsidRPr="00AB26B3">
              <w:rPr>
                <w:noProof/>
                <w:spacing w:val="-6"/>
                <w:lang w:val="sk-SK"/>
              </w:rPr>
              <w:t>nástup do zamestnania</w:t>
            </w:r>
          </w:p>
          <w:p w14:paraId="13758B55" w14:textId="0EE5A161"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5" w:type="dxa"/>
            <w:shd w:val="clear" w:color="auto" w:fill="C6EFCE"/>
            <w:noWrap/>
          </w:tcPr>
          <w:p w14:paraId="1F6F09A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924" w:type="dxa"/>
            <w:shd w:val="clear" w:color="auto" w:fill="C6EFCE"/>
            <w:noWrap/>
          </w:tcPr>
          <w:p w14:paraId="01D23A57"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96" w:type="dxa"/>
            <w:shd w:val="clear" w:color="auto" w:fill="C6EFCE"/>
            <w:noWrap/>
          </w:tcPr>
          <w:p w14:paraId="7914D9F1"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46" w:type="dxa"/>
            <w:shd w:val="clear" w:color="auto" w:fill="C6EFCE"/>
            <w:noWrap/>
          </w:tcPr>
          <w:p w14:paraId="2FF9F7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83" w:type="dxa"/>
            <w:shd w:val="clear" w:color="auto" w:fill="C6EFCE"/>
            <w:noWrap/>
          </w:tcPr>
          <w:p w14:paraId="239AB683" w14:textId="77777777" w:rsidR="00302FC1" w:rsidRPr="00AB26B3" w:rsidRDefault="00D64F26">
            <w:pPr>
              <w:pStyle w:val="P68B1DB1-Normal12"/>
              <w:spacing w:after="0" w:line="240" w:lineRule="auto"/>
              <w:rPr>
                <w:noProof/>
                <w:spacing w:val="-6"/>
                <w:lang w:val="sk-SK"/>
              </w:rPr>
            </w:pPr>
            <w:r w:rsidRPr="00AB26B3">
              <w:rPr>
                <w:noProof/>
                <w:spacing w:val="-6"/>
                <w:lang w:val="sk-SK"/>
              </w:rPr>
              <w:t>2024</w:t>
            </w:r>
          </w:p>
        </w:tc>
        <w:tc>
          <w:tcPr>
            <w:tcW w:w="4156" w:type="dxa"/>
            <w:shd w:val="clear" w:color="auto" w:fill="C6EFCE"/>
            <w:noWrap/>
          </w:tcPr>
          <w:p w14:paraId="015894B6" w14:textId="2C6A88C1" w:rsidR="00302FC1" w:rsidRPr="00AB26B3" w:rsidRDefault="00D64F26">
            <w:pPr>
              <w:pStyle w:val="P68B1DB1-Normal12"/>
              <w:spacing w:after="0" w:line="240" w:lineRule="auto"/>
              <w:rPr>
                <w:noProof/>
                <w:spacing w:val="-6"/>
                <w:lang w:val="sk-SK"/>
              </w:rPr>
            </w:pPr>
            <w:r w:rsidRPr="00AB26B3">
              <w:rPr>
                <w:noProof/>
                <w:spacing w:val="-6"/>
                <w:lang w:val="sk-SK"/>
              </w:rPr>
              <w:t>Realizácia programu odbornej prípravy</w:t>
            </w:r>
            <w:r w:rsidR="00AB26B3" w:rsidRPr="00AB26B3">
              <w:rPr>
                <w:noProof/>
                <w:spacing w:val="-6"/>
                <w:lang w:val="sk-SK"/>
              </w:rPr>
              <w:t xml:space="preserve"> a </w:t>
            </w:r>
            <w:r w:rsidRPr="00AB26B3">
              <w:rPr>
                <w:noProof/>
                <w:spacing w:val="-6"/>
                <w:lang w:val="sk-SK"/>
              </w:rPr>
              <w:t>nástup do zamestnania pre najmenej 7000 nezamestnaných osôb</w:t>
            </w:r>
          </w:p>
          <w:p w14:paraId="3E4DCAC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76FB5E7F" w14:textId="77777777">
        <w:trPr>
          <w:trHeight w:val="309"/>
          <w:jc w:val="center"/>
        </w:trPr>
        <w:tc>
          <w:tcPr>
            <w:tcW w:w="672" w:type="dxa"/>
            <w:shd w:val="clear" w:color="auto" w:fill="C6EFCE"/>
            <w:noWrap/>
          </w:tcPr>
          <w:p w14:paraId="62A879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144a</w:t>
            </w:r>
          </w:p>
        </w:tc>
        <w:tc>
          <w:tcPr>
            <w:tcW w:w="2241" w:type="dxa"/>
            <w:shd w:val="clear" w:color="auto" w:fill="C6EFCE"/>
            <w:noWrap/>
          </w:tcPr>
          <w:p w14:paraId="74479F77" w14:textId="282A980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16747_Reforma aktívnych politík trhu práce</w:t>
            </w:r>
          </w:p>
        </w:tc>
        <w:tc>
          <w:tcPr>
            <w:tcW w:w="1099" w:type="dxa"/>
            <w:shd w:val="clear" w:color="auto" w:fill="C6EFCE"/>
            <w:noWrap/>
          </w:tcPr>
          <w:p w14:paraId="7ABD9A01"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365" w:type="dxa"/>
            <w:shd w:val="clear" w:color="auto" w:fill="C6EFCE"/>
            <w:noWrap/>
          </w:tcPr>
          <w:p w14:paraId="56CA0947" w14:textId="77777777" w:rsidR="00302FC1" w:rsidRPr="00AB26B3" w:rsidRDefault="00D64F26">
            <w:pPr>
              <w:pStyle w:val="P68B1DB1-Normal12"/>
              <w:spacing w:after="0" w:line="240" w:lineRule="auto"/>
              <w:rPr>
                <w:noProof/>
                <w:spacing w:val="-6"/>
                <w:lang w:val="sk-SK"/>
              </w:rPr>
            </w:pPr>
            <w:r w:rsidRPr="00AB26B3">
              <w:rPr>
                <w:noProof/>
                <w:spacing w:val="-6"/>
                <w:lang w:val="sk-SK"/>
              </w:rPr>
              <w:t>Plnenie programu zamestnanosti aktívnych politík trhu práce</w:t>
            </w:r>
          </w:p>
        </w:tc>
        <w:tc>
          <w:tcPr>
            <w:tcW w:w="1471" w:type="dxa"/>
            <w:shd w:val="clear" w:color="auto" w:fill="C6EFCE"/>
            <w:noWrap/>
          </w:tcPr>
          <w:p w14:paraId="78AC591B" w14:textId="77777777" w:rsidR="00AB26B3" w:rsidRPr="00AB26B3" w:rsidRDefault="00D64F26">
            <w:pPr>
              <w:pStyle w:val="P68B1DB1-Normal12"/>
              <w:spacing w:after="0" w:line="240" w:lineRule="auto"/>
              <w:rPr>
                <w:noProof/>
                <w:spacing w:val="-6"/>
                <w:lang w:val="sk-SK"/>
              </w:rPr>
            </w:pPr>
            <w:r w:rsidRPr="00AB26B3">
              <w:rPr>
                <w:noProof/>
                <w:spacing w:val="-6"/>
                <w:lang w:val="sk-SK"/>
              </w:rPr>
              <w:t>Realizácia projektov a, b</w:t>
            </w:r>
            <w:r w:rsidR="00AB26B3" w:rsidRPr="00AB26B3">
              <w:rPr>
                <w:noProof/>
                <w:spacing w:val="-6"/>
                <w:lang w:val="sk-SK"/>
              </w:rPr>
              <w:t xml:space="preserve"> a </w:t>
            </w:r>
            <w:r w:rsidRPr="00AB26B3">
              <w:rPr>
                <w:noProof/>
                <w:spacing w:val="-6"/>
                <w:lang w:val="sk-SK"/>
              </w:rPr>
              <w:t>c</w:t>
            </w:r>
          </w:p>
          <w:p w14:paraId="77BA61E5" w14:textId="597F033E"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135" w:type="dxa"/>
            <w:shd w:val="clear" w:color="auto" w:fill="C6EFCE"/>
            <w:noWrap/>
          </w:tcPr>
          <w:p w14:paraId="444A7EF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4" w:type="dxa"/>
            <w:shd w:val="clear" w:color="auto" w:fill="C6EFCE"/>
            <w:noWrap/>
          </w:tcPr>
          <w:p w14:paraId="78F5651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6" w:type="dxa"/>
            <w:shd w:val="clear" w:color="auto" w:fill="C6EFCE"/>
            <w:noWrap/>
          </w:tcPr>
          <w:p w14:paraId="7933959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4AFDCBB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83" w:type="dxa"/>
            <w:shd w:val="clear" w:color="auto" w:fill="C6EFCE"/>
            <w:noWrap/>
          </w:tcPr>
          <w:p w14:paraId="057C346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156" w:type="dxa"/>
            <w:shd w:val="clear" w:color="auto" w:fill="C6EFCE"/>
            <w:noWrap/>
          </w:tcPr>
          <w:p w14:paraId="763B43D6" w14:textId="77777777" w:rsidR="00AB26B3" w:rsidRPr="00AB26B3" w:rsidRDefault="00D64F26">
            <w:pPr>
              <w:pStyle w:val="P68B1DB1-paragraph35"/>
              <w:spacing w:before="0" w:beforeAutospacing="0" w:after="0" w:afterAutospacing="0"/>
              <w:textAlignment w:val="baseline"/>
              <w:rPr>
                <w:noProof/>
                <w:spacing w:val="-6"/>
                <w:lang w:val="sk-SK"/>
              </w:rPr>
            </w:pPr>
            <w:r w:rsidRPr="00AB26B3">
              <w:rPr>
                <w:noProof/>
                <w:spacing w:val="-6"/>
                <w:lang w:val="sk-SK"/>
              </w:rPr>
              <w:t>Realizácia týchto projektov</w:t>
            </w:r>
            <w:r w:rsidR="00AB26B3" w:rsidRPr="00AB26B3">
              <w:rPr>
                <w:noProof/>
                <w:spacing w:val="-6"/>
                <w:lang w:val="sk-SK"/>
              </w:rPr>
              <w:t>:</w:t>
            </w:r>
          </w:p>
          <w:p w14:paraId="5B78088F" w14:textId="77777777" w:rsidR="00AB26B3" w:rsidRPr="00AB26B3" w:rsidRDefault="00D64F26">
            <w:pPr>
              <w:pStyle w:val="P68B1DB1-paragraph35"/>
              <w:spacing w:before="0" w:beforeAutospacing="0" w:after="0" w:afterAutospacing="0"/>
              <w:textAlignment w:val="baseline"/>
              <w:rPr>
                <w:noProof/>
                <w:spacing w:val="-6"/>
                <w:lang w:val="sk-SK"/>
              </w:rPr>
            </w:pPr>
            <w:r w:rsidRPr="00AB26B3">
              <w:rPr>
                <w:noProof/>
                <w:spacing w:val="-6"/>
                <w:lang w:val="sk-SK"/>
              </w:rPr>
              <w:t>a) Štyri cielené krátkodobé programy dotujúce zamestnanosť</w:t>
            </w:r>
            <w:r w:rsidR="00AB26B3" w:rsidRPr="00AB26B3">
              <w:rPr>
                <w:noProof/>
                <w:spacing w:val="-6"/>
                <w:lang w:val="sk-SK"/>
              </w:rPr>
              <w:t xml:space="preserve"> v </w:t>
            </w:r>
            <w:r w:rsidRPr="00AB26B3">
              <w:rPr>
                <w:noProof/>
                <w:spacing w:val="-6"/>
                <w:lang w:val="sk-SK"/>
              </w:rPr>
              <w:t>súkromnom sektore pre najmenej 30600 nezamestnaných osôb</w:t>
            </w:r>
          </w:p>
          <w:p w14:paraId="78A79801" w14:textId="77777777" w:rsidR="00AB26B3" w:rsidRPr="00AB26B3" w:rsidRDefault="00D64F26">
            <w:pPr>
              <w:pStyle w:val="P68B1DB1-paragraph35"/>
              <w:spacing w:before="0" w:beforeAutospacing="0" w:after="0" w:afterAutospacing="0"/>
              <w:textAlignment w:val="baseline"/>
              <w:rPr>
                <w:noProof/>
                <w:spacing w:val="-6"/>
                <w:lang w:val="sk-SK"/>
              </w:rPr>
            </w:pPr>
            <w:r w:rsidRPr="00AB26B3">
              <w:rPr>
                <w:noProof/>
                <w:spacing w:val="-6"/>
                <w:lang w:val="sk-SK"/>
              </w:rPr>
              <w:t>b) dočasné posilnenie poradenských pracovníkov verejných služieb zamestnanosti prijatím 600 ďalších poradcov</w:t>
            </w:r>
            <w:r w:rsidR="00AB26B3" w:rsidRPr="00AB26B3">
              <w:rPr>
                <w:noProof/>
                <w:spacing w:val="-6"/>
                <w:lang w:val="sk-SK"/>
              </w:rPr>
              <w:t xml:space="preserve"> a</w:t>
            </w:r>
          </w:p>
          <w:p w14:paraId="380D72D6" w14:textId="26ED4CCA" w:rsidR="00302FC1" w:rsidRPr="00AB26B3" w:rsidRDefault="00D64F26">
            <w:pPr>
              <w:pStyle w:val="P68B1DB1-paragraph35"/>
              <w:spacing w:before="0" w:beforeAutospacing="0" w:after="0" w:afterAutospacing="0"/>
              <w:textAlignment w:val="baseline"/>
              <w:rPr>
                <w:noProof/>
                <w:spacing w:val="-6"/>
                <w:lang w:val="sk-SK"/>
              </w:rPr>
            </w:pPr>
            <w:r w:rsidRPr="00AB26B3">
              <w:rPr>
                <w:noProof/>
                <w:spacing w:val="-6"/>
                <w:lang w:val="sk-SK"/>
              </w:rPr>
              <w:t>C) Odborná príprava 1000 poradcov</w:t>
            </w:r>
            <w:r w:rsidR="00AB26B3" w:rsidRPr="00AB26B3">
              <w:rPr>
                <w:noProof/>
                <w:spacing w:val="-6"/>
                <w:lang w:val="sk-SK"/>
              </w:rPr>
              <w:t xml:space="preserve"> v </w:t>
            </w:r>
            <w:r w:rsidRPr="00AB26B3">
              <w:rPr>
                <w:noProof/>
                <w:spacing w:val="-6"/>
                <w:lang w:val="sk-SK"/>
              </w:rPr>
              <w:t>oblasti zamestnanosti vo verejných službách zamestnanosti. </w:t>
            </w:r>
          </w:p>
        </w:tc>
      </w:tr>
    </w:tbl>
    <w:p w14:paraId="2465176A" w14:textId="77777777" w:rsidR="00302FC1" w:rsidRPr="00AB26B3" w:rsidRDefault="00302FC1">
      <w:pPr>
        <w:rPr>
          <w:rFonts w:ascii="Times New Roman" w:hAnsi="Times New Roman"/>
          <w:noProof/>
          <w:spacing w:val="-6"/>
          <w:lang w:val="sk-SK"/>
        </w:rPr>
      </w:pPr>
    </w:p>
    <w:p w14:paraId="7E59B81D" w14:textId="77777777" w:rsidR="00302FC1" w:rsidRPr="00AB26B3" w:rsidRDefault="00302FC1">
      <w:pPr>
        <w:spacing w:before="120" w:after="120" w:line="240" w:lineRule="auto"/>
        <w:ind w:firstLine="6"/>
        <w:jc w:val="both"/>
        <w:outlineLvl w:val="3"/>
        <w:rPr>
          <w:rFonts w:ascii="Times New Roman" w:hAnsi="Times New Roman"/>
          <w:b/>
          <w:noProof/>
          <w:spacing w:val="-6"/>
          <w:sz w:val="24"/>
          <w:lang w:val="sk-SK"/>
        </w:rPr>
        <w:sectPr w:rsidR="00302FC1" w:rsidRPr="00AB26B3" w:rsidSect="00FD3476">
          <w:headerReference w:type="even" r:id="rId156"/>
          <w:headerReference w:type="default" r:id="rId157"/>
          <w:footerReference w:type="even" r:id="rId158"/>
          <w:footerReference w:type="default" r:id="rId159"/>
          <w:headerReference w:type="first" r:id="rId160"/>
          <w:footerReference w:type="first" r:id="rId161"/>
          <w:pgSz w:w="16838" w:h="11906" w:orient="landscape"/>
          <w:pgMar w:top="1417" w:right="1417" w:bottom="1417" w:left="1417" w:header="708" w:footer="708" w:gutter="0"/>
          <w:cols w:space="708"/>
          <w:docGrid w:linePitch="360"/>
        </w:sectPr>
      </w:pPr>
    </w:p>
    <w:p w14:paraId="1825A912"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I. ZLOŽKA 3.2: VZDELÁVANIE, ODBORNÉ VZDELÁVANIE, ODBORNÁ PRÍPRAVA A ZRUČNOSTI</w:t>
      </w:r>
    </w:p>
    <w:p w14:paraId="6B9DE7CD" w14:textId="27A7247B"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Cieľom tohto komponentu gréckeho plánu obnovy</w:t>
      </w:r>
      <w:r w:rsidR="00AB26B3" w:rsidRPr="00AB26B3">
        <w:rPr>
          <w:noProof/>
          <w:spacing w:val="-6"/>
          <w:lang w:val="sk-SK"/>
        </w:rPr>
        <w:t xml:space="preserve"> a </w:t>
      </w:r>
      <w:r w:rsidRPr="00AB26B3">
        <w:rPr>
          <w:noProof/>
          <w:spacing w:val="-6"/>
          <w:lang w:val="sk-SK"/>
        </w:rPr>
        <w:t>odolnosti je zlepšiť kvalitu, efektívnosť</w:t>
      </w:r>
      <w:r w:rsidR="00AB26B3" w:rsidRPr="00AB26B3">
        <w:rPr>
          <w:noProof/>
          <w:spacing w:val="-6"/>
          <w:lang w:val="sk-SK"/>
        </w:rPr>
        <w:t xml:space="preserve"> a </w:t>
      </w:r>
      <w:r w:rsidRPr="00AB26B3">
        <w:rPr>
          <w:noProof/>
          <w:spacing w:val="-6"/>
          <w:lang w:val="sk-SK"/>
        </w:rPr>
        <w:t>účinnosť systémov vzdelávania</w:t>
      </w:r>
      <w:r w:rsidR="00AB26B3" w:rsidRPr="00AB26B3">
        <w:rPr>
          <w:noProof/>
          <w:spacing w:val="-6"/>
          <w:lang w:val="sk-SK"/>
        </w:rPr>
        <w:t xml:space="preserve"> a </w:t>
      </w:r>
      <w:r w:rsidRPr="00AB26B3">
        <w:rPr>
          <w:noProof/>
          <w:spacing w:val="-6"/>
          <w:lang w:val="sk-SK"/>
        </w:rPr>
        <w:t>celoživotného vzdelávania. Komponent zahŕňa investíciu do horizontálnych programov zvyšovania úrovne zručností</w:t>
      </w:r>
      <w:r w:rsidR="00AB26B3" w:rsidRPr="00AB26B3">
        <w:rPr>
          <w:noProof/>
          <w:spacing w:val="-6"/>
          <w:lang w:val="sk-SK"/>
        </w:rPr>
        <w:t xml:space="preserve"> v </w:t>
      </w:r>
      <w:r w:rsidRPr="00AB26B3">
        <w:rPr>
          <w:noProof/>
          <w:spacing w:val="-6"/>
          <w:lang w:val="sk-SK"/>
        </w:rPr>
        <w:t>oblasti digitálnej, zelenej</w:t>
      </w:r>
      <w:r w:rsidR="00AB26B3" w:rsidRPr="00AB26B3">
        <w:rPr>
          <w:noProof/>
          <w:spacing w:val="-6"/>
          <w:lang w:val="sk-SK"/>
        </w:rPr>
        <w:t xml:space="preserve"> a </w:t>
      </w:r>
      <w:r w:rsidRPr="00AB26B3">
        <w:rPr>
          <w:noProof/>
          <w:spacing w:val="-6"/>
          <w:lang w:val="sk-SK"/>
        </w:rPr>
        <w:t>finančnej gramotnosti pre celkovo 628000 prijímateľov. Sprevádza ju reforma systému celoživotného vzdelávania</w:t>
      </w:r>
      <w:r w:rsidR="00AB26B3" w:rsidRPr="00AB26B3">
        <w:rPr>
          <w:noProof/>
          <w:spacing w:val="-6"/>
          <w:lang w:val="sk-SK"/>
        </w:rPr>
        <w:t xml:space="preserve"> s </w:t>
      </w:r>
      <w:r w:rsidRPr="00AB26B3">
        <w:rPr>
          <w:noProof/>
          <w:spacing w:val="-6"/>
          <w:lang w:val="sk-SK"/>
        </w:rPr>
        <w:t>cieľom zlepšiť poskytovanie odbornej prípravy</w:t>
      </w:r>
      <w:r w:rsidR="00AB26B3" w:rsidRPr="00AB26B3">
        <w:rPr>
          <w:noProof/>
          <w:spacing w:val="-6"/>
          <w:lang w:val="sk-SK"/>
        </w:rPr>
        <w:t xml:space="preserve"> a </w:t>
      </w:r>
      <w:r w:rsidRPr="00AB26B3">
        <w:rPr>
          <w:noProof/>
          <w:spacing w:val="-6"/>
          <w:lang w:val="sk-SK"/>
        </w:rPr>
        <w:t>balík reforiem</w:t>
      </w:r>
      <w:r w:rsidR="00AB26B3" w:rsidRPr="00AB26B3">
        <w:rPr>
          <w:noProof/>
          <w:spacing w:val="-6"/>
          <w:lang w:val="sk-SK"/>
        </w:rPr>
        <w:t xml:space="preserve"> a </w:t>
      </w:r>
      <w:r w:rsidRPr="00AB26B3">
        <w:rPr>
          <w:noProof/>
          <w:spacing w:val="-6"/>
          <w:lang w:val="sk-SK"/>
        </w:rPr>
        <w:t>investícií zameraných na systémy odborného vzdelávania</w:t>
      </w:r>
      <w:r w:rsidR="00AB26B3" w:rsidRPr="00AB26B3">
        <w:rPr>
          <w:noProof/>
          <w:spacing w:val="-6"/>
          <w:lang w:val="sk-SK"/>
        </w:rPr>
        <w:t xml:space="preserve"> a </w:t>
      </w:r>
      <w:r w:rsidRPr="00AB26B3">
        <w:rPr>
          <w:noProof/>
          <w:spacing w:val="-6"/>
          <w:lang w:val="sk-SK"/>
        </w:rPr>
        <w:t>prípravy (OVP)</w:t>
      </w:r>
      <w:r w:rsidR="00AB26B3" w:rsidRPr="00AB26B3">
        <w:rPr>
          <w:noProof/>
          <w:spacing w:val="-6"/>
          <w:lang w:val="sk-SK"/>
        </w:rPr>
        <w:t xml:space="preserve"> a </w:t>
      </w:r>
      <w:r w:rsidRPr="00AB26B3">
        <w:rPr>
          <w:noProof/>
          <w:spacing w:val="-6"/>
          <w:lang w:val="sk-SK"/>
        </w:rPr>
        <w:t>učňovskej prípravy</w:t>
      </w:r>
      <w:r w:rsidR="00AB26B3" w:rsidRPr="00AB26B3">
        <w:rPr>
          <w:noProof/>
          <w:spacing w:val="-6"/>
          <w:lang w:val="sk-SK"/>
        </w:rPr>
        <w:t xml:space="preserve"> s </w:t>
      </w:r>
      <w:r w:rsidRPr="00AB26B3">
        <w:rPr>
          <w:noProof/>
          <w:spacing w:val="-6"/>
          <w:lang w:val="sk-SK"/>
        </w:rPr>
        <w:t>cieľom zlepšiť ich relevantnosť pre trh práce. Pokiaľ ide</w:t>
      </w:r>
      <w:r w:rsidR="00AB26B3" w:rsidRPr="00AB26B3">
        <w:rPr>
          <w:noProof/>
          <w:spacing w:val="-6"/>
          <w:lang w:val="sk-SK"/>
        </w:rPr>
        <w:t xml:space="preserve"> o </w:t>
      </w:r>
      <w:r w:rsidRPr="00AB26B3">
        <w:rPr>
          <w:noProof/>
          <w:spacing w:val="-6"/>
          <w:lang w:val="sk-SK"/>
        </w:rPr>
        <w:t>OVP, cieľom plánu je modernizovať infraštruktúry</w:t>
      </w:r>
      <w:r w:rsidR="00AB26B3" w:rsidRPr="00AB26B3">
        <w:rPr>
          <w:noProof/>
          <w:spacing w:val="-6"/>
          <w:lang w:val="sk-SK"/>
        </w:rPr>
        <w:t xml:space="preserve"> a </w:t>
      </w:r>
      <w:r w:rsidRPr="00AB26B3">
        <w:rPr>
          <w:noProof/>
          <w:spacing w:val="-6"/>
          <w:lang w:val="sk-SK"/>
        </w:rPr>
        <w:t>vybavenie OVP</w:t>
      </w:r>
      <w:r w:rsidR="00AB26B3" w:rsidRPr="00AB26B3">
        <w:rPr>
          <w:noProof/>
          <w:spacing w:val="-6"/>
          <w:lang w:val="sk-SK"/>
        </w:rPr>
        <w:t xml:space="preserve"> a </w:t>
      </w:r>
      <w:r w:rsidRPr="00AB26B3">
        <w:rPr>
          <w:noProof/>
          <w:spacing w:val="-6"/>
          <w:lang w:val="sk-SK"/>
        </w:rPr>
        <w:t>existujúce učebné osnovy. Okrem toho sa</w:t>
      </w:r>
      <w:r w:rsidR="00AB26B3" w:rsidRPr="00AB26B3">
        <w:rPr>
          <w:noProof/>
          <w:spacing w:val="-6"/>
          <w:lang w:val="sk-SK"/>
        </w:rPr>
        <w:t xml:space="preserve"> v </w:t>
      </w:r>
      <w:r w:rsidRPr="00AB26B3">
        <w:rPr>
          <w:noProof/>
          <w:spacing w:val="-6"/>
          <w:lang w:val="sk-SK"/>
        </w:rPr>
        <w:t>pláne stanovuje nová stratégia excelentnosti na univerzitách zameraná na zvýšenie ich výkonnosti</w:t>
      </w:r>
      <w:r w:rsidR="00AB26B3" w:rsidRPr="00AB26B3">
        <w:rPr>
          <w:noProof/>
          <w:spacing w:val="-6"/>
          <w:lang w:val="sk-SK"/>
        </w:rPr>
        <w:t xml:space="preserve"> v </w:t>
      </w:r>
      <w:r w:rsidRPr="00AB26B3">
        <w:rPr>
          <w:noProof/>
          <w:spacing w:val="-6"/>
          <w:lang w:val="sk-SK"/>
        </w:rPr>
        <w:t>oblasti výskumu</w:t>
      </w:r>
      <w:r w:rsidR="00AB26B3" w:rsidRPr="00AB26B3">
        <w:rPr>
          <w:noProof/>
          <w:spacing w:val="-6"/>
          <w:lang w:val="sk-SK"/>
        </w:rPr>
        <w:t xml:space="preserve"> a </w:t>
      </w:r>
      <w:r w:rsidRPr="00AB26B3">
        <w:rPr>
          <w:noProof/>
          <w:spacing w:val="-6"/>
          <w:lang w:val="sk-SK"/>
        </w:rPr>
        <w:t xml:space="preserve">kvality vzdelávania prostredníctvom </w:t>
      </w:r>
      <w:r w:rsidRPr="00AB26B3">
        <w:rPr>
          <w:noProof/>
          <w:color w:val="000000"/>
          <w:spacing w:val="-6"/>
          <w:lang w:val="sk-SK"/>
        </w:rPr>
        <w:t>investícií do modernizácie výskumných</w:t>
      </w:r>
      <w:r w:rsidR="00AB26B3" w:rsidRPr="00AB26B3">
        <w:rPr>
          <w:noProof/>
          <w:color w:val="000000"/>
          <w:spacing w:val="-6"/>
          <w:lang w:val="sk-SK"/>
        </w:rPr>
        <w:t xml:space="preserve"> a </w:t>
      </w:r>
      <w:r w:rsidRPr="00AB26B3">
        <w:rPr>
          <w:noProof/>
          <w:color w:val="000000"/>
          <w:spacing w:val="-6"/>
          <w:lang w:val="sk-SK"/>
        </w:rPr>
        <w:t>vzdelávacích infraštruktúr</w:t>
      </w:r>
      <w:r w:rsidR="00AB26B3" w:rsidRPr="00AB26B3">
        <w:rPr>
          <w:noProof/>
          <w:color w:val="000000"/>
          <w:spacing w:val="-6"/>
          <w:lang w:val="sk-SK"/>
        </w:rPr>
        <w:t xml:space="preserve"> a </w:t>
      </w:r>
      <w:r w:rsidRPr="00AB26B3">
        <w:rPr>
          <w:noProof/>
          <w:color w:val="000000"/>
          <w:spacing w:val="-6"/>
          <w:lang w:val="sk-SK"/>
        </w:rPr>
        <w:t xml:space="preserve">podpory výskumných </w:t>
      </w:r>
      <w:r w:rsidRPr="00AB26B3">
        <w:rPr>
          <w:noProof/>
          <w:spacing w:val="-6"/>
          <w:lang w:val="sk-SK"/>
        </w:rPr>
        <w:t>projektov. Tieto reformy sú spojené</w:t>
      </w:r>
      <w:r w:rsidR="00AB26B3" w:rsidRPr="00AB26B3">
        <w:rPr>
          <w:noProof/>
          <w:spacing w:val="-6"/>
          <w:lang w:val="sk-SK"/>
        </w:rPr>
        <w:t xml:space="preserve"> s </w:t>
      </w:r>
      <w:r w:rsidRPr="00AB26B3">
        <w:rPr>
          <w:noProof/>
          <w:spacing w:val="-6"/>
          <w:lang w:val="sk-SK"/>
        </w:rPr>
        <w:t>investíciami do digitalizácie vzdelávacieho systému,</w:t>
      </w:r>
      <w:r w:rsidR="00AB26B3" w:rsidRPr="00AB26B3">
        <w:rPr>
          <w:noProof/>
          <w:spacing w:val="-6"/>
          <w:lang w:val="sk-SK"/>
        </w:rPr>
        <w:t xml:space="preserve"> z </w:t>
      </w:r>
      <w:r w:rsidRPr="00AB26B3">
        <w:rPr>
          <w:noProof/>
          <w:spacing w:val="-6"/>
          <w:lang w:val="sk-SK"/>
        </w:rPr>
        <w:t>ktorých veľká časť je vyčlenená na interaktívne vzdelávacie systémy na základných</w:t>
      </w:r>
      <w:r w:rsidR="00AB26B3" w:rsidRPr="00AB26B3">
        <w:rPr>
          <w:noProof/>
          <w:spacing w:val="-6"/>
          <w:lang w:val="sk-SK"/>
        </w:rPr>
        <w:t xml:space="preserve"> a </w:t>
      </w:r>
      <w:r w:rsidRPr="00AB26B3">
        <w:rPr>
          <w:noProof/>
          <w:spacing w:val="-6"/>
          <w:lang w:val="sk-SK"/>
        </w:rPr>
        <w:t>stredných školách</w:t>
      </w:r>
      <w:r w:rsidR="00AB26B3" w:rsidRPr="00AB26B3">
        <w:rPr>
          <w:noProof/>
          <w:spacing w:val="-6"/>
          <w:lang w:val="sk-SK"/>
        </w:rPr>
        <w:t xml:space="preserve"> a </w:t>
      </w:r>
      <w:r w:rsidRPr="00AB26B3">
        <w:rPr>
          <w:noProof/>
          <w:spacing w:val="-6"/>
          <w:lang w:val="sk-SK"/>
        </w:rPr>
        <w:t>na poukážky pre žiakov</w:t>
      </w:r>
      <w:r w:rsidR="00AB26B3" w:rsidRPr="00AB26B3">
        <w:rPr>
          <w:noProof/>
          <w:spacing w:val="-6"/>
          <w:lang w:val="sk-SK"/>
        </w:rPr>
        <w:t xml:space="preserve"> a </w:t>
      </w:r>
      <w:r w:rsidRPr="00AB26B3">
        <w:rPr>
          <w:noProof/>
          <w:spacing w:val="-6"/>
          <w:lang w:val="sk-SK"/>
        </w:rPr>
        <w:t>študentov</w:t>
      </w:r>
      <w:r w:rsidR="00AB26B3" w:rsidRPr="00AB26B3">
        <w:rPr>
          <w:noProof/>
          <w:spacing w:val="-6"/>
          <w:lang w:val="sk-SK"/>
        </w:rPr>
        <w:t xml:space="preserve"> z </w:t>
      </w:r>
      <w:r w:rsidRPr="00AB26B3">
        <w:rPr>
          <w:noProof/>
          <w:spacing w:val="-6"/>
          <w:lang w:val="sk-SK"/>
        </w:rPr>
        <w:t>rodín</w:t>
      </w:r>
      <w:r w:rsidR="00AB26B3" w:rsidRPr="00AB26B3">
        <w:rPr>
          <w:noProof/>
          <w:spacing w:val="-6"/>
          <w:lang w:val="sk-SK"/>
        </w:rPr>
        <w:t xml:space="preserve"> s </w:t>
      </w:r>
      <w:r w:rsidRPr="00AB26B3">
        <w:rPr>
          <w:noProof/>
          <w:spacing w:val="-6"/>
          <w:lang w:val="sk-SK"/>
        </w:rPr>
        <w:t>nízkymi príjmami na nákup IT vybavenia</w:t>
      </w:r>
      <w:r w:rsidR="00AB26B3" w:rsidRPr="00AB26B3">
        <w:rPr>
          <w:noProof/>
          <w:spacing w:val="-6"/>
          <w:lang w:val="sk-SK"/>
        </w:rPr>
        <w:t>.</w:t>
      </w:r>
    </w:p>
    <w:p w14:paraId="13BE4304" w14:textId="0566F5BB" w:rsidR="00302FC1" w:rsidRPr="00AB26B3" w:rsidRDefault="00D64F26">
      <w:pPr>
        <w:pStyle w:val="P68B1DB1-Normal7"/>
        <w:spacing w:before="120" w:after="120" w:line="240" w:lineRule="auto"/>
        <w:jc w:val="both"/>
        <w:rPr>
          <w:rFonts w:cs="Times New Roman"/>
          <w:noProof/>
          <w:spacing w:val="-6"/>
          <w:lang w:val="sk-SK"/>
        </w:rPr>
      </w:pPr>
      <w:r w:rsidRPr="00AB26B3">
        <w:rPr>
          <w:noProof/>
          <w:color w:val="000000"/>
          <w:spacing w:val="-6"/>
          <w:shd w:val="clear" w:color="auto" w:fill="FFFFFF"/>
          <w:lang w:val="sk-SK"/>
        </w:rPr>
        <w:t>Komponent je</w:t>
      </w:r>
      <w:r w:rsidR="00AB26B3" w:rsidRPr="00AB26B3">
        <w:rPr>
          <w:noProof/>
          <w:color w:val="000000"/>
          <w:spacing w:val="-6"/>
          <w:shd w:val="clear" w:color="auto" w:fill="FFFFFF"/>
          <w:lang w:val="sk-SK"/>
        </w:rPr>
        <w:t xml:space="preserve"> v </w:t>
      </w:r>
      <w:r w:rsidRPr="00AB26B3">
        <w:rPr>
          <w:noProof/>
          <w:color w:val="000000"/>
          <w:spacing w:val="-6"/>
          <w:shd w:val="clear" w:color="auto" w:fill="FFFFFF"/>
          <w:lang w:val="sk-SK"/>
        </w:rPr>
        <w:t>súlade</w:t>
      </w:r>
      <w:r w:rsidR="00AB26B3" w:rsidRPr="00AB26B3">
        <w:rPr>
          <w:noProof/>
          <w:color w:val="000000"/>
          <w:spacing w:val="-6"/>
          <w:shd w:val="clear" w:color="auto" w:fill="FFFFFF"/>
          <w:lang w:val="sk-SK"/>
        </w:rPr>
        <w:t xml:space="preserve"> s </w:t>
      </w:r>
      <w:r w:rsidRPr="00AB26B3">
        <w:rPr>
          <w:noProof/>
          <w:color w:val="000000"/>
          <w:spacing w:val="-6"/>
          <w:shd w:val="clear" w:color="auto" w:fill="FFFFFF"/>
          <w:lang w:val="sk-SK"/>
        </w:rPr>
        <w:t>odporúčaniami pre jednotlivé krajiny investovať do vzdelávania, zamestnateľnosti</w:t>
      </w:r>
      <w:r w:rsidR="00AB26B3" w:rsidRPr="00AB26B3">
        <w:rPr>
          <w:noProof/>
          <w:color w:val="000000"/>
          <w:spacing w:val="-6"/>
          <w:shd w:val="clear" w:color="auto" w:fill="FFFFFF"/>
          <w:lang w:val="sk-SK"/>
        </w:rPr>
        <w:t xml:space="preserve"> a </w:t>
      </w:r>
      <w:r w:rsidRPr="00AB26B3">
        <w:rPr>
          <w:noProof/>
          <w:color w:val="000000"/>
          <w:spacing w:val="-6"/>
          <w:shd w:val="clear" w:color="auto" w:fill="FFFFFF"/>
          <w:lang w:val="sk-SK"/>
        </w:rPr>
        <w:t>zručností</w:t>
      </w:r>
      <w:r w:rsidR="00AB26B3" w:rsidRPr="00AB26B3">
        <w:rPr>
          <w:noProof/>
          <w:color w:val="000000"/>
          <w:spacing w:val="-6"/>
          <w:shd w:val="clear" w:color="auto" w:fill="FFFFFF"/>
          <w:lang w:val="sk-SK"/>
        </w:rPr>
        <w:t xml:space="preserve"> a </w:t>
      </w:r>
      <w:r w:rsidRPr="00AB26B3">
        <w:rPr>
          <w:noProof/>
          <w:color w:val="000000"/>
          <w:spacing w:val="-6"/>
          <w:shd w:val="clear" w:color="auto" w:fill="FFFFFF"/>
          <w:lang w:val="sk-SK"/>
        </w:rPr>
        <w:t xml:space="preserve">zlepšiť digitalizáciu verejnej správy (odporúčania pre jednotlivé krajiny </w:t>
      </w:r>
      <w:r w:rsidR="00AB26B3" w:rsidRPr="00AB26B3">
        <w:rPr>
          <w:noProof/>
          <w:color w:val="000000"/>
          <w:spacing w:val="-6"/>
          <w:shd w:val="clear" w:color="auto" w:fill="FFFFFF"/>
          <w:lang w:val="sk-SK"/>
        </w:rPr>
        <w:t>č. </w:t>
      </w:r>
      <w:r w:rsidRPr="00AB26B3">
        <w:rPr>
          <w:noProof/>
          <w:color w:val="000000"/>
          <w:spacing w:val="-6"/>
          <w:shd w:val="clear" w:color="auto" w:fill="FFFFFF"/>
          <w:lang w:val="sk-SK"/>
        </w:rPr>
        <w:t>3 2020</w:t>
      </w:r>
      <w:r w:rsidR="00AB26B3" w:rsidRPr="00AB26B3">
        <w:rPr>
          <w:noProof/>
          <w:color w:val="000000"/>
          <w:spacing w:val="-6"/>
          <w:shd w:val="clear" w:color="auto" w:fill="FFFFFF"/>
          <w:lang w:val="sk-SK"/>
        </w:rPr>
        <w:t xml:space="preserve"> a </w:t>
      </w:r>
      <w:r w:rsidRPr="00AB26B3">
        <w:rPr>
          <w:noProof/>
          <w:color w:val="000000"/>
          <w:spacing w:val="-6"/>
          <w:shd w:val="clear" w:color="auto" w:fill="FFFFFF"/>
          <w:lang w:val="sk-SK"/>
        </w:rPr>
        <w:t xml:space="preserve">2 2019). </w:t>
      </w:r>
      <w:r w:rsidRPr="00AB26B3">
        <w:rPr>
          <w:noProof/>
          <w:spacing w:val="-6"/>
          <w:lang w:val="sk-SK"/>
        </w:rPr>
        <w:t>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051DA714" w14:textId="2C2EDC2C"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I.1.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5D9F6DB3" w14:textId="1AAA9872"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Nová stratégia pre celoživotné zručnosti: Modernizácia</w:t>
      </w:r>
      <w:r w:rsidR="00AB26B3" w:rsidRPr="00AB26B3">
        <w:rPr>
          <w:noProof/>
          <w:spacing w:val="-6"/>
          <w:lang w:val="sk-SK"/>
        </w:rPr>
        <w:t xml:space="preserve"> a </w:t>
      </w:r>
      <w:r w:rsidRPr="00AB26B3">
        <w:rPr>
          <w:noProof/>
          <w:spacing w:val="-6"/>
          <w:lang w:val="sk-SK"/>
        </w:rPr>
        <w:t>modernizácia gréckeho systému zvyšovania úrovne zručností</w:t>
      </w:r>
      <w:r w:rsidR="00AB26B3" w:rsidRPr="00AB26B3">
        <w:rPr>
          <w:noProof/>
          <w:spacing w:val="-6"/>
          <w:lang w:val="sk-SK"/>
        </w:rPr>
        <w:t xml:space="preserve"> a </w:t>
      </w:r>
      <w:r w:rsidRPr="00AB26B3">
        <w:rPr>
          <w:noProof/>
          <w:spacing w:val="-6"/>
          <w:lang w:val="sk-SK"/>
        </w:rPr>
        <w:t>rekvalifikácie (opatrenie ID: 16913)</w:t>
      </w:r>
    </w:p>
    <w:p w14:paraId="62179E97" w14:textId="3BDFEA47"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zlepšiť vnútroštátny rámec celoživotného vzdelávania</w:t>
      </w:r>
      <w:r w:rsidR="00AB26B3" w:rsidRPr="00AB26B3">
        <w:rPr>
          <w:noProof/>
          <w:spacing w:val="-6"/>
          <w:lang w:val="sk-SK"/>
        </w:rPr>
        <w:t xml:space="preserve"> s </w:t>
      </w:r>
      <w:r w:rsidRPr="00AB26B3">
        <w:rPr>
          <w:noProof/>
          <w:spacing w:val="-6"/>
          <w:lang w:val="sk-SK"/>
        </w:rPr>
        <w:t>cieľom zvýšiť jeho kvalitu</w:t>
      </w:r>
      <w:r w:rsidR="00AB26B3" w:rsidRPr="00AB26B3">
        <w:rPr>
          <w:noProof/>
          <w:spacing w:val="-6"/>
          <w:lang w:val="sk-SK"/>
        </w:rPr>
        <w:t xml:space="preserve"> a </w:t>
      </w:r>
      <w:r w:rsidRPr="00AB26B3">
        <w:rPr>
          <w:noProof/>
          <w:spacing w:val="-6"/>
          <w:lang w:val="sk-SK"/>
        </w:rPr>
        <w:t>relevantnosť pre trh práce. Opatrenie pozostáva</w:t>
      </w:r>
      <w:r w:rsidR="00AB26B3" w:rsidRPr="00AB26B3">
        <w:rPr>
          <w:noProof/>
          <w:spacing w:val="-6"/>
          <w:lang w:val="sk-SK"/>
        </w:rPr>
        <w:t xml:space="preserve"> z </w:t>
      </w:r>
      <w:r w:rsidRPr="00AB26B3">
        <w:rPr>
          <w:noProof/>
          <w:spacing w:val="-6"/>
          <w:lang w:val="sk-SK"/>
        </w:rPr>
        <w:t>a) nadobudnutia účinnosti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v </w:t>
      </w:r>
      <w:r w:rsidRPr="00AB26B3">
        <w:rPr>
          <w:noProof/>
          <w:spacing w:val="-6"/>
          <w:lang w:val="sk-SK"/>
        </w:rPr>
        <w:t>ktorých sa stanovujú kľúčové prvky nového rámca celoživotného vzdelávania,</w:t>
      </w:r>
      <w:r w:rsidR="00AB26B3" w:rsidRPr="00AB26B3">
        <w:rPr>
          <w:noProof/>
          <w:spacing w:val="-6"/>
          <w:lang w:val="sk-SK"/>
        </w:rPr>
        <w:t xml:space="preserve"> a </w:t>
      </w:r>
      <w:r w:rsidRPr="00AB26B3">
        <w:rPr>
          <w:noProof/>
          <w:spacing w:val="-6"/>
          <w:lang w:val="sk-SK"/>
        </w:rPr>
        <w:t>b) programov odbornej prípravy pre rôzne skupiny obyvateľstva</w:t>
      </w:r>
      <w:r w:rsidR="00AB26B3" w:rsidRPr="00AB26B3">
        <w:rPr>
          <w:noProof/>
          <w:spacing w:val="-6"/>
          <w:lang w:val="sk-SK"/>
        </w:rPr>
        <w:t xml:space="preserve"> a </w:t>
      </w:r>
      <w:r w:rsidRPr="00AB26B3">
        <w:rPr>
          <w:noProof/>
          <w:spacing w:val="-6"/>
          <w:lang w:val="sk-SK"/>
        </w:rPr>
        <w:t>témy</w:t>
      </w:r>
      <w:r w:rsidR="00AB26B3" w:rsidRPr="00AB26B3">
        <w:rPr>
          <w:noProof/>
          <w:spacing w:val="-6"/>
          <w:lang w:val="sk-SK"/>
        </w:rPr>
        <w:t>.</w:t>
      </w:r>
    </w:p>
    <w:p w14:paraId="678287C3" w14:textId="54682294" w:rsidR="00302FC1" w:rsidRPr="00AB26B3" w:rsidRDefault="00D64F26">
      <w:pPr>
        <w:pStyle w:val="P68B1DB1-Normal5"/>
        <w:rPr>
          <w:b/>
          <w:noProof/>
          <w:spacing w:val="-6"/>
          <w:lang w:val="sk-SK"/>
        </w:rPr>
      </w:pPr>
      <w:r w:rsidRPr="00AB26B3">
        <w:rPr>
          <w:b/>
          <w:noProof/>
          <w:spacing w:val="-6"/>
          <w:lang w:val="sk-SK"/>
        </w:rPr>
        <w:t>Reforma:</w:t>
      </w:r>
      <w:r w:rsidRPr="00AB26B3">
        <w:rPr>
          <w:noProof/>
          <w:spacing w:val="-6"/>
          <w:lang w:val="sk-SK"/>
        </w:rPr>
        <w:t xml:space="preserve"> Stratégia excelentnosti na univerzitách</w:t>
      </w:r>
      <w:r w:rsidR="00AB26B3" w:rsidRPr="00AB26B3">
        <w:rPr>
          <w:noProof/>
          <w:spacing w:val="-6"/>
          <w:lang w:val="sk-SK"/>
        </w:rPr>
        <w:t xml:space="preserve"> a v </w:t>
      </w:r>
      <w:r w:rsidRPr="00AB26B3">
        <w:rPr>
          <w:noProof/>
          <w:spacing w:val="-6"/>
          <w:lang w:val="sk-SK"/>
        </w:rPr>
        <w:t>inováciách (identifikačné číslo opatrenia: 16289)</w:t>
      </w:r>
    </w:p>
    <w:p w14:paraId="159F3B81" w14:textId="28D5283D"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zlepšiť výsledky výskumu</w:t>
      </w:r>
      <w:r w:rsidR="00AB26B3" w:rsidRPr="00AB26B3">
        <w:rPr>
          <w:noProof/>
          <w:spacing w:val="-6"/>
          <w:lang w:val="sk-SK"/>
        </w:rPr>
        <w:t xml:space="preserve"> a </w:t>
      </w:r>
      <w:r w:rsidRPr="00AB26B3">
        <w:rPr>
          <w:noProof/>
          <w:spacing w:val="-6"/>
          <w:lang w:val="sk-SK"/>
        </w:rPr>
        <w:t>extroverziu gréckych univerzít. Reforma pozostáva zo spoločných výskumných projektov, projektov pre grécke univerzity</w:t>
      </w:r>
      <w:r w:rsidR="00AB26B3" w:rsidRPr="00AB26B3">
        <w:rPr>
          <w:noProof/>
          <w:spacing w:val="-6"/>
          <w:lang w:val="sk-SK"/>
        </w:rPr>
        <w:t xml:space="preserve"> a </w:t>
      </w:r>
      <w:r w:rsidRPr="00AB26B3">
        <w:rPr>
          <w:noProof/>
          <w:spacing w:val="-6"/>
          <w:lang w:val="sk-SK"/>
        </w:rPr>
        <w:t>rozhodnutí</w:t>
      </w:r>
      <w:r w:rsidR="00AB26B3" w:rsidRPr="00AB26B3">
        <w:rPr>
          <w:noProof/>
          <w:spacing w:val="-6"/>
          <w:lang w:val="sk-SK"/>
        </w:rPr>
        <w:t xml:space="preserve"> o </w:t>
      </w:r>
      <w:r w:rsidRPr="00AB26B3">
        <w:rPr>
          <w:noProof/>
          <w:spacing w:val="-6"/>
          <w:lang w:val="sk-SK"/>
        </w:rPr>
        <w:t>schválení postgraduálnych programov.</w:t>
      </w:r>
    </w:p>
    <w:p w14:paraId="18BA7A6A"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Posilnenie systému učňovskej prípravy (identifikačné číslo opatrenia: 16794)</w:t>
      </w:r>
    </w:p>
    <w:p w14:paraId="44F6F0FA" w14:textId="2BCC27D8"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modernizovať vnútroštátny systém odborného vzdelávania</w:t>
      </w:r>
      <w:r w:rsidR="00AB26B3" w:rsidRPr="00AB26B3">
        <w:rPr>
          <w:noProof/>
          <w:spacing w:val="-6"/>
          <w:lang w:val="sk-SK"/>
        </w:rPr>
        <w:t xml:space="preserve"> a </w:t>
      </w:r>
      <w:r w:rsidRPr="00AB26B3">
        <w:rPr>
          <w:noProof/>
          <w:spacing w:val="-6"/>
          <w:lang w:val="sk-SK"/>
        </w:rPr>
        <w:t>prípravy (OVP). Pozostáva</w:t>
      </w:r>
      <w:r w:rsidR="00AB26B3" w:rsidRPr="00AB26B3">
        <w:rPr>
          <w:noProof/>
          <w:spacing w:val="-6"/>
          <w:lang w:val="sk-SK"/>
        </w:rPr>
        <w:t xml:space="preserve"> z </w:t>
      </w:r>
      <w:r w:rsidRPr="00AB26B3">
        <w:rPr>
          <w:noProof/>
          <w:spacing w:val="-6"/>
          <w:lang w:val="sk-SK"/>
        </w:rPr>
        <w:t>nového právneho rámca pre systém OVP</w:t>
      </w:r>
      <w:r w:rsidR="00AB26B3" w:rsidRPr="00AB26B3">
        <w:rPr>
          <w:noProof/>
          <w:spacing w:val="-6"/>
          <w:lang w:val="sk-SK"/>
        </w:rPr>
        <w:t xml:space="preserve"> a </w:t>
      </w:r>
      <w:r w:rsidRPr="00AB26B3">
        <w:rPr>
          <w:noProof/>
          <w:spacing w:val="-6"/>
          <w:lang w:val="sk-SK"/>
        </w:rPr>
        <w:t>modernizovaných vzdelávacích modulov</w:t>
      </w:r>
      <w:r w:rsidR="00AB26B3" w:rsidRPr="00AB26B3">
        <w:rPr>
          <w:noProof/>
          <w:spacing w:val="-6"/>
          <w:lang w:val="sk-SK"/>
        </w:rPr>
        <w:t xml:space="preserve"> a </w:t>
      </w:r>
      <w:r w:rsidRPr="00AB26B3">
        <w:rPr>
          <w:noProof/>
          <w:spacing w:val="-6"/>
          <w:lang w:val="sk-SK"/>
        </w:rPr>
        <w:t>infraštruktúry.</w:t>
      </w:r>
    </w:p>
    <w:p w14:paraId="508770B3" w14:textId="58DF79E9"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Získavanie zručností, rekvalifikácia</w:t>
      </w:r>
      <w:r w:rsidR="00AB26B3" w:rsidRPr="00AB26B3">
        <w:rPr>
          <w:noProof/>
          <w:spacing w:val="-6"/>
          <w:lang w:val="sk-SK"/>
        </w:rPr>
        <w:t xml:space="preserve"> a </w:t>
      </w:r>
      <w:r w:rsidRPr="00AB26B3">
        <w:rPr>
          <w:noProof/>
          <w:spacing w:val="-6"/>
          <w:lang w:val="sk-SK"/>
        </w:rPr>
        <w:t>zvyšovanie úrovne zručností pracovnej sily prostredníctvom reformovaného modelu odbornej prípravy (reforma odborného vzdelávania</w:t>
      </w:r>
      <w:r w:rsidR="00AB26B3" w:rsidRPr="00AB26B3">
        <w:rPr>
          <w:noProof/>
          <w:spacing w:val="-6"/>
          <w:lang w:val="sk-SK"/>
        </w:rPr>
        <w:t xml:space="preserve"> a </w:t>
      </w:r>
      <w:r w:rsidRPr="00AB26B3">
        <w:rPr>
          <w:noProof/>
          <w:spacing w:val="-6"/>
          <w:lang w:val="sk-SK"/>
        </w:rPr>
        <w:t>prípravy) (opatrenie ID: 16792)</w:t>
      </w:r>
    </w:p>
    <w:p w14:paraId="6BCF2D78" w14:textId="3BDF6D4F" w:rsidR="00AB26B3" w:rsidRPr="00AB26B3" w:rsidRDefault="00D64F26">
      <w:pPr>
        <w:pStyle w:val="P68B1DB1-Normal7"/>
        <w:spacing w:after="0" w:line="240" w:lineRule="auto"/>
        <w:jc w:val="both"/>
        <w:rPr>
          <w:noProof/>
          <w:spacing w:val="-6"/>
          <w:lang w:val="sk-SK"/>
        </w:rPr>
      </w:pPr>
      <w:r w:rsidRPr="00AB26B3">
        <w:rPr>
          <w:noProof/>
          <w:spacing w:val="-6"/>
          <w:lang w:val="sk-SK"/>
        </w:rPr>
        <w:t>Cieľom opatrenia je zlepšiť kontrolu kvality</w:t>
      </w:r>
      <w:r w:rsidR="00AB26B3" w:rsidRPr="00AB26B3">
        <w:rPr>
          <w:noProof/>
          <w:spacing w:val="-6"/>
          <w:lang w:val="sk-SK"/>
        </w:rPr>
        <w:t xml:space="preserve"> a </w:t>
      </w:r>
      <w:r w:rsidRPr="00AB26B3">
        <w:rPr>
          <w:noProof/>
          <w:spacing w:val="-6"/>
          <w:lang w:val="sk-SK"/>
        </w:rPr>
        <w:t>aktualizovať systém odbornej prípravy verejných služieb zamestnanosti (DYPA)</w:t>
      </w:r>
      <w:r w:rsidR="00AB26B3" w:rsidRPr="00AB26B3">
        <w:rPr>
          <w:noProof/>
          <w:spacing w:val="-6"/>
          <w:lang w:val="sk-SK"/>
        </w:rPr>
        <w:t xml:space="preserve"> s </w:t>
      </w:r>
      <w:r w:rsidRPr="00AB26B3">
        <w:rPr>
          <w:noProof/>
          <w:spacing w:val="-6"/>
          <w:lang w:val="sk-SK"/>
        </w:rPr>
        <w:t>cieľom uspokojiť potreby trhu práce. Toto opatrenie pozostáva</w:t>
      </w:r>
      <w:r w:rsidR="00AB26B3" w:rsidRPr="00AB26B3">
        <w:rPr>
          <w:noProof/>
          <w:spacing w:val="-6"/>
          <w:lang w:val="sk-SK"/>
        </w:rPr>
        <w:t xml:space="preserve"> z </w:t>
      </w:r>
      <w:r w:rsidRPr="00AB26B3">
        <w:rPr>
          <w:noProof/>
          <w:spacing w:val="-6"/>
          <w:lang w:val="sk-SK"/>
        </w:rPr>
        <w:t>investícií na podporu systému kontroly kvality systému odbornej prípravy DYPA</w:t>
      </w:r>
      <w:r w:rsidR="00AB26B3" w:rsidRPr="00AB26B3">
        <w:rPr>
          <w:noProof/>
          <w:spacing w:val="-6"/>
          <w:lang w:val="sk-SK"/>
        </w:rPr>
        <w:t xml:space="preserve"> a </w:t>
      </w:r>
      <w:r w:rsidRPr="00AB26B3">
        <w:rPr>
          <w:noProof/>
          <w:spacing w:val="-6"/>
          <w:lang w:val="sk-SK"/>
        </w:rPr>
        <w:t>sektorových programov odbornej prípravy</w:t>
      </w:r>
      <w:r w:rsidR="00AB26B3" w:rsidRPr="00AB26B3">
        <w:rPr>
          <w:noProof/>
          <w:spacing w:val="-6"/>
          <w:lang w:val="sk-SK"/>
        </w:rPr>
        <w:t>.</w:t>
      </w:r>
    </w:p>
    <w:p w14:paraId="24B63BDB" w14:textId="655B8D99"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Modernizácia odborného vzdelávania</w:t>
      </w:r>
      <w:r w:rsidR="00AB26B3" w:rsidRPr="00AB26B3">
        <w:rPr>
          <w:noProof/>
          <w:spacing w:val="-6"/>
          <w:lang w:val="sk-SK"/>
        </w:rPr>
        <w:t xml:space="preserve"> a </w:t>
      </w:r>
      <w:r w:rsidRPr="00AB26B3">
        <w:rPr>
          <w:noProof/>
          <w:spacing w:val="-6"/>
          <w:lang w:val="sk-SK"/>
        </w:rPr>
        <w:t>prípravy (opatrenie ID: 16934)</w:t>
      </w:r>
    </w:p>
    <w:p w14:paraId="15BBCBC6" w14:textId="63E09C1F"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zlepšiť odborné vzdelávanie</w:t>
      </w:r>
      <w:r w:rsidR="00AB26B3" w:rsidRPr="00AB26B3">
        <w:rPr>
          <w:noProof/>
          <w:spacing w:val="-6"/>
          <w:lang w:val="sk-SK"/>
        </w:rPr>
        <w:t xml:space="preserve"> a </w:t>
      </w:r>
      <w:r w:rsidRPr="00AB26B3">
        <w:rPr>
          <w:noProof/>
          <w:spacing w:val="-6"/>
          <w:lang w:val="sk-SK"/>
        </w:rPr>
        <w:t>prípravu (OVP). Reforma pozostáva</w:t>
      </w:r>
      <w:r w:rsidR="00AB26B3" w:rsidRPr="00AB26B3">
        <w:rPr>
          <w:noProof/>
          <w:spacing w:val="-6"/>
          <w:lang w:val="sk-SK"/>
        </w:rPr>
        <w:t xml:space="preserve"> z </w:t>
      </w:r>
      <w:r w:rsidRPr="00AB26B3">
        <w:rPr>
          <w:noProof/>
          <w:spacing w:val="-6"/>
          <w:lang w:val="sk-SK"/>
        </w:rPr>
        <w:t>rozvoja programov odbornej prípravy</w:t>
      </w:r>
      <w:r w:rsidR="00AB26B3" w:rsidRPr="00AB26B3">
        <w:rPr>
          <w:noProof/>
          <w:spacing w:val="-6"/>
          <w:lang w:val="sk-SK"/>
        </w:rPr>
        <w:t xml:space="preserve"> a </w:t>
      </w:r>
      <w:r w:rsidRPr="00AB26B3">
        <w:rPr>
          <w:noProof/>
          <w:spacing w:val="-6"/>
          <w:lang w:val="sk-SK"/>
        </w:rPr>
        <w:t>premeny existujúcich vzdelávacích materiálov na moduly elektronického vzdelávania</w:t>
      </w:r>
      <w:r w:rsidR="00AB26B3" w:rsidRPr="00AB26B3">
        <w:rPr>
          <w:noProof/>
          <w:spacing w:val="-6"/>
          <w:lang w:val="sk-SK"/>
        </w:rPr>
        <w:t>.</w:t>
      </w:r>
    </w:p>
    <w:p w14:paraId="21852614" w14:textId="3F2BFDFE"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vzdelávania (identifikačné číslo opatrenia: 16676)</w:t>
      </w:r>
    </w:p>
    <w:p w14:paraId="0C12828B" w14:textId="30C2DCF5"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umožniť digitálnu transformáciu vo vzdelávaní. Investícia pozostáva</w:t>
      </w:r>
      <w:r w:rsidR="00AB26B3" w:rsidRPr="00AB26B3">
        <w:rPr>
          <w:noProof/>
          <w:spacing w:val="-6"/>
          <w:lang w:val="sk-SK"/>
        </w:rPr>
        <w:t xml:space="preserve"> z </w:t>
      </w:r>
      <w:r w:rsidRPr="00AB26B3">
        <w:rPr>
          <w:noProof/>
          <w:spacing w:val="-6"/>
          <w:lang w:val="sk-SK"/>
        </w:rPr>
        <w:t>týchto zložiek: Digitálny obsah</w:t>
      </w:r>
      <w:r w:rsidR="00AB26B3" w:rsidRPr="00AB26B3">
        <w:rPr>
          <w:noProof/>
          <w:spacing w:val="-6"/>
          <w:lang w:val="sk-SK"/>
        </w:rPr>
        <w:t xml:space="preserve"> v </w:t>
      </w:r>
      <w:r w:rsidRPr="00AB26B3">
        <w:rPr>
          <w:noProof/>
          <w:spacing w:val="-6"/>
          <w:lang w:val="sk-SK"/>
        </w:rPr>
        <w:t>školách; digitálne vybavenie</w:t>
      </w:r>
      <w:r w:rsidR="00AB26B3" w:rsidRPr="00AB26B3">
        <w:rPr>
          <w:noProof/>
          <w:spacing w:val="-6"/>
          <w:lang w:val="sk-SK"/>
        </w:rPr>
        <w:t xml:space="preserve"> v </w:t>
      </w:r>
      <w:r w:rsidRPr="00AB26B3">
        <w:rPr>
          <w:noProof/>
          <w:spacing w:val="-6"/>
          <w:lang w:val="sk-SK"/>
        </w:rPr>
        <w:t>školách; profesijný rozvoj učiteľov</w:t>
      </w:r>
      <w:r w:rsidR="00AB26B3" w:rsidRPr="00AB26B3">
        <w:rPr>
          <w:noProof/>
          <w:spacing w:val="-6"/>
          <w:lang w:val="sk-SK"/>
        </w:rPr>
        <w:t xml:space="preserve"> v </w:t>
      </w:r>
      <w:r w:rsidRPr="00AB26B3">
        <w:rPr>
          <w:noProof/>
          <w:spacing w:val="-6"/>
          <w:lang w:val="sk-SK"/>
        </w:rPr>
        <w:t>školách</w:t>
      </w:r>
      <w:r w:rsidR="00AB26B3" w:rsidRPr="00AB26B3">
        <w:rPr>
          <w:noProof/>
          <w:spacing w:val="-6"/>
          <w:lang w:val="sk-SK"/>
        </w:rPr>
        <w:t xml:space="preserve"> a </w:t>
      </w:r>
      <w:r w:rsidRPr="00AB26B3">
        <w:rPr>
          <w:noProof/>
          <w:spacing w:val="-6"/>
          <w:lang w:val="sk-SK"/>
        </w:rPr>
        <w:t>digitálne služby</w:t>
      </w:r>
      <w:r w:rsidR="00AB26B3" w:rsidRPr="00AB26B3">
        <w:rPr>
          <w:noProof/>
          <w:spacing w:val="-6"/>
          <w:lang w:val="sk-SK"/>
        </w:rPr>
        <w:t xml:space="preserve"> v </w:t>
      </w:r>
      <w:r w:rsidRPr="00AB26B3">
        <w:rPr>
          <w:noProof/>
          <w:spacing w:val="-6"/>
          <w:lang w:val="sk-SK"/>
        </w:rPr>
        <w:t>školách.</w:t>
      </w:r>
    </w:p>
    <w:p w14:paraId="3D26C798" w14:textId="0FD078BA"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Modernizácia odborného vzdelávania</w:t>
      </w:r>
      <w:r w:rsidR="00AB26B3" w:rsidRPr="00AB26B3">
        <w:rPr>
          <w:noProof/>
          <w:spacing w:val="-6"/>
          <w:lang w:val="sk-SK"/>
        </w:rPr>
        <w:t xml:space="preserve"> a </w:t>
      </w:r>
      <w:r w:rsidRPr="00AB26B3">
        <w:rPr>
          <w:noProof/>
          <w:spacing w:val="-6"/>
          <w:lang w:val="sk-SK"/>
        </w:rPr>
        <w:t>prípravy (OVP): Dodávka laboratórneho vybavenia pre laboratórne strediská pre SAEK, EPAL, triedu post-sekundárneho ročníka učňovskej prípravy</w:t>
      </w:r>
      <w:r w:rsidR="00AB26B3" w:rsidRPr="00AB26B3">
        <w:rPr>
          <w:noProof/>
          <w:spacing w:val="-6"/>
          <w:lang w:val="sk-SK"/>
        </w:rPr>
        <w:t xml:space="preserve"> a </w:t>
      </w:r>
      <w:r w:rsidRPr="00AB26B3">
        <w:rPr>
          <w:noProof/>
          <w:spacing w:val="-6"/>
          <w:lang w:val="sk-SK"/>
        </w:rPr>
        <w:t>školy odborného vzdelávania (opatrenie ID: 16933)</w:t>
      </w:r>
    </w:p>
    <w:p w14:paraId="6DD82E5B" w14:textId="1171DA81"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modernizovať laboratórne infraštruktúry inštitúcií odborného vzdelávania</w:t>
      </w:r>
      <w:r w:rsidR="00AB26B3" w:rsidRPr="00AB26B3">
        <w:rPr>
          <w:noProof/>
          <w:spacing w:val="-6"/>
          <w:lang w:val="sk-SK"/>
        </w:rPr>
        <w:t xml:space="preserve"> a </w:t>
      </w:r>
      <w:r w:rsidRPr="00AB26B3">
        <w:rPr>
          <w:noProof/>
          <w:spacing w:val="-6"/>
          <w:lang w:val="sk-SK"/>
        </w:rPr>
        <w:t>prípravy (OVP)</w:t>
      </w:r>
      <w:r w:rsidR="00AB26B3" w:rsidRPr="00AB26B3">
        <w:rPr>
          <w:noProof/>
          <w:spacing w:val="-6"/>
          <w:lang w:val="sk-SK"/>
        </w:rPr>
        <w:t xml:space="preserve"> v </w:t>
      </w:r>
      <w:r w:rsidRPr="00AB26B3">
        <w:rPr>
          <w:noProof/>
          <w:spacing w:val="-6"/>
          <w:lang w:val="sk-SK"/>
        </w:rPr>
        <w:t>celom Grécku. Opatrenie pozostáva</w:t>
      </w:r>
      <w:r w:rsidR="00AB26B3" w:rsidRPr="00AB26B3">
        <w:rPr>
          <w:noProof/>
          <w:spacing w:val="-6"/>
          <w:lang w:val="sk-SK"/>
        </w:rPr>
        <w:t xml:space="preserve"> z </w:t>
      </w:r>
      <w:r w:rsidRPr="00AB26B3">
        <w:rPr>
          <w:noProof/>
          <w:spacing w:val="-6"/>
          <w:lang w:val="sk-SK"/>
        </w:rPr>
        <w:t>modernizácie infraštruktúry pre školy vyššieho odborného vzdelávania (SAEK), stredné odborné školy (EPAL), triedu post-sekundárneho ročníka učňovskej prípravy</w:t>
      </w:r>
      <w:r w:rsidR="00AB26B3" w:rsidRPr="00AB26B3">
        <w:rPr>
          <w:noProof/>
          <w:spacing w:val="-6"/>
          <w:lang w:val="sk-SK"/>
        </w:rPr>
        <w:t xml:space="preserve"> a </w:t>
      </w:r>
      <w:r w:rsidRPr="00AB26B3">
        <w:rPr>
          <w:noProof/>
          <w:spacing w:val="-6"/>
          <w:lang w:val="sk-SK"/>
        </w:rPr>
        <w:t>školy odborného vzdelávania</w:t>
      </w:r>
      <w:r w:rsidR="00AB26B3" w:rsidRPr="00AB26B3">
        <w:rPr>
          <w:noProof/>
          <w:spacing w:val="-6"/>
          <w:lang w:val="sk-SK"/>
        </w:rPr>
        <w:t>.</w:t>
      </w:r>
    </w:p>
    <w:p w14:paraId="5ADFB42D" w14:textId="60851DE1" w:rsidR="00302FC1" w:rsidRPr="00AB26B3" w:rsidRDefault="00302FC1">
      <w:pPr>
        <w:spacing w:before="120" w:after="120" w:line="240" w:lineRule="auto"/>
        <w:ind w:left="709"/>
        <w:jc w:val="both"/>
        <w:rPr>
          <w:rFonts w:ascii="Times New Roman" w:hAnsi="Times New Roman" w:cs="Times New Roman"/>
          <w:noProof/>
          <w:spacing w:val="-6"/>
          <w:sz w:val="24"/>
          <w:lang w:val="sk-SK"/>
        </w:rPr>
      </w:pPr>
    </w:p>
    <w:p w14:paraId="53100CAC"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default" r:id="rId162"/>
          <w:footerReference w:type="default" r:id="rId163"/>
          <w:pgSz w:w="11906" w:h="16838"/>
          <w:pgMar w:top="1417" w:right="1417" w:bottom="1417" w:left="1417" w:header="708" w:footer="708" w:gutter="0"/>
          <w:cols w:space="708"/>
          <w:docGrid w:linePitch="360"/>
        </w:sectPr>
      </w:pPr>
    </w:p>
    <w:p w14:paraId="29C2F2A9" w14:textId="1E22A090"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I.2.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36E3FE82" w14:textId="1F017E5D" w:rsidR="00302FC1" w:rsidRPr="00AB26B3" w:rsidRDefault="00D64F26">
      <w:pPr>
        <w:pStyle w:val="P68B1DB1-Normal36"/>
        <w:keepNext/>
        <w:keepLines/>
        <w:spacing w:before="40" w:after="0" w:line="240" w:lineRule="auto"/>
        <w:jc w:val="both"/>
        <w:outlineLvl w:val="4"/>
        <w:rPr>
          <w:rFonts w:ascii="Times New Roman" w:hAnsi="Times New Roman"/>
          <w:noProof/>
          <w:color w:val="365F91"/>
          <w:spacing w:val="-6"/>
          <w:lang w:val="sk-SK"/>
        </w:rPr>
      </w:pPr>
      <w:r w:rsidRPr="00AB26B3">
        <w:rPr>
          <w:rFonts w:ascii="Times New Roman" w:hAnsi="Times New Roman"/>
          <w:noProof/>
          <w:spacing w:val="-6"/>
          <w:lang w:val="sk-SK"/>
        </w:rPr>
        <w:t>Najvýznamnejšia investícia 5: Nová stratégia pre celoživotné zručnosti: Modernizácia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aktualizácia gréckeho systému zvyšovania úrovne zručností</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rekvalifikácie</w:t>
      </w:r>
    </w:p>
    <w:tbl>
      <w:tblPr>
        <w:tblW w:w="1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6"/>
        <w:gridCol w:w="2203"/>
        <w:gridCol w:w="1043"/>
        <w:gridCol w:w="1142"/>
        <w:gridCol w:w="1459"/>
        <w:gridCol w:w="1332"/>
        <w:gridCol w:w="870"/>
        <w:gridCol w:w="998"/>
        <w:gridCol w:w="850"/>
        <w:gridCol w:w="709"/>
        <w:gridCol w:w="4761"/>
      </w:tblGrid>
      <w:tr w:rsidR="00302FC1" w:rsidRPr="00AB26B3" w14:paraId="7887B816" w14:textId="77777777">
        <w:trPr>
          <w:trHeight w:val="740"/>
          <w:tblHeader/>
          <w:jc w:val="center"/>
        </w:trPr>
        <w:tc>
          <w:tcPr>
            <w:tcW w:w="536" w:type="dxa"/>
            <w:vMerge w:val="restart"/>
            <w:shd w:val="clear" w:color="auto" w:fill="BDD7EE"/>
            <w:vAlign w:val="center"/>
            <w:hideMark/>
          </w:tcPr>
          <w:p w14:paraId="63A79525" w14:textId="3FB250B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2203" w:type="dxa"/>
            <w:vMerge w:val="restart"/>
            <w:shd w:val="clear" w:color="auto" w:fill="BDD7EE"/>
            <w:vAlign w:val="center"/>
            <w:hideMark/>
          </w:tcPr>
          <w:p w14:paraId="2F11971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43" w:type="dxa"/>
            <w:vMerge w:val="restart"/>
            <w:shd w:val="clear" w:color="auto" w:fill="BDD7EE"/>
            <w:vAlign w:val="center"/>
            <w:hideMark/>
          </w:tcPr>
          <w:p w14:paraId="50DD2CD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142" w:type="dxa"/>
            <w:vMerge w:val="restart"/>
            <w:shd w:val="clear" w:color="auto" w:fill="BDD7EE"/>
            <w:vAlign w:val="center"/>
            <w:hideMark/>
          </w:tcPr>
          <w:p w14:paraId="500ECAE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459" w:type="dxa"/>
            <w:vMerge w:val="restart"/>
            <w:shd w:val="clear" w:color="auto" w:fill="BDD7EE"/>
            <w:vAlign w:val="center"/>
            <w:hideMark/>
          </w:tcPr>
          <w:p w14:paraId="628B486D" w14:textId="57088C36"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200" w:type="dxa"/>
            <w:gridSpan w:val="3"/>
            <w:shd w:val="clear" w:color="auto" w:fill="BDD7EE"/>
            <w:vAlign w:val="center"/>
            <w:hideMark/>
          </w:tcPr>
          <w:p w14:paraId="14665A23" w14:textId="2666B51E" w:rsidR="00302FC1" w:rsidRPr="00AB26B3" w:rsidRDefault="00D64F26">
            <w:pPr>
              <w:pStyle w:val="P68B1DB1-Normal18"/>
              <w:spacing w:after="0" w:line="240" w:lineRule="auto"/>
              <w:jc w:val="center"/>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 xml:space="preserve">Kvantitatívne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 xml:space="preserve"> (pre ciele)</w:t>
            </w:r>
          </w:p>
        </w:tc>
        <w:tc>
          <w:tcPr>
            <w:tcW w:w="1559" w:type="dxa"/>
            <w:gridSpan w:val="2"/>
            <w:shd w:val="clear" w:color="auto" w:fill="BDD7EE"/>
            <w:vAlign w:val="center"/>
            <w:hideMark/>
          </w:tcPr>
          <w:p w14:paraId="359CB0B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761" w:type="dxa"/>
            <w:vMerge w:val="restart"/>
            <w:shd w:val="clear" w:color="auto" w:fill="BDD7EE"/>
            <w:vAlign w:val="center"/>
            <w:hideMark/>
          </w:tcPr>
          <w:p w14:paraId="5733C7E0" w14:textId="5F557C69"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7EACA53" w14:textId="77777777">
        <w:trPr>
          <w:trHeight w:val="512"/>
          <w:tblHeader/>
          <w:jc w:val="center"/>
        </w:trPr>
        <w:tc>
          <w:tcPr>
            <w:tcW w:w="536" w:type="dxa"/>
            <w:vMerge/>
            <w:vAlign w:val="center"/>
            <w:hideMark/>
          </w:tcPr>
          <w:p w14:paraId="09AE0A6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203" w:type="dxa"/>
            <w:vMerge/>
            <w:vAlign w:val="center"/>
            <w:hideMark/>
          </w:tcPr>
          <w:p w14:paraId="74D2906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43" w:type="dxa"/>
            <w:vMerge/>
            <w:vAlign w:val="center"/>
            <w:hideMark/>
          </w:tcPr>
          <w:p w14:paraId="4CFA779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42" w:type="dxa"/>
            <w:vMerge/>
            <w:vAlign w:val="center"/>
            <w:hideMark/>
          </w:tcPr>
          <w:p w14:paraId="3FCBA4D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59" w:type="dxa"/>
            <w:vMerge/>
            <w:vAlign w:val="center"/>
            <w:hideMark/>
          </w:tcPr>
          <w:p w14:paraId="0280A28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32" w:type="dxa"/>
            <w:shd w:val="clear" w:color="auto" w:fill="BDD7EE"/>
            <w:vAlign w:val="center"/>
            <w:hideMark/>
          </w:tcPr>
          <w:p w14:paraId="1BE7F2A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70" w:type="dxa"/>
            <w:shd w:val="clear" w:color="auto" w:fill="BDD7EE"/>
            <w:vAlign w:val="center"/>
            <w:hideMark/>
          </w:tcPr>
          <w:p w14:paraId="2C53DF5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998" w:type="dxa"/>
            <w:shd w:val="clear" w:color="auto" w:fill="BDD7EE"/>
            <w:vAlign w:val="center"/>
            <w:hideMark/>
          </w:tcPr>
          <w:p w14:paraId="28AABBD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50" w:type="dxa"/>
            <w:shd w:val="clear" w:color="auto" w:fill="BDD7EE"/>
            <w:vAlign w:val="center"/>
            <w:hideMark/>
          </w:tcPr>
          <w:p w14:paraId="38F5987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9" w:type="dxa"/>
            <w:shd w:val="clear" w:color="auto" w:fill="BDD7EE"/>
            <w:vAlign w:val="center"/>
            <w:hideMark/>
          </w:tcPr>
          <w:p w14:paraId="40E6501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761" w:type="dxa"/>
            <w:vMerge/>
            <w:vAlign w:val="center"/>
            <w:hideMark/>
          </w:tcPr>
          <w:p w14:paraId="5E9B53C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4441E9CB" w14:textId="77777777">
        <w:trPr>
          <w:trHeight w:val="309"/>
          <w:jc w:val="center"/>
        </w:trPr>
        <w:tc>
          <w:tcPr>
            <w:tcW w:w="536" w:type="dxa"/>
            <w:shd w:val="clear" w:color="auto" w:fill="C6EFCE"/>
            <w:noWrap/>
          </w:tcPr>
          <w:p w14:paraId="5560866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138</w:t>
            </w:r>
          </w:p>
        </w:tc>
        <w:tc>
          <w:tcPr>
            <w:tcW w:w="2203" w:type="dxa"/>
            <w:shd w:val="clear" w:color="auto" w:fill="C6EFCE"/>
            <w:noWrap/>
          </w:tcPr>
          <w:p w14:paraId="731001DD" w14:textId="7AC8CFD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16913_Nová stratégia pre celoživotné zručnosti: Modernizácia</w:t>
            </w:r>
            <w:r w:rsidR="00AB26B3" w:rsidRPr="00AB26B3">
              <w:rPr>
                <w:noProof/>
                <w:spacing w:val="-6"/>
                <w:lang w:val="sk-SK"/>
              </w:rPr>
              <w:t xml:space="preserve"> a </w:t>
            </w:r>
            <w:r w:rsidRPr="00AB26B3">
              <w:rPr>
                <w:noProof/>
                <w:spacing w:val="-6"/>
                <w:lang w:val="sk-SK"/>
              </w:rPr>
              <w:t>aktualizácia gréckeho systému zvyšovania úrovne zručností</w:t>
            </w:r>
            <w:r w:rsidR="00AB26B3" w:rsidRPr="00AB26B3">
              <w:rPr>
                <w:noProof/>
                <w:spacing w:val="-6"/>
                <w:lang w:val="sk-SK"/>
              </w:rPr>
              <w:t xml:space="preserve"> a </w:t>
            </w:r>
            <w:r w:rsidRPr="00AB26B3">
              <w:rPr>
                <w:noProof/>
                <w:spacing w:val="-6"/>
                <w:lang w:val="sk-SK"/>
              </w:rPr>
              <w:t>rekvalifikácie</w:t>
            </w:r>
          </w:p>
        </w:tc>
        <w:tc>
          <w:tcPr>
            <w:tcW w:w="1043" w:type="dxa"/>
            <w:shd w:val="clear" w:color="auto" w:fill="C6EFCE"/>
            <w:noWrap/>
          </w:tcPr>
          <w:p w14:paraId="4824783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42" w:type="dxa"/>
            <w:shd w:val="clear" w:color="auto" w:fill="C6EFCE"/>
            <w:noWrap/>
          </w:tcPr>
          <w:p w14:paraId="3A23C1D9" w14:textId="3938AE7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r w:rsidR="00AB26B3" w:rsidRPr="00AB26B3">
              <w:rPr>
                <w:noProof/>
                <w:spacing w:val="-6"/>
                <w:lang w:val="sk-SK"/>
              </w:rPr>
              <w:t xml:space="preserve"> v </w:t>
            </w:r>
            <w:r w:rsidRPr="00AB26B3">
              <w:rPr>
                <w:noProof/>
                <w:spacing w:val="-6"/>
                <w:lang w:val="sk-SK"/>
              </w:rPr>
              <w:t>súvislosti so stratégiou celoživotného vzdelávania</w:t>
            </w:r>
          </w:p>
        </w:tc>
        <w:tc>
          <w:tcPr>
            <w:tcW w:w="1459" w:type="dxa"/>
            <w:shd w:val="clear" w:color="auto" w:fill="C6EFCE"/>
            <w:noWrap/>
          </w:tcPr>
          <w:p w14:paraId="08D077B4" w14:textId="423824D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 xml:space="preserve">sekundárnych právnych predpisov </w:t>
            </w:r>
          </w:p>
        </w:tc>
        <w:tc>
          <w:tcPr>
            <w:tcW w:w="1332" w:type="dxa"/>
            <w:shd w:val="clear" w:color="auto" w:fill="C6EFCE"/>
            <w:noWrap/>
          </w:tcPr>
          <w:p w14:paraId="408CEE0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0" w:type="dxa"/>
            <w:shd w:val="clear" w:color="auto" w:fill="C6EFCE"/>
            <w:noWrap/>
          </w:tcPr>
          <w:p w14:paraId="7993B6B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8" w:type="dxa"/>
            <w:shd w:val="clear" w:color="auto" w:fill="C6EFCE"/>
            <w:noWrap/>
          </w:tcPr>
          <w:p w14:paraId="32D56B3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shd w:val="clear" w:color="auto" w:fill="C6EFCE"/>
            <w:noWrap/>
          </w:tcPr>
          <w:p w14:paraId="407EE3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5EEFC91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761" w:type="dxa"/>
            <w:shd w:val="clear" w:color="auto" w:fill="C6EFCE"/>
            <w:noWrap/>
          </w:tcPr>
          <w:p w14:paraId="30017DC0" w14:textId="41A3B9C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 základe národnej stratégie pre celoživotné vzdelávanie nadobudnú účinnosť primárne</w:t>
            </w:r>
            <w:r w:rsidR="00AB26B3" w:rsidRPr="00AB26B3">
              <w:rPr>
                <w:noProof/>
                <w:spacing w:val="-6"/>
                <w:lang w:val="sk-SK"/>
              </w:rPr>
              <w:t xml:space="preserve"> a </w:t>
            </w:r>
            <w:r w:rsidRPr="00AB26B3">
              <w:rPr>
                <w:noProof/>
                <w:spacing w:val="-6"/>
                <w:lang w:val="sk-SK"/>
              </w:rPr>
              <w:t>sekundárne právne predpisy,</w:t>
            </w:r>
            <w:r w:rsidR="00AB26B3" w:rsidRPr="00AB26B3">
              <w:rPr>
                <w:noProof/>
                <w:spacing w:val="-6"/>
                <w:lang w:val="sk-SK"/>
              </w:rPr>
              <w:t xml:space="preserve"> v </w:t>
            </w:r>
            <w:r w:rsidRPr="00AB26B3">
              <w:rPr>
                <w:noProof/>
                <w:spacing w:val="-6"/>
                <w:lang w:val="sk-SK"/>
              </w:rPr>
              <w:t>ktorých sa stanovia kľúčové prvky nového rámca celoživotného vzdelávania (vrátane ustanovení</w:t>
            </w:r>
            <w:r w:rsidR="00AB26B3" w:rsidRPr="00AB26B3">
              <w:rPr>
                <w:noProof/>
                <w:spacing w:val="-6"/>
                <w:lang w:val="sk-SK"/>
              </w:rPr>
              <w:t xml:space="preserve"> o </w:t>
            </w:r>
            <w:r w:rsidRPr="00AB26B3">
              <w:rPr>
                <w:noProof/>
                <w:spacing w:val="-6"/>
                <w:lang w:val="sk-SK"/>
              </w:rPr>
              <w:t>zriadení národnej rady pre zručnosti ako ústredného orgánu dohľadu,</w:t>
            </w:r>
            <w:r w:rsidR="00AB26B3" w:rsidRPr="00AB26B3">
              <w:rPr>
                <w:noProof/>
                <w:spacing w:val="-6"/>
                <w:lang w:val="sk-SK"/>
              </w:rPr>
              <w:t xml:space="preserve"> o </w:t>
            </w:r>
            <w:r w:rsidRPr="00AB26B3">
              <w:rPr>
                <w:noProof/>
                <w:spacing w:val="-6"/>
                <w:lang w:val="sk-SK"/>
              </w:rPr>
              <w:t>zriadení účtov celoživotného vzdelávania, národného zoznamu oprávnených poskytovateľov odbornej prípravy</w:t>
            </w:r>
            <w:r w:rsidR="00AB26B3" w:rsidRPr="00AB26B3">
              <w:rPr>
                <w:noProof/>
                <w:spacing w:val="-6"/>
                <w:lang w:val="sk-SK"/>
              </w:rPr>
              <w:t xml:space="preserve"> a </w:t>
            </w:r>
            <w:r w:rsidRPr="00AB26B3">
              <w:rPr>
                <w:noProof/>
                <w:spacing w:val="-6"/>
                <w:lang w:val="sk-SK"/>
              </w:rPr>
              <w:t>hodnotiacej tabuľky</w:t>
            </w:r>
            <w:r w:rsidR="00AB26B3" w:rsidRPr="00AB26B3">
              <w:rPr>
                <w:noProof/>
                <w:spacing w:val="-6"/>
                <w:lang w:val="sk-SK"/>
              </w:rPr>
              <w:t xml:space="preserve"> a </w:t>
            </w:r>
            <w:r w:rsidRPr="00AB26B3">
              <w:rPr>
                <w:noProof/>
                <w:spacing w:val="-6"/>
                <w:lang w:val="sk-SK"/>
              </w:rPr>
              <w:t>mechanizmu diagnostiky trhu práce).</w:t>
            </w:r>
          </w:p>
        </w:tc>
      </w:tr>
      <w:tr w:rsidR="00302FC1" w:rsidRPr="00AB26B3" w14:paraId="4B3B2688" w14:textId="77777777">
        <w:trPr>
          <w:trHeight w:val="309"/>
          <w:jc w:val="center"/>
        </w:trPr>
        <w:tc>
          <w:tcPr>
            <w:tcW w:w="536" w:type="dxa"/>
            <w:shd w:val="clear" w:color="auto" w:fill="C6EFCE"/>
            <w:noWrap/>
          </w:tcPr>
          <w:p w14:paraId="2FB2EFA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139</w:t>
            </w:r>
          </w:p>
        </w:tc>
        <w:tc>
          <w:tcPr>
            <w:tcW w:w="2203" w:type="dxa"/>
            <w:shd w:val="clear" w:color="auto" w:fill="C6EFCE"/>
            <w:noWrap/>
          </w:tcPr>
          <w:p w14:paraId="7EA1C55E" w14:textId="3FC42F2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16913_Nová stratégia pre celoživotné zručnosti: Modernizácia</w:t>
            </w:r>
            <w:r w:rsidR="00AB26B3" w:rsidRPr="00AB26B3">
              <w:rPr>
                <w:noProof/>
                <w:spacing w:val="-6"/>
                <w:lang w:val="sk-SK"/>
              </w:rPr>
              <w:t xml:space="preserve"> a </w:t>
            </w:r>
            <w:r w:rsidRPr="00AB26B3">
              <w:rPr>
                <w:noProof/>
                <w:spacing w:val="-6"/>
                <w:lang w:val="sk-SK"/>
              </w:rPr>
              <w:t>aktualizácia gréckeho systému zvyšovania úrovne zručností</w:t>
            </w:r>
            <w:r w:rsidR="00AB26B3" w:rsidRPr="00AB26B3">
              <w:rPr>
                <w:noProof/>
                <w:spacing w:val="-6"/>
                <w:lang w:val="sk-SK"/>
              </w:rPr>
              <w:t xml:space="preserve"> a </w:t>
            </w:r>
            <w:r w:rsidRPr="00AB26B3">
              <w:rPr>
                <w:noProof/>
                <w:spacing w:val="-6"/>
                <w:lang w:val="sk-SK"/>
              </w:rPr>
              <w:t>rekvalifikácie</w:t>
            </w:r>
          </w:p>
        </w:tc>
        <w:tc>
          <w:tcPr>
            <w:tcW w:w="1043" w:type="dxa"/>
            <w:shd w:val="clear" w:color="auto" w:fill="C6EFCE"/>
            <w:noWrap/>
          </w:tcPr>
          <w:p w14:paraId="1F1D9B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142" w:type="dxa"/>
            <w:shd w:val="clear" w:color="auto" w:fill="C6EFCE"/>
            <w:noWrap/>
          </w:tcPr>
          <w:p w14:paraId="4DD84E64" w14:textId="036322D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Validácia dokončenia stratégie celoživotného vzdelávania</w:t>
            </w:r>
            <w:r w:rsidR="00AB26B3" w:rsidRPr="00AB26B3">
              <w:rPr>
                <w:noProof/>
                <w:spacing w:val="-6"/>
                <w:lang w:val="sk-SK"/>
              </w:rPr>
              <w:t xml:space="preserve"> v </w:t>
            </w:r>
            <w:r w:rsidRPr="00AB26B3">
              <w:rPr>
                <w:noProof/>
                <w:spacing w:val="-6"/>
                <w:lang w:val="sk-SK"/>
              </w:rPr>
              <w:t>rámci programov odbornej prípravy</w:t>
            </w:r>
          </w:p>
        </w:tc>
        <w:tc>
          <w:tcPr>
            <w:tcW w:w="1459" w:type="dxa"/>
            <w:shd w:val="clear" w:color="auto" w:fill="C6EFCE"/>
            <w:noWrap/>
          </w:tcPr>
          <w:p w14:paraId="7E44421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32" w:type="dxa"/>
            <w:shd w:val="clear" w:color="auto" w:fill="C6EFCE"/>
            <w:noWrap/>
          </w:tcPr>
          <w:p w14:paraId="4FA32BAD" w14:textId="1A475ED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osôb, ktoré získali osvedčenie</w:t>
            </w:r>
            <w:r w:rsidR="00AB26B3" w:rsidRPr="00AB26B3">
              <w:rPr>
                <w:noProof/>
                <w:spacing w:val="-6"/>
                <w:lang w:val="sk-SK"/>
              </w:rPr>
              <w:t xml:space="preserve"> o </w:t>
            </w:r>
            <w:r w:rsidRPr="00AB26B3">
              <w:rPr>
                <w:noProof/>
                <w:spacing w:val="-6"/>
                <w:lang w:val="sk-SK"/>
              </w:rPr>
              <w:t>úspešnej účasti na programe odbornej prípravy</w:t>
            </w:r>
          </w:p>
        </w:tc>
        <w:tc>
          <w:tcPr>
            <w:tcW w:w="870" w:type="dxa"/>
            <w:shd w:val="clear" w:color="auto" w:fill="C6EFCE"/>
            <w:noWrap/>
          </w:tcPr>
          <w:p w14:paraId="4AFE93CF" w14:textId="7DF7CC54" w:rsidR="00302FC1" w:rsidRPr="00AB26B3" w:rsidRDefault="00D64F26">
            <w:pPr>
              <w:pStyle w:val="P68B1DB1-Normal12"/>
              <w:spacing w:after="0" w:line="240" w:lineRule="auto"/>
              <w:rPr>
                <w:noProof/>
                <w:spacing w:val="-6"/>
                <w:lang w:val="sk-SK"/>
              </w:rPr>
            </w:pPr>
            <w:r w:rsidRPr="00AB26B3">
              <w:rPr>
                <w:noProof/>
                <w:spacing w:val="-6"/>
                <w:lang w:val="sk-SK"/>
              </w:rPr>
              <w:t>0</w:t>
            </w:r>
          </w:p>
        </w:tc>
        <w:tc>
          <w:tcPr>
            <w:tcW w:w="998" w:type="dxa"/>
            <w:shd w:val="clear" w:color="auto" w:fill="C6EFCE"/>
            <w:noWrap/>
          </w:tcPr>
          <w:p w14:paraId="237950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150 000</w:t>
            </w:r>
          </w:p>
        </w:tc>
        <w:tc>
          <w:tcPr>
            <w:tcW w:w="850" w:type="dxa"/>
            <w:shd w:val="clear" w:color="auto" w:fill="C6EFCE"/>
            <w:noWrap/>
          </w:tcPr>
          <w:p w14:paraId="00160D1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69003F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761" w:type="dxa"/>
            <w:shd w:val="clear" w:color="auto" w:fill="C6EFCE"/>
            <w:noWrap/>
          </w:tcPr>
          <w:p w14:paraId="6F5E7AB8" w14:textId="62737291" w:rsidR="00AB26B3" w:rsidRPr="00AB26B3" w:rsidRDefault="00D64F26">
            <w:pPr>
              <w:pStyle w:val="P68B1DB1-Normal12"/>
              <w:spacing w:after="0" w:line="240" w:lineRule="auto"/>
              <w:rPr>
                <w:noProof/>
                <w:spacing w:val="-6"/>
                <w:lang w:val="sk-SK"/>
              </w:rPr>
            </w:pPr>
            <w:r w:rsidRPr="00AB26B3">
              <w:rPr>
                <w:noProof/>
                <w:spacing w:val="-6"/>
                <w:lang w:val="sk-SK"/>
              </w:rPr>
              <w:t>Dokončenie programov odbornej prípravy</w:t>
            </w:r>
            <w:r w:rsidR="00AB26B3" w:rsidRPr="00AB26B3">
              <w:rPr>
                <w:noProof/>
                <w:spacing w:val="-6"/>
                <w:lang w:val="sk-SK"/>
              </w:rPr>
              <w:t xml:space="preserve"> v </w:t>
            </w:r>
            <w:r w:rsidRPr="00AB26B3">
              <w:rPr>
                <w:noProof/>
                <w:spacing w:val="-6"/>
                <w:lang w:val="sk-SK"/>
              </w:rPr>
              <w:t>oblasti zručností digitálnej, zelenej</w:t>
            </w:r>
            <w:r w:rsidR="00AB26B3" w:rsidRPr="00AB26B3">
              <w:rPr>
                <w:noProof/>
                <w:spacing w:val="-6"/>
                <w:lang w:val="sk-SK"/>
              </w:rPr>
              <w:t xml:space="preserve"> a </w:t>
            </w:r>
            <w:r w:rsidRPr="00AB26B3">
              <w:rPr>
                <w:noProof/>
                <w:spacing w:val="-6"/>
                <w:lang w:val="sk-SK"/>
              </w:rPr>
              <w:t>finančnej gramotnosti pre najmenej 150000 účastníkov</w:t>
            </w:r>
            <w:r w:rsidR="00AB26B3" w:rsidRPr="00AB26B3">
              <w:rPr>
                <w:noProof/>
                <w:spacing w:val="-6"/>
                <w:lang w:val="sk-SK"/>
              </w:rPr>
              <w:t xml:space="preserve"> a </w:t>
            </w:r>
            <w:r w:rsidRPr="00AB26B3">
              <w:rPr>
                <w:noProof/>
                <w:spacing w:val="-6"/>
                <w:lang w:val="sk-SK"/>
              </w:rPr>
              <w:t>potvrdzovanie</w:t>
            </w:r>
            <w:r w:rsidR="00AB26B3" w:rsidRPr="00AB26B3">
              <w:rPr>
                <w:noProof/>
                <w:spacing w:val="-6"/>
                <w:lang w:val="sk-SK"/>
              </w:rPr>
              <w:t xml:space="preserve"> a </w:t>
            </w:r>
            <w:r w:rsidRPr="00AB26B3">
              <w:rPr>
                <w:noProof/>
                <w:spacing w:val="-6"/>
                <w:lang w:val="sk-SK"/>
              </w:rPr>
              <w:t>certifikácia zručností získaných pre všetkých úspešných účastníkov</w:t>
            </w:r>
            <w:r w:rsidR="00AB26B3" w:rsidRPr="00AB26B3">
              <w:rPr>
                <w:noProof/>
                <w:spacing w:val="-6"/>
                <w:lang w:val="sk-SK"/>
              </w:rPr>
              <w:t>.</w:t>
            </w:r>
          </w:p>
          <w:p w14:paraId="3E5B2F87" w14:textId="7191725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Táto investícia rieši potrebu zručností</w:t>
            </w:r>
            <w:r w:rsidR="00AB26B3" w:rsidRPr="00AB26B3">
              <w:rPr>
                <w:noProof/>
                <w:spacing w:val="-6"/>
                <w:lang w:val="sk-SK"/>
              </w:rPr>
              <w:t xml:space="preserve"> v </w:t>
            </w:r>
            <w:r w:rsidRPr="00AB26B3">
              <w:rPr>
                <w:noProof/>
                <w:spacing w:val="-6"/>
                <w:lang w:val="sk-SK"/>
              </w:rPr>
              <w:t>oblasti digitálnej, zelenej</w:t>
            </w:r>
            <w:r w:rsidR="00AB26B3" w:rsidRPr="00AB26B3">
              <w:rPr>
                <w:noProof/>
                <w:spacing w:val="-6"/>
                <w:lang w:val="sk-SK"/>
              </w:rPr>
              <w:t xml:space="preserve"> a </w:t>
            </w:r>
            <w:r w:rsidRPr="00AB26B3">
              <w:rPr>
                <w:noProof/>
                <w:spacing w:val="-6"/>
                <w:lang w:val="sk-SK"/>
              </w:rPr>
              <w:t>finančnej gramotnosti týchto skupín obyvateľstva: a) nezamestnaní, najmä mladí ľudia</w:t>
            </w:r>
            <w:r w:rsidR="00AB26B3" w:rsidRPr="00AB26B3">
              <w:rPr>
                <w:noProof/>
                <w:spacing w:val="-6"/>
                <w:lang w:val="sk-SK"/>
              </w:rPr>
              <w:t xml:space="preserve"> a </w:t>
            </w:r>
            <w:r w:rsidRPr="00AB26B3">
              <w:rPr>
                <w:noProof/>
                <w:spacing w:val="-6"/>
                <w:lang w:val="sk-SK"/>
              </w:rPr>
              <w:t>dlhodobo nezamestnaní, b) zamestnanci, najmä tí, ktorí sú vystavení vysokému riziku nezamestnanosti,</w:t>
            </w:r>
            <w:r w:rsidR="00AB26B3" w:rsidRPr="00AB26B3">
              <w:rPr>
                <w:noProof/>
                <w:spacing w:val="-6"/>
                <w:lang w:val="sk-SK"/>
              </w:rPr>
              <w:t xml:space="preserve"> a </w:t>
            </w:r>
            <w:r w:rsidRPr="00AB26B3">
              <w:rPr>
                <w:noProof/>
                <w:spacing w:val="-6"/>
                <w:lang w:val="sk-SK"/>
              </w:rPr>
              <w:t>tí, na ktorých sa zabúda</w:t>
            </w:r>
            <w:r w:rsidR="00AB26B3" w:rsidRPr="00AB26B3">
              <w:rPr>
                <w:noProof/>
                <w:spacing w:val="-6"/>
                <w:lang w:val="sk-SK"/>
              </w:rPr>
              <w:t xml:space="preserve"> v </w:t>
            </w:r>
            <w:r w:rsidRPr="00AB26B3">
              <w:rPr>
                <w:noProof/>
                <w:spacing w:val="-6"/>
                <w:lang w:val="sk-SK"/>
              </w:rPr>
              <w:t>dôsledku technológie pracovného priestoru, c) zamestnanci, najmä</w:t>
            </w:r>
            <w:r w:rsidR="00AB26B3" w:rsidRPr="00AB26B3">
              <w:rPr>
                <w:noProof/>
                <w:spacing w:val="-6"/>
                <w:lang w:val="sk-SK"/>
              </w:rPr>
              <w:t xml:space="preserve"> v </w:t>
            </w:r>
            <w:r w:rsidRPr="00AB26B3">
              <w:rPr>
                <w:noProof/>
                <w:spacing w:val="-6"/>
                <w:lang w:val="sk-SK"/>
              </w:rPr>
              <w:t>MSP</w:t>
            </w:r>
            <w:r w:rsidR="00AB26B3" w:rsidRPr="00AB26B3">
              <w:rPr>
                <w:noProof/>
                <w:spacing w:val="-6"/>
                <w:lang w:val="sk-SK"/>
              </w:rPr>
              <w:t xml:space="preserve"> s </w:t>
            </w:r>
            <w:r w:rsidRPr="00AB26B3">
              <w:rPr>
                <w:noProof/>
                <w:spacing w:val="-6"/>
                <w:lang w:val="sk-SK"/>
              </w:rPr>
              <w:t>obmedzenými internými kapacitami odbornej prípravy, d) zamestnanci verejného sektora vrátane učiteľov. Ponúkané zručnosti sú: a) základné digitálne zručnosti, b) digitálne zručnosti na strednej úrovni, c) zelené zručnosti</w:t>
            </w:r>
            <w:r w:rsidR="00AB26B3" w:rsidRPr="00AB26B3">
              <w:rPr>
                <w:noProof/>
                <w:spacing w:val="-6"/>
                <w:lang w:val="sk-SK"/>
              </w:rPr>
              <w:t xml:space="preserve"> a </w:t>
            </w:r>
            <w:r w:rsidRPr="00AB26B3">
              <w:rPr>
                <w:noProof/>
                <w:spacing w:val="-6"/>
                <w:lang w:val="sk-SK"/>
              </w:rPr>
              <w:t>d) zručnosti</w:t>
            </w:r>
            <w:r w:rsidR="00AB26B3" w:rsidRPr="00AB26B3">
              <w:rPr>
                <w:noProof/>
                <w:spacing w:val="-6"/>
                <w:lang w:val="sk-SK"/>
              </w:rPr>
              <w:t xml:space="preserve"> v </w:t>
            </w:r>
            <w:r w:rsidRPr="00AB26B3">
              <w:rPr>
                <w:noProof/>
                <w:spacing w:val="-6"/>
                <w:lang w:val="sk-SK"/>
              </w:rPr>
              <w:t>oblasti finančnej gramotnosti.</w:t>
            </w:r>
          </w:p>
        </w:tc>
      </w:tr>
      <w:tr w:rsidR="00302FC1" w:rsidRPr="00AB26B3" w14:paraId="2C65BDCD" w14:textId="77777777">
        <w:trPr>
          <w:trHeight w:val="2870"/>
          <w:jc w:val="center"/>
        </w:trPr>
        <w:tc>
          <w:tcPr>
            <w:tcW w:w="536" w:type="dxa"/>
            <w:shd w:val="clear" w:color="auto" w:fill="C6EFCE"/>
            <w:noWrap/>
            <w:hideMark/>
          </w:tcPr>
          <w:p w14:paraId="37421D1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140</w:t>
            </w:r>
          </w:p>
        </w:tc>
        <w:tc>
          <w:tcPr>
            <w:tcW w:w="2203" w:type="dxa"/>
            <w:shd w:val="clear" w:color="auto" w:fill="C6EFCE"/>
            <w:noWrap/>
            <w:hideMark/>
          </w:tcPr>
          <w:p w14:paraId="7E634549" w14:textId="109F19E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16913_Nová stratégia pre celoživotné zručnosti: Modernizácia</w:t>
            </w:r>
            <w:r w:rsidR="00AB26B3" w:rsidRPr="00AB26B3">
              <w:rPr>
                <w:noProof/>
                <w:spacing w:val="-6"/>
                <w:lang w:val="sk-SK"/>
              </w:rPr>
              <w:t xml:space="preserve"> a </w:t>
            </w:r>
            <w:r w:rsidRPr="00AB26B3">
              <w:rPr>
                <w:noProof/>
                <w:spacing w:val="-6"/>
                <w:lang w:val="sk-SK"/>
              </w:rPr>
              <w:t>aktualizácia gréckeho systému zvyšovania úrovne zručností</w:t>
            </w:r>
            <w:r w:rsidR="00AB26B3" w:rsidRPr="00AB26B3">
              <w:rPr>
                <w:noProof/>
                <w:spacing w:val="-6"/>
                <w:lang w:val="sk-SK"/>
              </w:rPr>
              <w:t xml:space="preserve"> a </w:t>
            </w:r>
            <w:r w:rsidRPr="00AB26B3">
              <w:rPr>
                <w:noProof/>
                <w:spacing w:val="-6"/>
                <w:lang w:val="sk-SK"/>
              </w:rPr>
              <w:t>rekvalifikácie</w:t>
            </w:r>
          </w:p>
        </w:tc>
        <w:tc>
          <w:tcPr>
            <w:tcW w:w="1043" w:type="dxa"/>
            <w:shd w:val="clear" w:color="auto" w:fill="C6EFCE"/>
            <w:noWrap/>
            <w:hideMark/>
          </w:tcPr>
          <w:p w14:paraId="4165EF5D"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42" w:type="dxa"/>
            <w:shd w:val="clear" w:color="auto" w:fill="C6EFCE"/>
            <w:noWrap/>
            <w:hideMark/>
          </w:tcPr>
          <w:p w14:paraId="7E9CA7B6" w14:textId="0B69AAAB" w:rsidR="00302FC1" w:rsidRPr="00AB26B3" w:rsidRDefault="00D64F26">
            <w:pPr>
              <w:pStyle w:val="P68B1DB1-Normal12"/>
              <w:spacing w:after="0" w:line="240" w:lineRule="auto"/>
              <w:rPr>
                <w:noProof/>
                <w:spacing w:val="-6"/>
                <w:lang w:val="sk-SK"/>
              </w:rPr>
            </w:pPr>
            <w:r w:rsidRPr="00AB26B3">
              <w:rPr>
                <w:noProof/>
                <w:spacing w:val="-6"/>
                <w:lang w:val="sk-SK"/>
              </w:rPr>
              <w:t>Programy odbornej prípravy – validácia realizácie stratégie celoživotného vzdelávania</w:t>
            </w:r>
            <w:r w:rsidR="00AB26B3" w:rsidRPr="00AB26B3">
              <w:rPr>
                <w:noProof/>
                <w:spacing w:val="-6"/>
                <w:lang w:val="sk-SK"/>
              </w:rPr>
              <w:t xml:space="preserve"> a </w:t>
            </w:r>
            <w:r w:rsidRPr="00AB26B3">
              <w:rPr>
                <w:noProof/>
                <w:spacing w:val="-6"/>
                <w:lang w:val="sk-SK"/>
              </w:rPr>
              <w:t xml:space="preserve">certifikácia nadobudnutých zručností </w:t>
            </w:r>
          </w:p>
        </w:tc>
        <w:tc>
          <w:tcPr>
            <w:tcW w:w="1459" w:type="dxa"/>
            <w:shd w:val="clear" w:color="auto" w:fill="C6EFCE"/>
            <w:noWrap/>
            <w:hideMark/>
          </w:tcPr>
          <w:p w14:paraId="5ADAE4A8" w14:textId="37918AF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Poskytovanie programov odbornej prípravy</w:t>
            </w:r>
            <w:r w:rsidR="00AB26B3" w:rsidRPr="00AB26B3">
              <w:rPr>
                <w:noProof/>
                <w:spacing w:val="-6"/>
                <w:lang w:val="sk-SK"/>
              </w:rPr>
              <w:t xml:space="preserve"> a </w:t>
            </w:r>
            <w:r w:rsidRPr="00AB26B3">
              <w:rPr>
                <w:noProof/>
                <w:spacing w:val="-6"/>
                <w:lang w:val="sk-SK"/>
              </w:rPr>
              <w:t>potvrdzovanie</w:t>
            </w:r>
            <w:r w:rsidR="00AB26B3" w:rsidRPr="00AB26B3">
              <w:rPr>
                <w:noProof/>
                <w:spacing w:val="-6"/>
                <w:lang w:val="sk-SK"/>
              </w:rPr>
              <w:t xml:space="preserve"> a </w:t>
            </w:r>
            <w:r w:rsidRPr="00AB26B3">
              <w:rPr>
                <w:noProof/>
                <w:spacing w:val="-6"/>
                <w:lang w:val="sk-SK"/>
              </w:rPr>
              <w:t xml:space="preserve">osvedčovanie nadobudnutých zručností </w:t>
            </w:r>
          </w:p>
        </w:tc>
        <w:tc>
          <w:tcPr>
            <w:tcW w:w="1332" w:type="dxa"/>
            <w:shd w:val="clear" w:color="auto" w:fill="C6EFCE"/>
            <w:noWrap/>
            <w:hideMark/>
          </w:tcPr>
          <w:p w14:paraId="1A82DE78"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70" w:type="dxa"/>
            <w:shd w:val="clear" w:color="auto" w:fill="C6EFCE"/>
            <w:noWrap/>
          </w:tcPr>
          <w:p w14:paraId="299D687A"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98" w:type="dxa"/>
            <w:shd w:val="clear" w:color="auto" w:fill="C6EFCE"/>
            <w:noWrap/>
          </w:tcPr>
          <w:p w14:paraId="16BDE3B8"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0" w:type="dxa"/>
            <w:shd w:val="clear" w:color="auto" w:fill="C6EFCE"/>
            <w:noWrap/>
            <w:hideMark/>
          </w:tcPr>
          <w:p w14:paraId="0DD5C3B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hideMark/>
          </w:tcPr>
          <w:p w14:paraId="5CC1197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761" w:type="dxa"/>
            <w:shd w:val="clear" w:color="auto" w:fill="C6EFCE"/>
            <w:noWrap/>
            <w:hideMark/>
          </w:tcPr>
          <w:p w14:paraId="3511B837" w14:textId="1578730B" w:rsidR="00AB26B3" w:rsidRPr="00AB26B3" w:rsidRDefault="00D64F26">
            <w:pPr>
              <w:pStyle w:val="P68B1DB1-Normal12"/>
              <w:spacing w:after="0" w:line="240" w:lineRule="auto"/>
              <w:rPr>
                <w:noProof/>
                <w:spacing w:val="-6"/>
                <w:lang w:val="sk-SK"/>
              </w:rPr>
            </w:pPr>
            <w:r w:rsidRPr="00AB26B3">
              <w:rPr>
                <w:noProof/>
                <w:spacing w:val="-6"/>
                <w:lang w:val="sk-SK"/>
              </w:rPr>
              <w:t>Realizácia programov odbornej prípravy</w:t>
            </w:r>
            <w:r w:rsidR="00AB26B3" w:rsidRPr="00AB26B3">
              <w:rPr>
                <w:noProof/>
                <w:spacing w:val="-6"/>
                <w:lang w:val="sk-SK"/>
              </w:rPr>
              <w:t xml:space="preserve"> v </w:t>
            </w:r>
            <w:r w:rsidRPr="00AB26B3">
              <w:rPr>
                <w:noProof/>
                <w:spacing w:val="-6"/>
                <w:lang w:val="sk-SK"/>
              </w:rPr>
              <w:t>oblasti zručností digitálnej, zelenej</w:t>
            </w:r>
            <w:r w:rsidR="00AB26B3" w:rsidRPr="00AB26B3">
              <w:rPr>
                <w:noProof/>
                <w:spacing w:val="-6"/>
                <w:lang w:val="sk-SK"/>
              </w:rPr>
              <w:t xml:space="preserve"> a </w:t>
            </w:r>
            <w:r w:rsidRPr="00AB26B3">
              <w:rPr>
                <w:noProof/>
                <w:spacing w:val="-6"/>
                <w:lang w:val="sk-SK"/>
              </w:rPr>
              <w:t>finančnej gramotnosti pre 350000 účastníkov</w:t>
            </w:r>
            <w:r w:rsidR="00AB26B3" w:rsidRPr="00AB26B3">
              <w:rPr>
                <w:noProof/>
                <w:spacing w:val="-6"/>
                <w:lang w:val="sk-SK"/>
              </w:rPr>
              <w:t xml:space="preserve"> a </w:t>
            </w:r>
            <w:r w:rsidRPr="00AB26B3">
              <w:rPr>
                <w:noProof/>
                <w:spacing w:val="-6"/>
                <w:lang w:val="sk-SK"/>
              </w:rPr>
              <w:t>potvrdzovanie</w:t>
            </w:r>
            <w:r w:rsidR="00AB26B3" w:rsidRPr="00AB26B3">
              <w:rPr>
                <w:noProof/>
                <w:spacing w:val="-6"/>
                <w:lang w:val="sk-SK"/>
              </w:rPr>
              <w:t xml:space="preserve"> a </w:t>
            </w:r>
            <w:r w:rsidRPr="00AB26B3">
              <w:rPr>
                <w:noProof/>
                <w:spacing w:val="-6"/>
                <w:lang w:val="sk-SK"/>
              </w:rPr>
              <w:t>certifikácia nadobudnutých zručností</w:t>
            </w:r>
            <w:r w:rsidR="00AB26B3" w:rsidRPr="00AB26B3">
              <w:rPr>
                <w:noProof/>
                <w:spacing w:val="-6"/>
                <w:lang w:val="sk-SK"/>
              </w:rPr>
              <w:t>.</w:t>
            </w:r>
          </w:p>
          <w:p w14:paraId="122E9F71" w14:textId="1696DFBB"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18CAD671" w14:textId="3C27E35C" w:rsidR="00AB26B3" w:rsidRPr="00AB26B3" w:rsidRDefault="00D64F26">
            <w:pPr>
              <w:pStyle w:val="P68B1DB1-Normal12"/>
              <w:spacing w:after="0" w:line="240" w:lineRule="auto"/>
              <w:rPr>
                <w:noProof/>
                <w:spacing w:val="-6"/>
                <w:lang w:val="sk-SK"/>
              </w:rPr>
            </w:pPr>
            <w:r w:rsidRPr="00AB26B3">
              <w:rPr>
                <w:noProof/>
                <w:spacing w:val="-6"/>
                <w:lang w:val="sk-SK"/>
              </w:rPr>
              <w:t>Z celkového počtu účastníkov</w:t>
            </w:r>
            <w:r w:rsidR="00AB26B3" w:rsidRPr="00AB26B3">
              <w:rPr>
                <w:noProof/>
                <w:spacing w:val="-6"/>
                <w:lang w:val="sk-SK"/>
              </w:rPr>
              <w:t xml:space="preserve"> v </w:t>
            </w:r>
            <w:r w:rsidRPr="00AB26B3">
              <w:rPr>
                <w:noProof/>
                <w:spacing w:val="-6"/>
                <w:lang w:val="sk-SK"/>
              </w:rPr>
              <w:t>rámci tohto opatrenia aspoň 33</w:t>
            </w:r>
            <w:r w:rsidR="00AB26B3" w:rsidRPr="00AB26B3">
              <w:rPr>
                <w:noProof/>
                <w:spacing w:val="-6"/>
                <w:lang w:val="sk-SK"/>
              </w:rPr>
              <w:t> %</w:t>
            </w:r>
            <w:r w:rsidRPr="00AB26B3">
              <w:rPr>
                <w:noProof/>
                <w:spacing w:val="-6"/>
                <w:lang w:val="sk-SK"/>
              </w:rPr>
              <w:t xml:space="preserve"> (165000 účastníkov</w:t>
            </w:r>
            <w:r w:rsidR="00AB26B3" w:rsidRPr="00AB26B3">
              <w:rPr>
                <w:noProof/>
                <w:spacing w:val="-6"/>
                <w:lang w:val="sk-SK"/>
              </w:rPr>
              <w:t xml:space="preserve"> z </w:t>
            </w:r>
            <w:r w:rsidRPr="00AB26B3">
              <w:rPr>
                <w:noProof/>
                <w:spacing w:val="-6"/>
                <w:lang w:val="sk-SK"/>
              </w:rPr>
              <w:t>500000 účastníkov) absolvuje programy odbornej prípravy týkajúce sa zelených zručností</w:t>
            </w:r>
            <w:r w:rsidR="00AB26B3" w:rsidRPr="00AB26B3">
              <w:rPr>
                <w:noProof/>
                <w:spacing w:val="-6"/>
                <w:lang w:val="sk-SK"/>
              </w:rPr>
              <w:t xml:space="preserve"> a </w:t>
            </w:r>
            <w:r w:rsidRPr="00AB26B3">
              <w:rPr>
                <w:noProof/>
                <w:spacing w:val="-6"/>
                <w:lang w:val="sk-SK"/>
              </w:rPr>
              <w:t>pracovných miest</w:t>
            </w:r>
            <w:r w:rsidR="00AB26B3" w:rsidRPr="00AB26B3">
              <w:rPr>
                <w:noProof/>
                <w:spacing w:val="-6"/>
                <w:lang w:val="sk-SK"/>
              </w:rPr>
              <w:t xml:space="preserve"> v </w:t>
            </w:r>
            <w:r w:rsidRPr="00AB26B3">
              <w:rPr>
                <w:noProof/>
                <w:spacing w:val="-6"/>
                <w:lang w:val="sk-SK"/>
              </w:rPr>
              <w:t>ekologickom hospodárstve</w:t>
            </w:r>
            <w:r w:rsidR="00AB26B3" w:rsidRPr="00AB26B3">
              <w:rPr>
                <w:noProof/>
                <w:spacing w:val="-6"/>
                <w:lang w:val="sk-SK"/>
              </w:rPr>
              <w:t>.</w:t>
            </w:r>
          </w:p>
          <w:p w14:paraId="2CF788D7" w14:textId="03D4E110"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2F495C46"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3A1F36C8" w14:textId="77777777">
        <w:trPr>
          <w:trHeight w:val="2870"/>
          <w:jc w:val="center"/>
        </w:trPr>
        <w:tc>
          <w:tcPr>
            <w:tcW w:w="536" w:type="dxa"/>
            <w:shd w:val="clear" w:color="auto" w:fill="C6EFCE"/>
            <w:noWrap/>
          </w:tcPr>
          <w:p w14:paraId="495EC3A2" w14:textId="0C7B92F2" w:rsidR="00302FC1" w:rsidRPr="00AB26B3" w:rsidRDefault="00D64F26">
            <w:pPr>
              <w:pStyle w:val="P68B1DB1-Normal12"/>
              <w:spacing w:after="0" w:line="240" w:lineRule="auto"/>
              <w:rPr>
                <w:noProof/>
                <w:spacing w:val="-6"/>
                <w:lang w:val="sk-SK"/>
              </w:rPr>
            </w:pPr>
            <w:r w:rsidRPr="00AB26B3">
              <w:rPr>
                <w:noProof/>
                <w:spacing w:val="-6"/>
                <w:lang w:val="sk-SK"/>
              </w:rPr>
              <w:t>143</w:t>
            </w:r>
          </w:p>
        </w:tc>
        <w:tc>
          <w:tcPr>
            <w:tcW w:w="2203" w:type="dxa"/>
            <w:shd w:val="clear" w:color="auto" w:fill="C6EFCE"/>
            <w:noWrap/>
          </w:tcPr>
          <w:p w14:paraId="538409AC" w14:textId="58186372" w:rsidR="00302FC1" w:rsidRPr="00AB26B3" w:rsidRDefault="00D64F26">
            <w:pPr>
              <w:pStyle w:val="P68B1DB1-Normal12"/>
              <w:spacing w:after="0" w:line="240" w:lineRule="auto"/>
              <w:rPr>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16792_Zručnosti, rekvalifikácia</w:t>
            </w:r>
            <w:r w:rsidR="00AB26B3" w:rsidRPr="00AB26B3">
              <w:rPr>
                <w:noProof/>
                <w:spacing w:val="-6"/>
                <w:lang w:val="sk-SK"/>
              </w:rPr>
              <w:t xml:space="preserve"> a </w:t>
            </w:r>
            <w:r w:rsidRPr="00AB26B3">
              <w:rPr>
                <w:noProof/>
                <w:spacing w:val="-6"/>
                <w:lang w:val="sk-SK"/>
              </w:rPr>
              <w:t>zvyšovanie úrovne zručností pracovnej sily prostredníctvom reformovaného modelu odbornej prípravy (Reforma odborného vzdelávania</w:t>
            </w:r>
            <w:r w:rsidR="00AB26B3" w:rsidRPr="00AB26B3">
              <w:rPr>
                <w:noProof/>
                <w:spacing w:val="-6"/>
                <w:lang w:val="sk-SK"/>
              </w:rPr>
              <w:t xml:space="preserve"> a </w:t>
            </w:r>
            <w:r w:rsidRPr="00AB26B3">
              <w:rPr>
                <w:noProof/>
                <w:spacing w:val="-6"/>
                <w:lang w:val="sk-SK"/>
              </w:rPr>
              <w:t>prípravy)</w:t>
            </w:r>
          </w:p>
        </w:tc>
        <w:tc>
          <w:tcPr>
            <w:tcW w:w="1043" w:type="dxa"/>
            <w:shd w:val="clear" w:color="auto" w:fill="C6EFCE"/>
            <w:noWrap/>
          </w:tcPr>
          <w:p w14:paraId="0B73F3F0" w14:textId="357C1538"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42" w:type="dxa"/>
            <w:shd w:val="clear" w:color="auto" w:fill="C6EFCE"/>
            <w:noWrap/>
          </w:tcPr>
          <w:p w14:paraId="7A61F99A" w14:textId="7446CB19" w:rsidR="00302FC1" w:rsidRPr="00AB26B3" w:rsidRDefault="00D64F26">
            <w:pPr>
              <w:pStyle w:val="P68B1DB1-Normal12"/>
              <w:spacing w:after="0" w:line="240" w:lineRule="auto"/>
              <w:rPr>
                <w:noProof/>
                <w:spacing w:val="-6"/>
                <w:lang w:val="sk-SK"/>
              </w:rPr>
            </w:pPr>
            <w:r w:rsidRPr="00AB26B3">
              <w:rPr>
                <w:noProof/>
                <w:spacing w:val="-6"/>
                <w:lang w:val="sk-SK"/>
              </w:rPr>
              <w:t>Zadanie zákazky na systém kontroly kvality OVP</w:t>
            </w:r>
          </w:p>
        </w:tc>
        <w:tc>
          <w:tcPr>
            <w:tcW w:w="1459" w:type="dxa"/>
            <w:shd w:val="clear" w:color="auto" w:fill="C6EFCE"/>
            <w:noWrap/>
          </w:tcPr>
          <w:p w14:paraId="1BB18AB9" w14:textId="163EBB69" w:rsidR="00302FC1"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w:t>
            </w:r>
          </w:p>
        </w:tc>
        <w:tc>
          <w:tcPr>
            <w:tcW w:w="1332" w:type="dxa"/>
            <w:shd w:val="clear" w:color="auto" w:fill="C6EFCE"/>
            <w:noWrap/>
          </w:tcPr>
          <w:p w14:paraId="0523A5C4"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70" w:type="dxa"/>
            <w:shd w:val="clear" w:color="auto" w:fill="C6EFCE"/>
            <w:noWrap/>
          </w:tcPr>
          <w:p w14:paraId="439AF96A"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98" w:type="dxa"/>
            <w:shd w:val="clear" w:color="auto" w:fill="C6EFCE"/>
            <w:noWrap/>
          </w:tcPr>
          <w:p w14:paraId="2B5F2D9A"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0" w:type="dxa"/>
            <w:shd w:val="clear" w:color="auto" w:fill="C6EFCE"/>
            <w:noWrap/>
          </w:tcPr>
          <w:p w14:paraId="7D653B77" w14:textId="7199A13A"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709" w:type="dxa"/>
            <w:shd w:val="clear" w:color="auto" w:fill="C6EFCE"/>
            <w:noWrap/>
          </w:tcPr>
          <w:p w14:paraId="2FA75239" w14:textId="2DCB18EB" w:rsidR="00302FC1" w:rsidRPr="00AB26B3" w:rsidRDefault="00D64F26">
            <w:pPr>
              <w:pStyle w:val="P68B1DB1-Normal12"/>
              <w:spacing w:after="0" w:line="240" w:lineRule="auto"/>
              <w:rPr>
                <w:noProof/>
                <w:spacing w:val="-6"/>
                <w:lang w:val="sk-SK"/>
              </w:rPr>
            </w:pPr>
            <w:r w:rsidRPr="00AB26B3">
              <w:rPr>
                <w:noProof/>
                <w:spacing w:val="-6"/>
                <w:lang w:val="sk-SK"/>
              </w:rPr>
              <w:t>2023</w:t>
            </w:r>
          </w:p>
        </w:tc>
        <w:tc>
          <w:tcPr>
            <w:tcW w:w="4761" w:type="dxa"/>
            <w:shd w:val="clear" w:color="auto" w:fill="C6EFCE"/>
            <w:noWrap/>
          </w:tcPr>
          <w:p w14:paraId="410A1046" w14:textId="3C4C2F2D" w:rsidR="00302FC1" w:rsidRPr="00AB26B3" w:rsidRDefault="00D64F26">
            <w:pPr>
              <w:pStyle w:val="P68B1DB1-Normal12"/>
              <w:spacing w:after="0" w:line="240" w:lineRule="auto"/>
              <w:rPr>
                <w:noProof/>
                <w:spacing w:val="-6"/>
                <w:lang w:val="sk-SK"/>
              </w:rPr>
            </w:pPr>
            <w:r w:rsidRPr="00AB26B3">
              <w:rPr>
                <w:noProof/>
                <w:spacing w:val="-6"/>
                <w:lang w:val="sk-SK"/>
              </w:rPr>
              <w:t>Cieľom zadania zákazky na systém kontroly kvality odborného vzdelávania</w:t>
            </w:r>
            <w:r w:rsidR="00AB26B3" w:rsidRPr="00AB26B3">
              <w:rPr>
                <w:noProof/>
                <w:spacing w:val="-6"/>
                <w:lang w:val="sk-SK"/>
              </w:rPr>
              <w:t xml:space="preserve"> a </w:t>
            </w:r>
            <w:r w:rsidRPr="00AB26B3">
              <w:rPr>
                <w:noProof/>
                <w:spacing w:val="-6"/>
                <w:lang w:val="sk-SK"/>
              </w:rPr>
              <w:t>prípravy (OVP) bolo zlepšiť kontrolu kvality jednotiek odbornej prípravy Gréckej organizácie pre zamestnanosť pracovnej sily (DYPA), najmä prostredníctvom posúdenia jej výstupov</w:t>
            </w:r>
            <w:r w:rsidR="00AB26B3" w:rsidRPr="00AB26B3">
              <w:rPr>
                <w:noProof/>
                <w:spacing w:val="-6"/>
                <w:lang w:val="sk-SK"/>
              </w:rPr>
              <w:t xml:space="preserve"> a </w:t>
            </w:r>
            <w:r w:rsidRPr="00AB26B3">
              <w:rPr>
                <w:noProof/>
                <w:spacing w:val="-6"/>
                <w:lang w:val="sk-SK"/>
              </w:rPr>
              <w:t>sledovania pokroku</w:t>
            </w:r>
            <w:r w:rsidR="00AB26B3" w:rsidRPr="00AB26B3">
              <w:rPr>
                <w:noProof/>
                <w:spacing w:val="-6"/>
                <w:lang w:val="sk-SK"/>
              </w:rPr>
              <w:t xml:space="preserve"> a </w:t>
            </w:r>
            <w:r w:rsidRPr="00AB26B3">
              <w:rPr>
                <w:noProof/>
                <w:spacing w:val="-6"/>
                <w:lang w:val="sk-SK"/>
              </w:rPr>
              <w:t>výkonnosti stážistov na trhu práce.</w:t>
            </w:r>
          </w:p>
        </w:tc>
      </w:tr>
      <w:tr w:rsidR="00302FC1" w:rsidRPr="00AB26B3" w14:paraId="0E71CC69" w14:textId="77777777">
        <w:trPr>
          <w:trHeight w:val="2303"/>
          <w:jc w:val="center"/>
        </w:trPr>
        <w:tc>
          <w:tcPr>
            <w:tcW w:w="536" w:type="dxa"/>
            <w:shd w:val="clear" w:color="auto" w:fill="C6EFCE"/>
            <w:noWrap/>
          </w:tcPr>
          <w:p w14:paraId="0AB4153E" w14:textId="0BB84CF0" w:rsidR="00302FC1" w:rsidRPr="00AB26B3" w:rsidRDefault="00D64F26">
            <w:pPr>
              <w:pStyle w:val="P68B1DB1-Normal12"/>
              <w:spacing w:after="0" w:line="240" w:lineRule="auto"/>
              <w:rPr>
                <w:noProof/>
                <w:spacing w:val="-6"/>
                <w:lang w:val="sk-SK"/>
              </w:rPr>
            </w:pPr>
            <w:r w:rsidRPr="00AB26B3">
              <w:rPr>
                <w:noProof/>
                <w:spacing w:val="-6"/>
                <w:lang w:val="sk-SK"/>
              </w:rPr>
              <w:t>145</w:t>
            </w:r>
          </w:p>
        </w:tc>
        <w:tc>
          <w:tcPr>
            <w:tcW w:w="2203" w:type="dxa"/>
            <w:shd w:val="clear" w:color="auto" w:fill="C6EFCE"/>
            <w:noWrap/>
          </w:tcPr>
          <w:p w14:paraId="399F9F99" w14:textId="6BA7607F" w:rsidR="00302FC1" w:rsidRPr="00AB26B3" w:rsidRDefault="00D64F26">
            <w:pPr>
              <w:pStyle w:val="P68B1DB1-Normal12"/>
              <w:spacing w:after="0" w:line="240" w:lineRule="auto"/>
              <w:rPr>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 xml:space="preserve">zručnosti – 16794_Posilnenie systému učňovskej prípravy </w:t>
            </w:r>
          </w:p>
        </w:tc>
        <w:tc>
          <w:tcPr>
            <w:tcW w:w="1043" w:type="dxa"/>
            <w:shd w:val="clear" w:color="auto" w:fill="C6EFCE"/>
            <w:noWrap/>
          </w:tcPr>
          <w:p w14:paraId="3BBA93A3" w14:textId="2C727E58"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42" w:type="dxa"/>
            <w:shd w:val="clear" w:color="auto" w:fill="C6EFCE"/>
            <w:noWrap/>
          </w:tcPr>
          <w:p w14:paraId="7FBEB2FF" w14:textId="3F65D281" w:rsidR="00302FC1" w:rsidRPr="00AB26B3" w:rsidRDefault="00D64F26">
            <w:pPr>
              <w:pStyle w:val="P68B1DB1-Normal12"/>
              <w:spacing w:after="0" w:line="240" w:lineRule="auto"/>
              <w:rPr>
                <w:noProof/>
                <w:spacing w:val="-6"/>
                <w:lang w:val="sk-SK"/>
              </w:rPr>
            </w:pPr>
            <w:r w:rsidRPr="00AB26B3">
              <w:rPr>
                <w:noProof/>
                <w:spacing w:val="-6"/>
                <w:lang w:val="sk-SK"/>
              </w:rPr>
              <w:t>Digitalizované kurzy odbornej prípravy</w:t>
            </w:r>
          </w:p>
        </w:tc>
        <w:tc>
          <w:tcPr>
            <w:tcW w:w="1459" w:type="dxa"/>
            <w:shd w:val="clear" w:color="auto" w:fill="C6EFCE"/>
            <w:noWrap/>
          </w:tcPr>
          <w:p w14:paraId="51E5D839" w14:textId="40498537" w:rsidR="00302FC1" w:rsidRPr="00AB26B3" w:rsidRDefault="00D64F26">
            <w:pPr>
              <w:pStyle w:val="P68B1DB1-Normal12"/>
              <w:spacing w:after="0" w:line="240" w:lineRule="auto"/>
              <w:rPr>
                <w:noProof/>
                <w:spacing w:val="-6"/>
                <w:lang w:val="sk-SK"/>
              </w:rPr>
            </w:pPr>
            <w:r w:rsidRPr="00AB26B3">
              <w:rPr>
                <w:noProof/>
                <w:spacing w:val="-6"/>
                <w:lang w:val="sk-SK"/>
              </w:rPr>
              <w:t xml:space="preserve">Poskytovanie digitalizovaných kurzov </w:t>
            </w:r>
          </w:p>
        </w:tc>
        <w:tc>
          <w:tcPr>
            <w:tcW w:w="1332" w:type="dxa"/>
            <w:shd w:val="clear" w:color="auto" w:fill="C6EFCE"/>
            <w:noWrap/>
          </w:tcPr>
          <w:p w14:paraId="79A4D8A6"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70" w:type="dxa"/>
            <w:shd w:val="clear" w:color="auto" w:fill="C6EFCE"/>
            <w:noWrap/>
          </w:tcPr>
          <w:p w14:paraId="44183F42"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98" w:type="dxa"/>
            <w:shd w:val="clear" w:color="auto" w:fill="C6EFCE"/>
            <w:noWrap/>
          </w:tcPr>
          <w:p w14:paraId="713F90A1"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0" w:type="dxa"/>
            <w:shd w:val="clear" w:color="auto" w:fill="C6EFCE"/>
            <w:noWrap/>
          </w:tcPr>
          <w:p w14:paraId="2E9C5F89" w14:textId="5F886D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9" w:type="dxa"/>
            <w:shd w:val="clear" w:color="auto" w:fill="C6EFCE"/>
            <w:noWrap/>
          </w:tcPr>
          <w:p w14:paraId="4009C5BD" w14:textId="0FDC49F2"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4761" w:type="dxa"/>
            <w:shd w:val="clear" w:color="auto" w:fill="C6EFCE"/>
            <w:noWrap/>
          </w:tcPr>
          <w:p w14:paraId="3D0E42C2" w14:textId="77777777" w:rsidR="00AB26B3" w:rsidRPr="00AB26B3" w:rsidRDefault="00D64F26">
            <w:pPr>
              <w:pStyle w:val="P68B1DB1-Normal12"/>
              <w:spacing w:after="0" w:line="240" w:lineRule="auto"/>
              <w:rPr>
                <w:noProof/>
                <w:spacing w:val="-6"/>
                <w:lang w:val="sk-SK"/>
              </w:rPr>
            </w:pPr>
            <w:r w:rsidRPr="00AB26B3">
              <w:rPr>
                <w:noProof/>
                <w:spacing w:val="-6"/>
                <w:lang w:val="sk-SK"/>
              </w:rPr>
              <w:t>Poskytnutie najmenej 250 digitalizovaných kurzov odbornej prípravy na učňovských odborných školách DYPA (EPAS)</w:t>
            </w:r>
            <w:r w:rsidR="00AB26B3" w:rsidRPr="00AB26B3">
              <w:rPr>
                <w:noProof/>
                <w:spacing w:val="-6"/>
                <w:lang w:val="sk-SK"/>
              </w:rPr>
              <w:t>.</w:t>
            </w:r>
          </w:p>
          <w:p w14:paraId="4F4CC446" w14:textId="3891664C"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51F3BBA0" w14:textId="4F128905" w:rsidR="00302FC1" w:rsidRPr="00AB26B3" w:rsidRDefault="00D64F26">
            <w:pPr>
              <w:pStyle w:val="P68B1DB1-Normal12"/>
              <w:spacing w:after="0" w:line="240" w:lineRule="auto"/>
              <w:rPr>
                <w:noProof/>
                <w:spacing w:val="-6"/>
                <w:lang w:val="sk-SK"/>
              </w:rPr>
            </w:pPr>
            <w:r w:rsidRPr="00AB26B3">
              <w:rPr>
                <w:noProof/>
                <w:spacing w:val="-6"/>
                <w:lang w:val="sk-SK"/>
              </w:rPr>
              <w:t xml:space="preserve"> </w:t>
            </w:r>
          </w:p>
        </w:tc>
      </w:tr>
      <w:tr w:rsidR="00302FC1" w:rsidRPr="00AB26B3" w14:paraId="43A4779F" w14:textId="77777777">
        <w:trPr>
          <w:trHeight w:val="2870"/>
          <w:jc w:val="center"/>
        </w:trPr>
        <w:tc>
          <w:tcPr>
            <w:tcW w:w="536" w:type="dxa"/>
            <w:shd w:val="clear" w:color="auto" w:fill="C6EFCE"/>
            <w:noWrap/>
          </w:tcPr>
          <w:p w14:paraId="1D3D125A" w14:textId="11F91C81" w:rsidR="00302FC1" w:rsidRPr="00AB26B3" w:rsidRDefault="00D64F26">
            <w:pPr>
              <w:pStyle w:val="P68B1DB1-Normal12"/>
              <w:spacing w:after="0" w:line="240" w:lineRule="auto"/>
              <w:rPr>
                <w:noProof/>
                <w:spacing w:val="-6"/>
                <w:lang w:val="sk-SK"/>
              </w:rPr>
            </w:pPr>
            <w:r w:rsidRPr="00AB26B3">
              <w:rPr>
                <w:noProof/>
                <w:spacing w:val="-6"/>
                <w:lang w:val="sk-SK"/>
              </w:rPr>
              <w:t>145a</w:t>
            </w:r>
          </w:p>
        </w:tc>
        <w:tc>
          <w:tcPr>
            <w:tcW w:w="2203" w:type="dxa"/>
            <w:shd w:val="clear" w:color="auto" w:fill="C6EFCE"/>
            <w:noWrap/>
          </w:tcPr>
          <w:p w14:paraId="4AF5B6F3" w14:textId="7FAC39B2" w:rsidR="00302FC1" w:rsidRPr="00AB26B3" w:rsidRDefault="00D64F26">
            <w:pPr>
              <w:pStyle w:val="P68B1DB1-Normal12"/>
              <w:spacing w:after="0" w:line="240" w:lineRule="auto"/>
              <w:rPr>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 xml:space="preserve">zručnosti – 16794_Posilnenie systému učňovskej prípravy </w:t>
            </w:r>
          </w:p>
        </w:tc>
        <w:tc>
          <w:tcPr>
            <w:tcW w:w="1043" w:type="dxa"/>
            <w:shd w:val="clear" w:color="auto" w:fill="C6EFCE"/>
            <w:noWrap/>
          </w:tcPr>
          <w:p w14:paraId="4F786137" w14:textId="232108E8"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42" w:type="dxa"/>
            <w:shd w:val="clear" w:color="auto" w:fill="C6EFCE"/>
            <w:noWrap/>
          </w:tcPr>
          <w:p w14:paraId="58366C1F" w14:textId="47F46D64" w:rsidR="00302FC1" w:rsidRPr="00AB26B3" w:rsidRDefault="00D64F26">
            <w:pPr>
              <w:pStyle w:val="P68B1DB1-Normal12"/>
              <w:spacing w:after="0" w:line="240" w:lineRule="auto"/>
              <w:rPr>
                <w:noProof/>
                <w:spacing w:val="-6"/>
                <w:lang w:val="sk-SK"/>
              </w:rPr>
            </w:pPr>
            <w:r w:rsidRPr="00AB26B3">
              <w:rPr>
                <w:noProof/>
                <w:spacing w:val="-6"/>
                <w:lang w:val="sk-SK"/>
              </w:rPr>
              <w:t>Právny rámec pre vnútroštátny systém odborného vzdelávania</w:t>
            </w:r>
            <w:r w:rsidR="00AB26B3" w:rsidRPr="00AB26B3">
              <w:rPr>
                <w:noProof/>
                <w:spacing w:val="-6"/>
                <w:lang w:val="sk-SK"/>
              </w:rPr>
              <w:t xml:space="preserve"> a </w:t>
            </w:r>
            <w:r w:rsidRPr="00AB26B3">
              <w:rPr>
                <w:noProof/>
                <w:spacing w:val="-6"/>
                <w:lang w:val="sk-SK"/>
              </w:rPr>
              <w:t>prípravy</w:t>
            </w:r>
          </w:p>
        </w:tc>
        <w:tc>
          <w:tcPr>
            <w:tcW w:w="1459" w:type="dxa"/>
            <w:shd w:val="clear" w:color="auto" w:fill="C6EFCE"/>
            <w:noWrap/>
          </w:tcPr>
          <w:p w14:paraId="3ADEC5BE" w14:textId="793C6C60" w:rsidR="00302FC1" w:rsidRPr="00AB26B3" w:rsidRDefault="00D64F26">
            <w:pPr>
              <w:pStyle w:val="P68B1DB1-Normal12"/>
              <w:spacing w:after="0" w:line="240" w:lineRule="auto"/>
              <w:rPr>
                <w:noProof/>
                <w:spacing w:val="-6"/>
                <w:lang w:val="sk-SK"/>
              </w:rPr>
            </w:pPr>
            <w:r w:rsidRPr="00AB26B3">
              <w:rPr>
                <w:noProof/>
                <w:spacing w:val="-6"/>
                <w:lang w:val="sk-SK"/>
              </w:rPr>
              <w:t>Nadobudnutie účinnosti právnych predpisov.</w:t>
            </w:r>
          </w:p>
        </w:tc>
        <w:tc>
          <w:tcPr>
            <w:tcW w:w="1332" w:type="dxa"/>
            <w:shd w:val="clear" w:color="auto" w:fill="C6EFCE"/>
            <w:noWrap/>
          </w:tcPr>
          <w:p w14:paraId="0F54D3C2"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70" w:type="dxa"/>
            <w:shd w:val="clear" w:color="auto" w:fill="C6EFCE"/>
            <w:noWrap/>
          </w:tcPr>
          <w:p w14:paraId="444C62C3"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98" w:type="dxa"/>
            <w:shd w:val="clear" w:color="auto" w:fill="C6EFCE"/>
            <w:noWrap/>
          </w:tcPr>
          <w:p w14:paraId="4175AFE7"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0" w:type="dxa"/>
            <w:shd w:val="clear" w:color="auto" w:fill="C6EFCE"/>
            <w:noWrap/>
          </w:tcPr>
          <w:p w14:paraId="5AE9FB52" w14:textId="1E169590"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9" w:type="dxa"/>
            <w:shd w:val="clear" w:color="auto" w:fill="C6EFCE"/>
            <w:noWrap/>
          </w:tcPr>
          <w:p w14:paraId="5D5B60CA" w14:textId="6374845C" w:rsidR="00302FC1" w:rsidRPr="00AB26B3" w:rsidRDefault="00D64F26">
            <w:pPr>
              <w:pStyle w:val="P68B1DB1-Normal12"/>
              <w:spacing w:after="0" w:line="240" w:lineRule="auto"/>
              <w:rPr>
                <w:noProof/>
                <w:spacing w:val="-6"/>
                <w:lang w:val="sk-SK"/>
              </w:rPr>
            </w:pPr>
            <w:r w:rsidRPr="00AB26B3">
              <w:rPr>
                <w:noProof/>
                <w:spacing w:val="-6"/>
                <w:lang w:val="sk-SK"/>
              </w:rPr>
              <w:t>2024</w:t>
            </w:r>
          </w:p>
        </w:tc>
        <w:tc>
          <w:tcPr>
            <w:tcW w:w="4761" w:type="dxa"/>
            <w:shd w:val="clear" w:color="auto" w:fill="C6EFCE"/>
            <w:noWrap/>
          </w:tcPr>
          <w:p w14:paraId="159D03B8" w14:textId="7D649BD7" w:rsidR="00302FC1" w:rsidRPr="00AB26B3" w:rsidRDefault="00D64F26">
            <w:pPr>
              <w:pStyle w:val="P68B1DB1-Normal12"/>
              <w:spacing w:after="0" w:line="240" w:lineRule="auto"/>
              <w:rPr>
                <w:noProof/>
                <w:spacing w:val="-6"/>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vnútroštátnom systéme OVP.</w:t>
            </w:r>
          </w:p>
        </w:tc>
      </w:tr>
      <w:tr w:rsidR="00302FC1" w:rsidRPr="00AB26B3" w14:paraId="4F66E6CB" w14:textId="77777777">
        <w:trPr>
          <w:trHeight w:val="1736"/>
          <w:jc w:val="center"/>
        </w:trPr>
        <w:tc>
          <w:tcPr>
            <w:tcW w:w="536" w:type="dxa"/>
            <w:shd w:val="clear" w:color="auto" w:fill="C6EFCE"/>
            <w:noWrap/>
          </w:tcPr>
          <w:p w14:paraId="338AD542" w14:textId="44D7F54E" w:rsidR="00302FC1" w:rsidRPr="00AB26B3" w:rsidRDefault="00D64F26">
            <w:pPr>
              <w:pStyle w:val="P68B1DB1-Normal12"/>
              <w:spacing w:after="0" w:line="240" w:lineRule="auto"/>
              <w:rPr>
                <w:noProof/>
                <w:spacing w:val="-6"/>
                <w:lang w:val="sk-SK"/>
              </w:rPr>
            </w:pPr>
            <w:r w:rsidRPr="00AB26B3">
              <w:rPr>
                <w:noProof/>
                <w:spacing w:val="-6"/>
                <w:lang w:val="sk-SK"/>
              </w:rPr>
              <w:t>145b</w:t>
            </w:r>
          </w:p>
        </w:tc>
        <w:tc>
          <w:tcPr>
            <w:tcW w:w="2203" w:type="dxa"/>
            <w:shd w:val="clear" w:color="auto" w:fill="C6EFCE"/>
            <w:noWrap/>
          </w:tcPr>
          <w:p w14:paraId="70242422" w14:textId="5C178EDE" w:rsidR="00302FC1" w:rsidRPr="00AB26B3" w:rsidRDefault="00D64F26">
            <w:pPr>
              <w:pStyle w:val="P68B1DB1-Normal12"/>
              <w:spacing w:after="0" w:line="240" w:lineRule="auto"/>
              <w:rPr>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 xml:space="preserve">zručnosti – 16794_Posilnenie systému učňovskej prípravy </w:t>
            </w:r>
          </w:p>
        </w:tc>
        <w:tc>
          <w:tcPr>
            <w:tcW w:w="1043" w:type="dxa"/>
            <w:shd w:val="clear" w:color="auto" w:fill="C6EFCE"/>
            <w:noWrap/>
          </w:tcPr>
          <w:p w14:paraId="358B206B" w14:textId="5FE16F68"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42" w:type="dxa"/>
            <w:shd w:val="clear" w:color="auto" w:fill="C6EFCE"/>
            <w:noWrap/>
          </w:tcPr>
          <w:p w14:paraId="35676A49" w14:textId="79FBF64F" w:rsidR="00302FC1" w:rsidRPr="00AB26B3" w:rsidRDefault="00D64F26">
            <w:pPr>
              <w:pStyle w:val="P68B1DB1-Normal12"/>
              <w:spacing w:after="0" w:line="240" w:lineRule="auto"/>
              <w:rPr>
                <w:noProof/>
                <w:spacing w:val="-6"/>
                <w:lang w:val="sk-SK"/>
              </w:rPr>
            </w:pPr>
            <w:r w:rsidRPr="00AB26B3">
              <w:rPr>
                <w:noProof/>
                <w:spacing w:val="-6"/>
                <w:lang w:val="sk-SK"/>
              </w:rPr>
              <w:t>Reforma učebných osnov, modernizácia infraštruktúry odborného vzdelávania</w:t>
            </w:r>
            <w:r w:rsidR="00AB26B3" w:rsidRPr="00AB26B3">
              <w:rPr>
                <w:noProof/>
                <w:spacing w:val="-6"/>
                <w:lang w:val="sk-SK"/>
              </w:rPr>
              <w:t xml:space="preserve"> a </w:t>
            </w:r>
            <w:r w:rsidRPr="00AB26B3">
              <w:rPr>
                <w:noProof/>
                <w:spacing w:val="-6"/>
                <w:lang w:val="sk-SK"/>
              </w:rPr>
              <w:t>prípravy, obnova budov</w:t>
            </w:r>
          </w:p>
        </w:tc>
        <w:tc>
          <w:tcPr>
            <w:tcW w:w="1459" w:type="dxa"/>
            <w:shd w:val="clear" w:color="auto" w:fill="C6EFCE"/>
            <w:noWrap/>
          </w:tcPr>
          <w:p w14:paraId="5B653BF3" w14:textId="36AF2ADF" w:rsidR="00302FC1" w:rsidRPr="00AB26B3" w:rsidRDefault="00D64F26">
            <w:pPr>
              <w:pStyle w:val="P68B1DB1-Normal12"/>
              <w:spacing w:after="0" w:line="240" w:lineRule="auto"/>
              <w:rPr>
                <w:noProof/>
                <w:spacing w:val="-6"/>
                <w:lang w:val="sk-SK"/>
              </w:rPr>
            </w:pPr>
            <w:r w:rsidRPr="00AB26B3">
              <w:rPr>
                <w:noProof/>
                <w:spacing w:val="-6"/>
                <w:lang w:val="sk-SK"/>
              </w:rPr>
              <w:t xml:space="preserve">Realizácia projektov 1 – 3 </w:t>
            </w:r>
          </w:p>
        </w:tc>
        <w:tc>
          <w:tcPr>
            <w:tcW w:w="1332" w:type="dxa"/>
            <w:shd w:val="clear" w:color="auto" w:fill="C6EFCE"/>
            <w:noWrap/>
          </w:tcPr>
          <w:p w14:paraId="55B9B36A"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70" w:type="dxa"/>
            <w:shd w:val="clear" w:color="auto" w:fill="C6EFCE"/>
            <w:noWrap/>
          </w:tcPr>
          <w:p w14:paraId="5024D70D"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98" w:type="dxa"/>
            <w:shd w:val="clear" w:color="auto" w:fill="C6EFCE"/>
            <w:noWrap/>
          </w:tcPr>
          <w:p w14:paraId="305AFCFE"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0" w:type="dxa"/>
            <w:shd w:val="clear" w:color="auto" w:fill="C6EFCE"/>
            <w:noWrap/>
          </w:tcPr>
          <w:p w14:paraId="2DA86C00" w14:textId="790C8353"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9" w:type="dxa"/>
            <w:shd w:val="clear" w:color="auto" w:fill="C6EFCE"/>
            <w:noWrap/>
          </w:tcPr>
          <w:p w14:paraId="3143F9AB" w14:textId="701710F1" w:rsidR="00302FC1" w:rsidRPr="00AB26B3" w:rsidRDefault="00D64F26">
            <w:pPr>
              <w:pStyle w:val="P68B1DB1-Normal28"/>
              <w:spacing w:after="0" w:line="240" w:lineRule="auto"/>
              <w:rPr>
                <w:noProof/>
                <w:spacing w:val="-6"/>
                <w:lang w:val="sk-SK"/>
              </w:rPr>
            </w:pPr>
            <w:r w:rsidRPr="00AB26B3">
              <w:rPr>
                <w:noProof/>
                <w:spacing w:val="-6"/>
                <w:lang w:val="sk-SK"/>
              </w:rPr>
              <w:t>2025</w:t>
            </w:r>
          </w:p>
        </w:tc>
        <w:tc>
          <w:tcPr>
            <w:tcW w:w="4761" w:type="dxa"/>
            <w:shd w:val="clear" w:color="auto" w:fill="C6EFCE"/>
            <w:noWrap/>
          </w:tcPr>
          <w:p w14:paraId="3FF1EF41" w14:textId="77777777" w:rsidR="00302FC1" w:rsidRPr="00AB26B3" w:rsidRDefault="00D64F26">
            <w:pPr>
              <w:pStyle w:val="P68B1DB1-paragraph37"/>
              <w:spacing w:before="0" w:beforeAutospacing="0" w:after="0" w:afterAutospacing="0"/>
              <w:rPr>
                <w:noProof/>
                <w:spacing w:val="-6"/>
                <w:lang w:val="sk-SK"/>
              </w:rPr>
            </w:pPr>
            <w:r w:rsidRPr="00AB26B3">
              <w:rPr>
                <w:noProof/>
                <w:spacing w:val="-6"/>
                <w:lang w:val="sk-SK"/>
              </w:rPr>
              <w:t>Realizácia týchto projektov:</w:t>
            </w:r>
          </w:p>
          <w:p w14:paraId="3F745446" w14:textId="3D4FE797" w:rsidR="00302FC1" w:rsidRPr="00AB26B3" w:rsidRDefault="00D64F26">
            <w:pPr>
              <w:pStyle w:val="P68B1DB1-paragraph37"/>
              <w:spacing w:before="0" w:beforeAutospacing="0" w:after="0" w:afterAutospacing="0"/>
              <w:rPr>
                <w:noProof/>
                <w:spacing w:val="-6"/>
                <w:lang w:val="sk-SK"/>
              </w:rPr>
            </w:pPr>
            <w:r w:rsidRPr="00AB26B3">
              <w:rPr>
                <w:noProof/>
                <w:spacing w:val="-6"/>
                <w:lang w:val="sk-SK"/>
              </w:rPr>
              <w:t>1. aktualizácia učebných plánov 34 programov odbornej prípravy;</w:t>
            </w:r>
          </w:p>
          <w:p w14:paraId="6CD1DC17" w14:textId="76FE4403" w:rsidR="00302FC1" w:rsidRPr="00AB26B3" w:rsidRDefault="00D64F26">
            <w:pPr>
              <w:pStyle w:val="P68B1DB1-paragraph37"/>
              <w:spacing w:before="0" w:beforeAutospacing="0" w:after="0" w:afterAutospacing="0"/>
              <w:rPr>
                <w:noProof/>
                <w:spacing w:val="-6"/>
                <w:lang w:val="sk-SK"/>
              </w:rPr>
            </w:pPr>
            <w:r w:rsidRPr="00AB26B3">
              <w:rPr>
                <w:noProof/>
                <w:spacing w:val="-6"/>
                <w:lang w:val="sk-SK"/>
              </w:rPr>
              <w:t>2. modernizácia infraštruktúry OVP (61 laboratórií</w:t>
            </w:r>
            <w:r w:rsidR="00AB26B3" w:rsidRPr="00AB26B3">
              <w:rPr>
                <w:noProof/>
                <w:spacing w:val="-6"/>
                <w:lang w:val="sk-SK"/>
              </w:rPr>
              <w:t xml:space="preserve"> a </w:t>
            </w:r>
            <w:r w:rsidRPr="00AB26B3">
              <w:rPr>
                <w:noProof/>
                <w:spacing w:val="-6"/>
                <w:lang w:val="sk-SK"/>
              </w:rPr>
              <w:t>ich vybavenie);</w:t>
            </w:r>
          </w:p>
          <w:p w14:paraId="54B592AD" w14:textId="77777777" w:rsidR="00AB26B3" w:rsidRPr="00AB26B3" w:rsidRDefault="00D64F26">
            <w:pPr>
              <w:pStyle w:val="P68B1DB1-paragraph37"/>
              <w:spacing w:before="0" w:beforeAutospacing="0" w:after="0" w:afterAutospacing="0"/>
              <w:rPr>
                <w:noProof/>
                <w:spacing w:val="-6"/>
                <w:lang w:val="sk-SK"/>
              </w:rPr>
            </w:pPr>
            <w:r w:rsidRPr="00AB26B3">
              <w:rPr>
                <w:noProof/>
                <w:spacing w:val="-6"/>
                <w:lang w:val="sk-SK"/>
              </w:rPr>
              <w:t>3. renovácia 6 budov EPAS</w:t>
            </w:r>
            <w:r w:rsidR="00AB26B3" w:rsidRPr="00AB26B3">
              <w:rPr>
                <w:noProof/>
                <w:spacing w:val="-6"/>
                <w:lang w:val="sk-SK"/>
              </w:rPr>
              <w:t>;</w:t>
            </w:r>
          </w:p>
          <w:p w14:paraId="63FD33EC" w14:textId="60987B0D" w:rsidR="00302FC1" w:rsidRPr="00AB26B3" w:rsidRDefault="00302FC1">
            <w:pPr>
              <w:pStyle w:val="paragraph"/>
              <w:spacing w:before="0" w:beforeAutospacing="0" w:after="0" w:afterAutospacing="0"/>
              <w:rPr>
                <w:noProof/>
                <w:color w:val="006100"/>
                <w:spacing w:val="-6"/>
                <w:sz w:val="18"/>
                <w:szCs w:val="18"/>
                <w:lang w:val="sk-SK"/>
              </w:rPr>
            </w:pPr>
          </w:p>
          <w:p w14:paraId="17CDDB68"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0C95D62D" w14:textId="77777777">
        <w:trPr>
          <w:trHeight w:val="1973"/>
          <w:jc w:val="center"/>
        </w:trPr>
        <w:tc>
          <w:tcPr>
            <w:tcW w:w="536" w:type="dxa"/>
            <w:shd w:val="clear" w:color="auto" w:fill="C6EFCE"/>
            <w:noWrap/>
          </w:tcPr>
          <w:p w14:paraId="74F2D16F" w14:textId="6B11D4B6" w:rsidR="00302FC1" w:rsidRPr="00AB26B3" w:rsidRDefault="00D64F26">
            <w:pPr>
              <w:pStyle w:val="P68B1DB1-Normal12"/>
              <w:spacing w:after="0" w:line="240" w:lineRule="auto"/>
              <w:rPr>
                <w:noProof/>
                <w:spacing w:val="-6"/>
                <w:lang w:val="sk-SK"/>
              </w:rPr>
            </w:pPr>
            <w:r w:rsidRPr="00AB26B3">
              <w:rPr>
                <w:noProof/>
                <w:spacing w:val="-6"/>
                <w:lang w:val="sk-SK"/>
              </w:rPr>
              <w:t>146</w:t>
            </w:r>
          </w:p>
        </w:tc>
        <w:tc>
          <w:tcPr>
            <w:tcW w:w="2203" w:type="dxa"/>
            <w:shd w:val="clear" w:color="auto" w:fill="C6EFCE"/>
            <w:noWrap/>
          </w:tcPr>
          <w:p w14:paraId="225985F0" w14:textId="70014145" w:rsidR="00302FC1" w:rsidRPr="00AB26B3" w:rsidRDefault="00D64F26">
            <w:pPr>
              <w:pStyle w:val="P68B1DB1-Normal12"/>
              <w:spacing w:after="0" w:line="240" w:lineRule="auto"/>
              <w:rPr>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16792_Zručnosti, rekvalifikácia</w:t>
            </w:r>
            <w:r w:rsidR="00AB26B3" w:rsidRPr="00AB26B3">
              <w:rPr>
                <w:noProof/>
                <w:spacing w:val="-6"/>
                <w:lang w:val="sk-SK"/>
              </w:rPr>
              <w:t xml:space="preserve"> a </w:t>
            </w:r>
            <w:r w:rsidRPr="00AB26B3">
              <w:rPr>
                <w:noProof/>
                <w:spacing w:val="-6"/>
                <w:lang w:val="sk-SK"/>
              </w:rPr>
              <w:t>zvyšovanie úrovne zručností pracovnej sily prostredníctvom reformovaného modelu odbornej prípravy (Reforma odborného vzdelávania</w:t>
            </w:r>
            <w:r w:rsidR="00AB26B3" w:rsidRPr="00AB26B3">
              <w:rPr>
                <w:noProof/>
                <w:spacing w:val="-6"/>
                <w:lang w:val="sk-SK"/>
              </w:rPr>
              <w:t xml:space="preserve"> a </w:t>
            </w:r>
            <w:r w:rsidRPr="00AB26B3">
              <w:rPr>
                <w:noProof/>
                <w:spacing w:val="-6"/>
                <w:lang w:val="sk-SK"/>
              </w:rPr>
              <w:t>prípravy)</w:t>
            </w:r>
          </w:p>
        </w:tc>
        <w:tc>
          <w:tcPr>
            <w:tcW w:w="1043" w:type="dxa"/>
            <w:shd w:val="clear" w:color="auto" w:fill="C6EFCE"/>
            <w:noWrap/>
          </w:tcPr>
          <w:p w14:paraId="5F741058" w14:textId="548BD832"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42" w:type="dxa"/>
            <w:shd w:val="clear" w:color="auto" w:fill="C6EFCE"/>
            <w:noWrap/>
          </w:tcPr>
          <w:p w14:paraId="13F1D08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Systém kontroly kvality OVP,</w:t>
            </w:r>
          </w:p>
          <w:p w14:paraId="02A3D6BD" w14:textId="1FA30E38" w:rsidR="00302FC1" w:rsidRPr="00AB26B3" w:rsidRDefault="00D64F26">
            <w:pPr>
              <w:pStyle w:val="P68B1DB1-Normal12"/>
              <w:spacing w:after="0" w:line="240" w:lineRule="auto"/>
              <w:rPr>
                <w:noProof/>
                <w:spacing w:val="-6"/>
                <w:lang w:val="sk-SK"/>
              </w:rPr>
            </w:pPr>
            <w:r w:rsidRPr="00AB26B3">
              <w:rPr>
                <w:noProof/>
                <w:spacing w:val="-6"/>
                <w:lang w:val="sk-SK"/>
              </w:rPr>
              <w:t>realizácia sektorových programov odbornej prípravy</w:t>
            </w:r>
          </w:p>
        </w:tc>
        <w:tc>
          <w:tcPr>
            <w:tcW w:w="1459" w:type="dxa"/>
            <w:shd w:val="clear" w:color="auto" w:fill="C6EFCE"/>
            <w:noWrap/>
          </w:tcPr>
          <w:p w14:paraId="6271D12C" w14:textId="43333251" w:rsidR="00302FC1" w:rsidRPr="00AB26B3" w:rsidRDefault="00D64F26">
            <w:pPr>
              <w:pStyle w:val="P68B1DB1-Normal12"/>
              <w:spacing w:after="0" w:line="240" w:lineRule="auto"/>
              <w:rPr>
                <w:noProof/>
                <w:spacing w:val="-6"/>
                <w:lang w:val="sk-SK"/>
              </w:rPr>
            </w:pPr>
            <w:r w:rsidRPr="00AB26B3">
              <w:rPr>
                <w:noProof/>
                <w:spacing w:val="-6"/>
                <w:lang w:val="sk-SK"/>
              </w:rPr>
              <w:t>Realizácia projektov</w:t>
            </w:r>
            <w:r w:rsidR="00AB26B3" w:rsidRPr="00AB26B3">
              <w:rPr>
                <w:noProof/>
                <w:spacing w:val="-6"/>
                <w:lang w:val="sk-SK"/>
              </w:rPr>
              <w:t xml:space="preserve"> a </w:t>
            </w:r>
            <w:r w:rsidRPr="00AB26B3">
              <w:rPr>
                <w:noProof/>
                <w:spacing w:val="-6"/>
                <w:lang w:val="sk-SK"/>
              </w:rPr>
              <w:t xml:space="preserve">a b </w:t>
            </w:r>
          </w:p>
        </w:tc>
        <w:tc>
          <w:tcPr>
            <w:tcW w:w="1332" w:type="dxa"/>
            <w:shd w:val="clear" w:color="auto" w:fill="C6EFCE"/>
            <w:noWrap/>
          </w:tcPr>
          <w:p w14:paraId="43726DE3"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70" w:type="dxa"/>
            <w:shd w:val="clear" w:color="auto" w:fill="C6EFCE"/>
            <w:noWrap/>
          </w:tcPr>
          <w:p w14:paraId="17EE7356"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98" w:type="dxa"/>
            <w:shd w:val="clear" w:color="auto" w:fill="C6EFCE"/>
            <w:noWrap/>
          </w:tcPr>
          <w:p w14:paraId="31CB63DD"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0" w:type="dxa"/>
            <w:shd w:val="clear" w:color="auto" w:fill="C6EFCE"/>
            <w:noWrap/>
          </w:tcPr>
          <w:p w14:paraId="62C2E2E9" w14:textId="7A756A18"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9" w:type="dxa"/>
            <w:shd w:val="clear" w:color="auto" w:fill="C6EFCE"/>
            <w:noWrap/>
          </w:tcPr>
          <w:p w14:paraId="6987E560" w14:textId="05741648"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4761" w:type="dxa"/>
            <w:shd w:val="clear" w:color="auto" w:fill="C6EFCE"/>
            <w:noWrap/>
          </w:tcPr>
          <w:p w14:paraId="63A36B4E" w14:textId="77777777" w:rsidR="00AB26B3" w:rsidRPr="00AB26B3" w:rsidRDefault="00D64F26">
            <w:pPr>
              <w:pStyle w:val="P68B1DB1-Normal12"/>
              <w:spacing w:after="0" w:line="240" w:lineRule="auto"/>
              <w:rPr>
                <w:noProof/>
                <w:spacing w:val="-6"/>
                <w:lang w:val="sk-SK"/>
              </w:rPr>
            </w:pPr>
            <w:r w:rsidRPr="00AB26B3">
              <w:rPr>
                <w:noProof/>
                <w:spacing w:val="-6"/>
                <w:lang w:val="sk-SK"/>
              </w:rPr>
              <w:t>Realizácia týchto projektov</w:t>
            </w:r>
            <w:r w:rsidR="00AB26B3" w:rsidRPr="00AB26B3">
              <w:rPr>
                <w:noProof/>
                <w:spacing w:val="-6"/>
                <w:lang w:val="sk-SK"/>
              </w:rPr>
              <w:t>:</w:t>
            </w:r>
          </w:p>
          <w:p w14:paraId="52E726D2" w14:textId="443FEE3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 systém kontroly kvality OVP národnej organizácie zamestnanosti (DYPA)</w:t>
            </w:r>
          </w:p>
          <w:p w14:paraId="65A6B5D9" w14:textId="77777777" w:rsidR="00AB26B3" w:rsidRPr="00AB26B3" w:rsidRDefault="00D64F26">
            <w:pPr>
              <w:pStyle w:val="P68B1DB1-paragraph35"/>
              <w:spacing w:before="0" w:beforeAutospacing="0" w:after="0" w:afterAutospacing="0"/>
              <w:rPr>
                <w:noProof/>
                <w:spacing w:val="-6"/>
                <w:lang w:val="sk-SK"/>
              </w:rPr>
            </w:pPr>
            <w:r w:rsidRPr="00AB26B3">
              <w:rPr>
                <w:noProof/>
                <w:spacing w:val="-6"/>
                <w:lang w:val="sk-SK"/>
              </w:rPr>
              <w:t>b) sektorové programy odbornej prípravy</w:t>
            </w:r>
            <w:r w:rsidR="00AB26B3" w:rsidRPr="00AB26B3">
              <w:rPr>
                <w:noProof/>
                <w:spacing w:val="-6"/>
                <w:lang w:val="sk-SK"/>
              </w:rPr>
              <w:t>.</w:t>
            </w:r>
          </w:p>
          <w:p w14:paraId="1D7780D3" w14:textId="6723DB73"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bl>
    <w:p w14:paraId="562F292E" w14:textId="77777777" w:rsidR="00302FC1" w:rsidRPr="00AB26B3" w:rsidRDefault="00302FC1">
      <w:pPr>
        <w:spacing w:before="120" w:after="120" w:line="240" w:lineRule="auto"/>
        <w:jc w:val="both"/>
        <w:rPr>
          <w:rFonts w:ascii="Times New Roman" w:hAnsi="Times New Roman" w:cs="Times New Roman"/>
          <w:noProof/>
          <w:spacing w:val="-6"/>
          <w:sz w:val="24"/>
          <w:lang w:val="sk-SK"/>
        </w:rPr>
      </w:pPr>
    </w:p>
    <w:p w14:paraId="089B57DD"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sectPr w:rsidR="00302FC1" w:rsidRPr="00AB26B3" w:rsidSect="00315FC0">
          <w:headerReference w:type="even" r:id="rId164"/>
          <w:headerReference w:type="default" r:id="rId165"/>
          <w:footerReference w:type="even" r:id="rId166"/>
          <w:footerReference w:type="default" r:id="rId167"/>
          <w:headerReference w:type="first" r:id="rId168"/>
          <w:footerReference w:type="first" r:id="rId169"/>
          <w:pgSz w:w="16839" w:h="11907" w:orient="landscape"/>
          <w:pgMar w:top="720" w:right="720" w:bottom="720" w:left="720" w:header="709" w:footer="75" w:gutter="0"/>
          <w:cols w:space="720"/>
          <w:docGrid w:linePitch="360"/>
        </w:sectPr>
      </w:pPr>
    </w:p>
    <w:p w14:paraId="26268E86" w14:textId="4AA3A16D" w:rsidR="00302FC1" w:rsidRPr="00AB26B3" w:rsidRDefault="00D64F26">
      <w:pPr>
        <w:pStyle w:val="P68B1DB1-Normal9"/>
        <w:keepNext/>
        <w:keepLines/>
        <w:spacing w:before="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12: Ministerstvo školstva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náboženských vecí – reformy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investície</w:t>
      </w:r>
    </w:p>
    <w:p w14:paraId="3036692C" w14:textId="519A8ECD" w:rsidR="00302FC1" w:rsidRPr="00AB26B3" w:rsidRDefault="00D64F26">
      <w:pPr>
        <w:pStyle w:val="P68B1DB1-Normal5"/>
        <w:numPr>
          <w:ilvl w:val="0"/>
          <w:numId w:val="23"/>
        </w:numPr>
        <w:spacing w:before="120" w:after="0" w:line="240" w:lineRule="auto"/>
        <w:jc w:val="both"/>
        <w:rPr>
          <w:rFonts w:cs="Times New Roman"/>
          <w:noProof/>
          <w:spacing w:val="-6"/>
          <w:lang w:val="sk-SK"/>
        </w:rPr>
      </w:pPr>
      <w:r w:rsidRPr="00AB26B3">
        <w:rPr>
          <w:noProof/>
          <w:spacing w:val="-6"/>
          <w:lang w:val="sk-SK"/>
        </w:rPr>
        <w:t>Modernizácia odborného vzdelávania</w:t>
      </w:r>
      <w:r w:rsidR="00AB26B3" w:rsidRPr="00AB26B3">
        <w:rPr>
          <w:noProof/>
          <w:spacing w:val="-6"/>
          <w:lang w:val="sk-SK"/>
        </w:rPr>
        <w:t xml:space="preserve"> a </w:t>
      </w:r>
      <w:r w:rsidRPr="00AB26B3">
        <w:rPr>
          <w:noProof/>
          <w:spacing w:val="-6"/>
          <w:lang w:val="sk-SK"/>
        </w:rPr>
        <w:t>prípravy (OVP): Dodávka laboratórneho vybavenia pre laboratórne centrá pre SAEK, EPAL, triedu post-sekundárneho ročníka učňovskej prípravy</w:t>
      </w:r>
      <w:r w:rsidR="00AB26B3" w:rsidRPr="00AB26B3">
        <w:rPr>
          <w:noProof/>
          <w:spacing w:val="-6"/>
          <w:lang w:val="sk-SK"/>
        </w:rPr>
        <w:t xml:space="preserve"> a </w:t>
      </w:r>
      <w:r w:rsidRPr="00AB26B3">
        <w:rPr>
          <w:noProof/>
          <w:spacing w:val="-6"/>
          <w:lang w:val="sk-SK"/>
        </w:rPr>
        <w:t>školy odborného vzdelávania (ID: 16933)</w:t>
      </w:r>
    </w:p>
    <w:p w14:paraId="326D8331" w14:textId="0FB46327" w:rsidR="00302FC1" w:rsidRPr="00AB26B3" w:rsidRDefault="00D64F26">
      <w:pPr>
        <w:pStyle w:val="P68B1DB1-Normal5"/>
        <w:numPr>
          <w:ilvl w:val="0"/>
          <w:numId w:val="23"/>
        </w:numPr>
        <w:spacing w:before="120" w:after="0" w:line="240" w:lineRule="auto"/>
        <w:jc w:val="both"/>
        <w:rPr>
          <w:rFonts w:cs="Times New Roman"/>
          <w:noProof/>
          <w:spacing w:val="-6"/>
          <w:lang w:val="sk-SK"/>
        </w:rPr>
      </w:pPr>
      <w:r w:rsidRPr="00AB26B3">
        <w:rPr>
          <w:noProof/>
          <w:spacing w:val="-6"/>
          <w:lang w:val="sk-SK"/>
        </w:rPr>
        <w:t>Modernizácia odborného vzdelávania</w:t>
      </w:r>
      <w:r w:rsidR="00AB26B3" w:rsidRPr="00AB26B3">
        <w:rPr>
          <w:noProof/>
          <w:spacing w:val="-6"/>
          <w:lang w:val="sk-SK"/>
        </w:rPr>
        <w:t xml:space="preserve"> a </w:t>
      </w:r>
      <w:r w:rsidRPr="00AB26B3">
        <w:rPr>
          <w:noProof/>
          <w:spacing w:val="-6"/>
          <w:lang w:val="sk-SK"/>
        </w:rPr>
        <w:t>prípravy (ID: 16934)</w:t>
      </w:r>
    </w:p>
    <w:p w14:paraId="2E4ED035" w14:textId="11F771B3" w:rsidR="00302FC1" w:rsidRPr="00AB26B3" w:rsidRDefault="00D64F26">
      <w:pPr>
        <w:pStyle w:val="P68B1DB1-Normal5"/>
        <w:numPr>
          <w:ilvl w:val="0"/>
          <w:numId w:val="23"/>
        </w:numPr>
        <w:spacing w:before="120" w:after="0" w:line="240" w:lineRule="auto"/>
        <w:jc w:val="both"/>
        <w:rPr>
          <w:rFonts w:cs="Times New Roman"/>
          <w:noProof/>
          <w:spacing w:val="-6"/>
          <w:lang w:val="sk-SK"/>
        </w:rPr>
      </w:pPr>
      <w:r w:rsidRPr="00AB26B3">
        <w:rPr>
          <w:noProof/>
          <w:spacing w:val="-6"/>
          <w:lang w:val="sk-SK"/>
        </w:rPr>
        <w:t>Stratégia excelentnosti na univerzitách</w:t>
      </w:r>
      <w:r w:rsidR="00AB26B3" w:rsidRPr="00AB26B3">
        <w:rPr>
          <w:noProof/>
          <w:spacing w:val="-6"/>
          <w:lang w:val="sk-SK"/>
        </w:rPr>
        <w:t xml:space="preserve"> a v </w:t>
      </w:r>
      <w:r w:rsidRPr="00AB26B3">
        <w:rPr>
          <w:noProof/>
          <w:spacing w:val="-6"/>
          <w:lang w:val="sk-SK"/>
        </w:rPr>
        <w:t>inováciách (ID: 16289)</w:t>
      </w:r>
    </w:p>
    <w:p w14:paraId="20966031" w14:textId="77777777" w:rsidR="00302FC1" w:rsidRPr="00AB26B3" w:rsidRDefault="00D64F26">
      <w:pPr>
        <w:pStyle w:val="P68B1DB1-Normal5"/>
        <w:numPr>
          <w:ilvl w:val="0"/>
          <w:numId w:val="23"/>
        </w:numPr>
        <w:spacing w:before="120" w:after="120" w:line="240" w:lineRule="auto"/>
        <w:jc w:val="both"/>
        <w:rPr>
          <w:rFonts w:cs="Times New Roman"/>
          <w:noProof/>
          <w:spacing w:val="-6"/>
          <w:lang w:val="sk-SK"/>
        </w:rPr>
      </w:pPr>
      <w:r w:rsidRPr="00AB26B3">
        <w:rPr>
          <w:noProof/>
          <w:spacing w:val="-6"/>
          <w:lang w:val="sk-SK"/>
        </w:rPr>
        <w:t>Digitálna transformácia vzdelávania (ID: 16676)</w:t>
      </w:r>
    </w:p>
    <w:tbl>
      <w:tblPr>
        <w:tblW w:w="1601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557"/>
        <w:gridCol w:w="1172"/>
        <w:gridCol w:w="2047"/>
        <w:gridCol w:w="2222"/>
        <w:gridCol w:w="1154"/>
        <w:gridCol w:w="857"/>
        <w:gridCol w:w="771"/>
        <w:gridCol w:w="913"/>
        <w:gridCol w:w="720"/>
        <w:gridCol w:w="3002"/>
      </w:tblGrid>
      <w:tr w:rsidR="00302FC1" w:rsidRPr="00AB26B3" w14:paraId="1AAA141A" w14:textId="77777777">
        <w:trPr>
          <w:trHeight w:val="939"/>
          <w:tblHeader/>
        </w:trPr>
        <w:tc>
          <w:tcPr>
            <w:tcW w:w="666" w:type="dxa"/>
            <w:vMerge w:val="restart"/>
            <w:shd w:val="clear" w:color="auto" w:fill="BDD7EE"/>
            <w:vAlign w:val="center"/>
            <w:hideMark/>
          </w:tcPr>
          <w:p w14:paraId="43F4F099" w14:textId="3996A4F8"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2557" w:type="dxa"/>
            <w:vMerge w:val="restart"/>
            <w:shd w:val="clear" w:color="auto" w:fill="BDD7EE"/>
            <w:vAlign w:val="center"/>
            <w:hideMark/>
          </w:tcPr>
          <w:p w14:paraId="26BEEB4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72" w:type="dxa"/>
            <w:vMerge w:val="restart"/>
            <w:shd w:val="clear" w:color="auto" w:fill="BDD7EE"/>
            <w:vAlign w:val="center"/>
            <w:hideMark/>
          </w:tcPr>
          <w:p w14:paraId="055510D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2047" w:type="dxa"/>
            <w:vMerge w:val="restart"/>
            <w:shd w:val="clear" w:color="auto" w:fill="BDD7EE"/>
            <w:vAlign w:val="center"/>
            <w:hideMark/>
          </w:tcPr>
          <w:p w14:paraId="2B748A6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2222" w:type="dxa"/>
            <w:vMerge w:val="restart"/>
            <w:shd w:val="clear" w:color="auto" w:fill="BDD7EE"/>
            <w:vAlign w:val="center"/>
            <w:hideMark/>
          </w:tcPr>
          <w:p w14:paraId="30EDAFDD" w14:textId="3E455EAB"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782" w:type="dxa"/>
            <w:gridSpan w:val="3"/>
            <w:shd w:val="clear" w:color="auto" w:fill="BDD7EE"/>
            <w:vAlign w:val="center"/>
            <w:hideMark/>
          </w:tcPr>
          <w:p w14:paraId="29807818" w14:textId="33DEA150" w:rsidR="00302FC1" w:rsidRPr="00AB26B3" w:rsidRDefault="00D64F26">
            <w:pPr>
              <w:pStyle w:val="P68B1DB1-Normal18"/>
              <w:spacing w:after="0" w:line="240" w:lineRule="auto"/>
              <w:jc w:val="center"/>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 xml:space="preserve">Kvantitatívne ukazovatele </w:t>
            </w:r>
            <w:r w:rsidRPr="00AB26B3">
              <w:rPr>
                <w:rFonts w:ascii="Times New Roman" w:hAnsi="Times New Roman" w:cs="Times New Roman"/>
                <w:noProof/>
                <w:spacing w:val="-6"/>
                <w:szCs w:val="18"/>
                <w:lang w:val="sk-SK"/>
              </w:rPr>
              <w:br/>
            </w:r>
            <w:r w:rsidRPr="00AB26B3">
              <w:rPr>
                <w:rFonts w:ascii="Times New Roman" w:hAnsi="Times New Roman"/>
                <w:noProof/>
                <w:spacing w:val="-6"/>
                <w:lang w:val="sk-SK"/>
              </w:rPr>
              <w:t>(pre ciele)</w:t>
            </w:r>
          </w:p>
        </w:tc>
        <w:tc>
          <w:tcPr>
            <w:tcW w:w="1571" w:type="dxa"/>
            <w:gridSpan w:val="2"/>
            <w:shd w:val="clear" w:color="auto" w:fill="BDD7EE"/>
            <w:vAlign w:val="center"/>
            <w:hideMark/>
          </w:tcPr>
          <w:p w14:paraId="408BFD2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002" w:type="dxa"/>
            <w:vMerge w:val="restart"/>
            <w:shd w:val="clear" w:color="auto" w:fill="BDD7EE"/>
            <w:vAlign w:val="center"/>
            <w:hideMark/>
          </w:tcPr>
          <w:p w14:paraId="557B58C5" w14:textId="71A3F00C"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br/>
            </w:r>
            <w:r w:rsidRPr="00AB26B3">
              <w:rPr>
                <w:noProof/>
                <w:spacing w:val="-6"/>
                <w:lang w:val="sk-SK"/>
              </w:rPr>
              <w:br/>
              <w:t>Opis každého míľnika</w:t>
            </w:r>
            <w:r w:rsidR="00AB26B3" w:rsidRPr="00AB26B3">
              <w:rPr>
                <w:noProof/>
                <w:spacing w:val="-6"/>
                <w:lang w:val="sk-SK"/>
              </w:rPr>
              <w:t xml:space="preserve"> a </w:t>
            </w:r>
            <w:r w:rsidRPr="00AB26B3">
              <w:rPr>
                <w:noProof/>
                <w:spacing w:val="-6"/>
                <w:lang w:val="sk-SK"/>
              </w:rPr>
              <w:t>cieľa</w:t>
            </w:r>
          </w:p>
          <w:p w14:paraId="78095FB8" w14:textId="77777777" w:rsidR="00302FC1" w:rsidRPr="00AB26B3" w:rsidRDefault="00302FC1">
            <w:pPr>
              <w:rPr>
                <w:rFonts w:ascii="Times New Roman" w:hAnsi="Times New Roman"/>
                <w:noProof/>
                <w:spacing w:val="-6"/>
                <w:sz w:val="18"/>
                <w:lang w:val="sk-SK"/>
              </w:rPr>
            </w:pPr>
          </w:p>
        </w:tc>
      </w:tr>
      <w:tr w:rsidR="00302FC1" w:rsidRPr="00AB26B3" w14:paraId="59EBD23F" w14:textId="77777777">
        <w:trPr>
          <w:trHeight w:val="320"/>
          <w:tblHeader/>
        </w:trPr>
        <w:tc>
          <w:tcPr>
            <w:tcW w:w="666" w:type="dxa"/>
            <w:vMerge/>
            <w:vAlign w:val="center"/>
            <w:hideMark/>
          </w:tcPr>
          <w:p w14:paraId="09D1DF7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557" w:type="dxa"/>
            <w:vMerge/>
            <w:vAlign w:val="center"/>
            <w:hideMark/>
          </w:tcPr>
          <w:p w14:paraId="5376D70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72" w:type="dxa"/>
            <w:vMerge/>
            <w:vAlign w:val="center"/>
            <w:hideMark/>
          </w:tcPr>
          <w:p w14:paraId="11234E7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47" w:type="dxa"/>
            <w:vMerge/>
            <w:vAlign w:val="center"/>
            <w:hideMark/>
          </w:tcPr>
          <w:p w14:paraId="1285931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222" w:type="dxa"/>
            <w:vMerge/>
            <w:vAlign w:val="center"/>
            <w:hideMark/>
          </w:tcPr>
          <w:p w14:paraId="296939E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54" w:type="dxa"/>
            <w:shd w:val="clear" w:color="auto" w:fill="BDD7EE"/>
            <w:vAlign w:val="center"/>
            <w:hideMark/>
          </w:tcPr>
          <w:p w14:paraId="44DFAE4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shd w:val="clear" w:color="auto" w:fill="BDD7EE"/>
            <w:vAlign w:val="center"/>
            <w:hideMark/>
          </w:tcPr>
          <w:p w14:paraId="542EE08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771" w:type="dxa"/>
            <w:shd w:val="clear" w:color="auto" w:fill="BDD7EE"/>
            <w:vAlign w:val="center"/>
            <w:hideMark/>
          </w:tcPr>
          <w:p w14:paraId="2569182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51" w:type="dxa"/>
            <w:shd w:val="clear" w:color="auto" w:fill="BDD7EE"/>
            <w:vAlign w:val="center"/>
            <w:hideMark/>
          </w:tcPr>
          <w:p w14:paraId="4BD059F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20" w:type="dxa"/>
            <w:shd w:val="clear" w:color="auto" w:fill="BDD7EE"/>
            <w:vAlign w:val="center"/>
            <w:hideMark/>
          </w:tcPr>
          <w:p w14:paraId="13187C1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002" w:type="dxa"/>
            <w:vMerge/>
            <w:vAlign w:val="center"/>
            <w:hideMark/>
          </w:tcPr>
          <w:p w14:paraId="2D5CBDD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1D5CCE65" w14:textId="77777777">
        <w:trPr>
          <w:trHeight w:val="313"/>
        </w:trPr>
        <w:tc>
          <w:tcPr>
            <w:tcW w:w="666" w:type="dxa"/>
            <w:shd w:val="clear" w:color="auto" w:fill="C6EFCE"/>
            <w:noWrap/>
          </w:tcPr>
          <w:p w14:paraId="46ED9F5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147</w:t>
            </w:r>
          </w:p>
        </w:tc>
        <w:tc>
          <w:tcPr>
            <w:tcW w:w="2557" w:type="dxa"/>
            <w:shd w:val="clear" w:color="auto" w:fill="C6EFCE"/>
            <w:noWrap/>
          </w:tcPr>
          <w:p w14:paraId="2507A2E1" w14:textId="6DBCEFD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16289_Stratégia excelentnosti na univerzitách</w:t>
            </w:r>
            <w:r w:rsidR="00AB26B3" w:rsidRPr="00AB26B3">
              <w:rPr>
                <w:noProof/>
                <w:spacing w:val="-6"/>
                <w:lang w:val="sk-SK"/>
              </w:rPr>
              <w:t xml:space="preserve"> a v </w:t>
            </w:r>
            <w:r w:rsidRPr="00AB26B3">
              <w:rPr>
                <w:noProof/>
                <w:spacing w:val="-6"/>
                <w:lang w:val="sk-SK"/>
              </w:rPr>
              <w:t>inovácii</w:t>
            </w:r>
          </w:p>
        </w:tc>
        <w:tc>
          <w:tcPr>
            <w:tcW w:w="1172" w:type="dxa"/>
            <w:shd w:val="clear" w:color="auto" w:fill="C6EFCE"/>
            <w:noWrap/>
          </w:tcPr>
          <w:p w14:paraId="3100616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47" w:type="dxa"/>
            <w:shd w:val="clear" w:color="auto" w:fill="C6EFCE"/>
            <w:noWrap/>
          </w:tcPr>
          <w:p w14:paraId="76A4F006" w14:textId="0B29CF3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Univerzity excelentnosti</w:t>
            </w:r>
            <w:r w:rsidR="00AB26B3" w:rsidRPr="00AB26B3">
              <w:rPr>
                <w:noProof/>
                <w:spacing w:val="-6"/>
                <w:lang w:val="sk-SK"/>
              </w:rPr>
              <w:t xml:space="preserve"> a </w:t>
            </w:r>
            <w:r w:rsidRPr="00AB26B3">
              <w:rPr>
                <w:noProof/>
                <w:spacing w:val="-6"/>
                <w:lang w:val="sk-SK"/>
              </w:rPr>
              <w:t>klastre pre rozhodnutia</w:t>
            </w:r>
            <w:r w:rsidR="00AB26B3" w:rsidRPr="00AB26B3">
              <w:rPr>
                <w:noProof/>
                <w:spacing w:val="-6"/>
                <w:lang w:val="sk-SK"/>
              </w:rPr>
              <w:t xml:space="preserve"> o </w:t>
            </w:r>
            <w:r w:rsidRPr="00AB26B3">
              <w:rPr>
                <w:noProof/>
                <w:spacing w:val="-6"/>
                <w:lang w:val="sk-SK"/>
              </w:rPr>
              <w:t>schválení excelentnosti</w:t>
            </w:r>
            <w:r w:rsidR="00AB26B3" w:rsidRPr="00AB26B3">
              <w:rPr>
                <w:noProof/>
                <w:spacing w:val="-6"/>
                <w:lang w:val="sk-SK"/>
              </w:rPr>
              <w:t xml:space="preserve"> v </w:t>
            </w:r>
            <w:r w:rsidRPr="00AB26B3">
              <w:rPr>
                <w:noProof/>
                <w:spacing w:val="-6"/>
                <w:lang w:val="sk-SK"/>
              </w:rPr>
              <w:t>oblasti výskumu</w:t>
            </w:r>
          </w:p>
        </w:tc>
        <w:tc>
          <w:tcPr>
            <w:tcW w:w="2222" w:type="dxa"/>
            <w:shd w:val="clear" w:color="auto" w:fill="C6EFCE"/>
            <w:noWrap/>
          </w:tcPr>
          <w:p w14:paraId="309906F3" w14:textId="21E3FA22"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Vydávanie rozhodnutí</w:t>
            </w:r>
            <w:r w:rsidR="00AB26B3" w:rsidRPr="00AB26B3">
              <w:rPr>
                <w:noProof/>
                <w:color w:val="006100"/>
                <w:spacing w:val="-6"/>
                <w:lang w:val="sk-SK"/>
              </w:rPr>
              <w:t xml:space="preserve"> o </w:t>
            </w:r>
            <w:r w:rsidRPr="00AB26B3">
              <w:rPr>
                <w:noProof/>
                <w:color w:val="006100"/>
                <w:spacing w:val="-6"/>
                <w:lang w:val="sk-SK"/>
              </w:rPr>
              <w:t>schválení ministerstvom</w:t>
            </w:r>
            <w:r w:rsidRPr="00AB26B3">
              <w:rPr>
                <w:noProof/>
                <w:spacing w:val="-6"/>
                <w:lang w:val="sk-SK"/>
              </w:rPr>
              <w:t xml:space="preserve"> </w:t>
            </w:r>
            <w:r w:rsidRPr="00AB26B3">
              <w:rPr>
                <w:noProof/>
                <w:color w:val="006100"/>
                <w:spacing w:val="-6"/>
                <w:lang w:val="sk-SK"/>
              </w:rPr>
              <w:t>školstva, náboženských záležitostí</w:t>
            </w:r>
            <w:r w:rsidR="00AB26B3" w:rsidRPr="00AB26B3">
              <w:rPr>
                <w:noProof/>
                <w:color w:val="006100"/>
                <w:spacing w:val="-6"/>
                <w:lang w:val="sk-SK"/>
              </w:rPr>
              <w:t xml:space="preserve"> a </w:t>
            </w:r>
            <w:r w:rsidRPr="00AB26B3">
              <w:rPr>
                <w:noProof/>
                <w:color w:val="006100"/>
                <w:spacing w:val="-6"/>
                <w:lang w:val="sk-SK"/>
              </w:rPr>
              <w:t>športu</w:t>
            </w:r>
          </w:p>
        </w:tc>
        <w:tc>
          <w:tcPr>
            <w:tcW w:w="1154" w:type="dxa"/>
            <w:shd w:val="clear" w:color="auto" w:fill="C6EFCE"/>
            <w:noWrap/>
          </w:tcPr>
          <w:p w14:paraId="79AC59F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6405243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71" w:type="dxa"/>
            <w:shd w:val="clear" w:color="auto" w:fill="C6EFCE"/>
            <w:noWrap/>
          </w:tcPr>
          <w:p w14:paraId="344B1BA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407004E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2478A66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002" w:type="dxa"/>
            <w:shd w:val="clear" w:color="auto" w:fill="C6EFCE"/>
            <w:noWrap/>
          </w:tcPr>
          <w:p w14:paraId="43937AE7" w14:textId="3D34677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Vydávanie rozhodnutí</w:t>
            </w:r>
            <w:r w:rsidR="00AB26B3" w:rsidRPr="00AB26B3">
              <w:rPr>
                <w:noProof/>
                <w:spacing w:val="-6"/>
                <w:lang w:val="sk-SK"/>
              </w:rPr>
              <w:t xml:space="preserve"> o </w:t>
            </w:r>
            <w:r w:rsidRPr="00AB26B3">
              <w:rPr>
                <w:noProof/>
                <w:spacing w:val="-6"/>
                <w:lang w:val="sk-SK"/>
              </w:rPr>
              <w:t>schválení vybraným univerzitám ministerstvom školstva, náboženských záležitostí</w:t>
            </w:r>
            <w:r w:rsidR="00AB26B3" w:rsidRPr="00AB26B3">
              <w:rPr>
                <w:noProof/>
                <w:spacing w:val="-6"/>
                <w:lang w:val="sk-SK"/>
              </w:rPr>
              <w:t xml:space="preserve"> a </w:t>
            </w:r>
            <w:r w:rsidRPr="00AB26B3">
              <w:rPr>
                <w:noProof/>
                <w:spacing w:val="-6"/>
                <w:lang w:val="sk-SK"/>
              </w:rPr>
              <w:t>športu</w:t>
            </w:r>
            <w:r w:rsidR="00AB26B3" w:rsidRPr="00AB26B3">
              <w:rPr>
                <w:noProof/>
                <w:spacing w:val="-6"/>
                <w:lang w:val="sk-SK"/>
              </w:rPr>
              <w:t xml:space="preserve"> s </w:t>
            </w:r>
            <w:r w:rsidRPr="00AB26B3">
              <w:rPr>
                <w:noProof/>
                <w:spacing w:val="-6"/>
                <w:lang w:val="sk-SK"/>
              </w:rPr>
              <w:t>cieľom modernizovať</w:t>
            </w:r>
            <w:r w:rsidR="00AB26B3" w:rsidRPr="00AB26B3">
              <w:rPr>
                <w:noProof/>
                <w:spacing w:val="-6"/>
                <w:lang w:val="sk-SK"/>
              </w:rPr>
              <w:t xml:space="preserve"> a </w:t>
            </w:r>
            <w:r w:rsidRPr="00AB26B3">
              <w:rPr>
                <w:noProof/>
                <w:spacing w:val="-6"/>
                <w:lang w:val="sk-SK"/>
              </w:rPr>
              <w:t>zlepšiť ich výskumné</w:t>
            </w:r>
            <w:r w:rsidR="00AB26B3" w:rsidRPr="00AB26B3">
              <w:rPr>
                <w:noProof/>
                <w:spacing w:val="-6"/>
                <w:lang w:val="sk-SK"/>
              </w:rPr>
              <w:t xml:space="preserve"> a </w:t>
            </w:r>
            <w:r w:rsidRPr="00AB26B3">
              <w:rPr>
                <w:noProof/>
                <w:spacing w:val="-6"/>
                <w:lang w:val="sk-SK"/>
              </w:rPr>
              <w:t>vzdelávacie infraštruktúry (napríklad vybavenie alebo výskumné laboratóriá), rozšíriť nové oblasti výskumu</w:t>
            </w:r>
            <w:r w:rsidR="00AB26B3" w:rsidRPr="00AB26B3">
              <w:rPr>
                <w:noProof/>
                <w:spacing w:val="-6"/>
                <w:lang w:val="sk-SK"/>
              </w:rPr>
              <w:t xml:space="preserve"> a </w:t>
            </w:r>
            <w:r w:rsidRPr="00AB26B3">
              <w:rPr>
                <w:noProof/>
                <w:spacing w:val="-6"/>
                <w:lang w:val="sk-SK"/>
              </w:rPr>
              <w:t>zlepšiť ponúkanú odbornú prípravu.</w:t>
            </w:r>
          </w:p>
          <w:p w14:paraId="0BDEDB7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7F954AA0" w14:textId="7F6952E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Vydanie rozhodnutia ministerstva školstva, náboženských záležitostí</w:t>
            </w:r>
            <w:r w:rsidR="00AB26B3" w:rsidRPr="00AB26B3">
              <w:rPr>
                <w:noProof/>
                <w:spacing w:val="-6"/>
                <w:lang w:val="sk-SK"/>
              </w:rPr>
              <w:t xml:space="preserve"> a </w:t>
            </w:r>
            <w:r w:rsidRPr="00AB26B3">
              <w:rPr>
                <w:noProof/>
                <w:spacing w:val="-6"/>
                <w:lang w:val="sk-SK"/>
              </w:rPr>
              <w:t>športu</w:t>
            </w:r>
            <w:r w:rsidR="00AB26B3" w:rsidRPr="00AB26B3">
              <w:rPr>
                <w:noProof/>
                <w:spacing w:val="-6"/>
                <w:lang w:val="sk-SK"/>
              </w:rPr>
              <w:t xml:space="preserve"> o </w:t>
            </w:r>
            <w:r w:rsidRPr="00AB26B3">
              <w:rPr>
                <w:noProof/>
                <w:spacing w:val="-6"/>
                <w:lang w:val="sk-SK"/>
              </w:rPr>
              <w:t>schválení 70 výskumných projektov spolupráce medzi univerzitami</w:t>
            </w:r>
            <w:r w:rsidR="00AB26B3" w:rsidRPr="00AB26B3">
              <w:rPr>
                <w:noProof/>
                <w:spacing w:val="-6"/>
                <w:lang w:val="sk-SK"/>
              </w:rPr>
              <w:t xml:space="preserve"> a </w:t>
            </w:r>
            <w:r w:rsidRPr="00AB26B3">
              <w:rPr>
                <w:noProof/>
                <w:spacing w:val="-6"/>
                <w:lang w:val="sk-SK"/>
              </w:rPr>
              <w:t>súkromným sektorom</w:t>
            </w:r>
            <w:r w:rsidR="00AB26B3" w:rsidRPr="00AB26B3">
              <w:rPr>
                <w:noProof/>
                <w:spacing w:val="-6"/>
                <w:lang w:val="sk-SK"/>
              </w:rPr>
              <w:t xml:space="preserve"> v </w:t>
            </w:r>
            <w:r w:rsidRPr="00AB26B3">
              <w:rPr>
                <w:noProof/>
                <w:spacing w:val="-6"/>
                <w:lang w:val="sk-SK"/>
              </w:rPr>
              <w:t>rámci iniciatívy Klastre excelentnosti výskumu.</w:t>
            </w:r>
          </w:p>
        </w:tc>
      </w:tr>
      <w:tr w:rsidR="00302FC1" w:rsidRPr="00AB26B3" w14:paraId="168FF99C" w14:textId="77777777">
        <w:trPr>
          <w:trHeight w:val="313"/>
        </w:trPr>
        <w:tc>
          <w:tcPr>
            <w:tcW w:w="666" w:type="dxa"/>
            <w:shd w:val="clear" w:color="auto" w:fill="C6EFCE"/>
            <w:noWrap/>
          </w:tcPr>
          <w:p w14:paraId="0C66AC5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148</w:t>
            </w:r>
          </w:p>
        </w:tc>
        <w:tc>
          <w:tcPr>
            <w:tcW w:w="2557" w:type="dxa"/>
            <w:shd w:val="clear" w:color="auto" w:fill="C6EFCE"/>
            <w:noWrap/>
          </w:tcPr>
          <w:p w14:paraId="59ED7F08" w14:textId="05EC70D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16676_Digitálna transformácia vzdelávania</w:t>
            </w:r>
          </w:p>
        </w:tc>
        <w:tc>
          <w:tcPr>
            <w:tcW w:w="1172" w:type="dxa"/>
            <w:shd w:val="clear" w:color="auto" w:fill="C6EFCE"/>
            <w:noWrap/>
          </w:tcPr>
          <w:p w14:paraId="072F4D6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2047" w:type="dxa"/>
            <w:shd w:val="clear" w:color="auto" w:fill="C6EFCE"/>
            <w:noWrap/>
          </w:tcPr>
          <w:p w14:paraId="3CB9D0D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inštalácie interaktívnych systémov</w:t>
            </w:r>
          </w:p>
        </w:tc>
        <w:tc>
          <w:tcPr>
            <w:tcW w:w="2222" w:type="dxa"/>
            <w:shd w:val="clear" w:color="auto" w:fill="C6EFCE"/>
            <w:noWrap/>
          </w:tcPr>
          <w:p w14:paraId="3F8DD9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54" w:type="dxa"/>
            <w:shd w:val="clear" w:color="auto" w:fill="C6EFCE"/>
            <w:noWrap/>
          </w:tcPr>
          <w:p w14:paraId="3FDF72A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nainštalovaných interaktívnych vzdelávacích systémov</w:t>
            </w:r>
          </w:p>
        </w:tc>
        <w:tc>
          <w:tcPr>
            <w:tcW w:w="857" w:type="dxa"/>
            <w:shd w:val="clear" w:color="auto" w:fill="C6EFCE"/>
            <w:noWrap/>
          </w:tcPr>
          <w:p w14:paraId="7A3D48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71" w:type="dxa"/>
            <w:shd w:val="clear" w:color="auto" w:fill="C6EFCE"/>
            <w:noWrap/>
          </w:tcPr>
          <w:p w14:paraId="1C1CEBC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36 000</w:t>
            </w:r>
          </w:p>
        </w:tc>
        <w:tc>
          <w:tcPr>
            <w:tcW w:w="851" w:type="dxa"/>
            <w:shd w:val="clear" w:color="auto" w:fill="C6EFCE"/>
            <w:noWrap/>
          </w:tcPr>
          <w:p w14:paraId="1C8E1F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20" w:type="dxa"/>
            <w:shd w:val="clear" w:color="auto" w:fill="C6EFCE"/>
            <w:noWrap/>
          </w:tcPr>
          <w:p w14:paraId="1350465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002" w:type="dxa"/>
            <w:shd w:val="clear" w:color="auto" w:fill="C6EFCE"/>
            <w:noWrap/>
          </w:tcPr>
          <w:p w14:paraId="09A83F45" w14:textId="5DB2812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Inštalácia najmenej 36000 interaktívnych vzdelávacích systémov pre triedy základných</w:t>
            </w:r>
            <w:r w:rsidR="00AB26B3" w:rsidRPr="00AB26B3">
              <w:rPr>
                <w:noProof/>
                <w:spacing w:val="-6"/>
                <w:lang w:val="sk-SK"/>
              </w:rPr>
              <w:t xml:space="preserve"> a </w:t>
            </w:r>
            <w:r w:rsidRPr="00AB26B3">
              <w:rPr>
                <w:noProof/>
                <w:spacing w:val="-6"/>
                <w:lang w:val="sk-SK"/>
              </w:rPr>
              <w:t>stredných škôl</w:t>
            </w:r>
          </w:p>
        </w:tc>
      </w:tr>
      <w:tr w:rsidR="00302FC1" w:rsidRPr="00AB26B3" w14:paraId="6F522CEB" w14:textId="77777777">
        <w:trPr>
          <w:trHeight w:val="313"/>
        </w:trPr>
        <w:tc>
          <w:tcPr>
            <w:tcW w:w="666" w:type="dxa"/>
            <w:shd w:val="clear" w:color="auto" w:fill="C6EFCE"/>
            <w:noWrap/>
          </w:tcPr>
          <w:p w14:paraId="2C678A5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148a</w:t>
            </w:r>
          </w:p>
        </w:tc>
        <w:tc>
          <w:tcPr>
            <w:tcW w:w="2557" w:type="dxa"/>
            <w:shd w:val="clear" w:color="auto" w:fill="C6EFCE"/>
            <w:noWrap/>
          </w:tcPr>
          <w:p w14:paraId="1B334669" w14:textId="51C21A4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16676_Digitálna transformácia vzdelávania</w:t>
            </w:r>
          </w:p>
        </w:tc>
        <w:tc>
          <w:tcPr>
            <w:tcW w:w="1172" w:type="dxa"/>
            <w:shd w:val="clear" w:color="auto" w:fill="C6EFCE"/>
            <w:noWrap/>
          </w:tcPr>
          <w:p w14:paraId="1920E7F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47" w:type="dxa"/>
            <w:shd w:val="clear" w:color="auto" w:fill="C6EFCE"/>
            <w:noWrap/>
          </w:tcPr>
          <w:p w14:paraId="1E6F9C97" w14:textId="68A53BC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Stratégia aktualizácie učebných plánov, racionalizácie služieb</w:t>
            </w:r>
            <w:r w:rsidR="00AB26B3" w:rsidRPr="00AB26B3">
              <w:rPr>
                <w:noProof/>
                <w:spacing w:val="-6"/>
                <w:lang w:val="sk-SK"/>
              </w:rPr>
              <w:t xml:space="preserve"> a </w:t>
            </w:r>
            <w:r w:rsidRPr="00AB26B3">
              <w:rPr>
                <w:noProof/>
                <w:spacing w:val="-6"/>
                <w:lang w:val="sk-SK"/>
              </w:rPr>
              <w:t>monitorovania výsledkov digitálnej transformácie vzdelávania</w:t>
            </w:r>
          </w:p>
        </w:tc>
        <w:tc>
          <w:tcPr>
            <w:tcW w:w="2222" w:type="dxa"/>
            <w:shd w:val="clear" w:color="auto" w:fill="C6EFCE"/>
            <w:noWrap/>
          </w:tcPr>
          <w:p w14:paraId="3AD706A0" w14:textId="56E951B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reformnej stratégie na aktualizáciu učebných plánov, racionalizáciu služieb</w:t>
            </w:r>
            <w:r w:rsidR="00AB26B3" w:rsidRPr="00AB26B3">
              <w:rPr>
                <w:noProof/>
                <w:spacing w:val="-6"/>
                <w:lang w:val="sk-SK"/>
              </w:rPr>
              <w:t xml:space="preserve"> a </w:t>
            </w:r>
            <w:r w:rsidRPr="00AB26B3">
              <w:rPr>
                <w:noProof/>
                <w:spacing w:val="-6"/>
                <w:lang w:val="sk-SK"/>
              </w:rPr>
              <w:t>vymedzenie metodiky monitorovania výsledkov digitálnej transformácie vzdelávania</w:t>
            </w:r>
          </w:p>
        </w:tc>
        <w:tc>
          <w:tcPr>
            <w:tcW w:w="1154" w:type="dxa"/>
            <w:shd w:val="clear" w:color="auto" w:fill="C6EFCE"/>
            <w:noWrap/>
          </w:tcPr>
          <w:p w14:paraId="662603A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5B684F6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71" w:type="dxa"/>
            <w:shd w:val="clear" w:color="auto" w:fill="C6EFCE"/>
            <w:noWrap/>
          </w:tcPr>
          <w:p w14:paraId="4BBBF64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04E4721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20" w:type="dxa"/>
            <w:shd w:val="clear" w:color="auto" w:fill="C6EFCE"/>
            <w:noWrap/>
          </w:tcPr>
          <w:p w14:paraId="4AF9A3D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002" w:type="dxa"/>
            <w:shd w:val="clear" w:color="auto" w:fill="C6EFCE"/>
            <w:noWrap/>
          </w:tcPr>
          <w:p w14:paraId="660F2D85" w14:textId="4027528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reformnej stratégie na aktualizáciu učebných plánov, racionalizáciu služieb</w:t>
            </w:r>
            <w:r w:rsidR="00AB26B3" w:rsidRPr="00AB26B3">
              <w:rPr>
                <w:noProof/>
                <w:spacing w:val="-6"/>
                <w:lang w:val="sk-SK"/>
              </w:rPr>
              <w:t xml:space="preserve"> a </w:t>
            </w:r>
            <w:r w:rsidRPr="00AB26B3">
              <w:rPr>
                <w:noProof/>
                <w:spacing w:val="-6"/>
                <w:lang w:val="sk-SK"/>
              </w:rPr>
              <w:t>vymedzenie metodiky monitorovania výsledkov digitálnej transformácie vzdelávania</w:t>
            </w:r>
          </w:p>
        </w:tc>
      </w:tr>
      <w:tr w:rsidR="00302FC1" w:rsidRPr="00AB26B3" w14:paraId="4B398B15" w14:textId="77777777">
        <w:trPr>
          <w:trHeight w:val="313"/>
        </w:trPr>
        <w:tc>
          <w:tcPr>
            <w:tcW w:w="666" w:type="dxa"/>
            <w:shd w:val="clear" w:color="auto" w:fill="C6EFCE"/>
            <w:noWrap/>
          </w:tcPr>
          <w:p w14:paraId="3E9218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148b</w:t>
            </w:r>
          </w:p>
        </w:tc>
        <w:tc>
          <w:tcPr>
            <w:tcW w:w="2557" w:type="dxa"/>
            <w:shd w:val="clear" w:color="auto" w:fill="C6EFCE"/>
            <w:noWrap/>
          </w:tcPr>
          <w:p w14:paraId="05D20E31" w14:textId="75C2604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16676_Digitálna transformácia vzdelávania</w:t>
            </w:r>
          </w:p>
        </w:tc>
        <w:tc>
          <w:tcPr>
            <w:tcW w:w="1172" w:type="dxa"/>
            <w:shd w:val="clear" w:color="auto" w:fill="C6EFCE"/>
            <w:noWrap/>
          </w:tcPr>
          <w:p w14:paraId="6677311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47" w:type="dxa"/>
            <w:shd w:val="clear" w:color="auto" w:fill="C6EFCE"/>
            <w:noWrap/>
          </w:tcPr>
          <w:p w14:paraId="05A2F72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Digitálna transformácia vzdelávania</w:t>
            </w:r>
          </w:p>
        </w:tc>
        <w:tc>
          <w:tcPr>
            <w:tcW w:w="2222" w:type="dxa"/>
            <w:shd w:val="clear" w:color="auto" w:fill="C6EFCE"/>
            <w:noWrap/>
          </w:tcPr>
          <w:p w14:paraId="57F15F8C" w14:textId="071779E3" w:rsidR="00302FC1" w:rsidRPr="00AB26B3" w:rsidRDefault="00D64F26">
            <w:pPr>
              <w:pStyle w:val="P68B1DB1-Normal12"/>
              <w:spacing w:after="0" w:line="240" w:lineRule="auto"/>
              <w:rPr>
                <w:noProof/>
                <w:spacing w:val="-6"/>
                <w:lang w:val="sk-SK"/>
              </w:rPr>
            </w:pPr>
            <w:r w:rsidRPr="00AB26B3">
              <w:rPr>
                <w:noProof/>
                <w:spacing w:val="-6"/>
                <w:lang w:val="sk-SK"/>
              </w:rPr>
              <w:t>Realizácia digitálnych projektov</w:t>
            </w:r>
            <w:r w:rsidR="00AB26B3" w:rsidRPr="00AB26B3">
              <w:rPr>
                <w:noProof/>
                <w:spacing w:val="-6"/>
                <w:lang w:val="sk-SK"/>
              </w:rPr>
              <w:t xml:space="preserve"> v </w:t>
            </w:r>
            <w:r w:rsidRPr="00AB26B3">
              <w:rPr>
                <w:noProof/>
                <w:spacing w:val="-6"/>
                <w:lang w:val="sk-SK"/>
              </w:rPr>
              <w:t>sektore vzdelávania</w:t>
            </w:r>
          </w:p>
        </w:tc>
        <w:tc>
          <w:tcPr>
            <w:tcW w:w="1154" w:type="dxa"/>
            <w:shd w:val="clear" w:color="auto" w:fill="C6EFCE"/>
            <w:noWrap/>
          </w:tcPr>
          <w:p w14:paraId="61EB74C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0EB8D8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71" w:type="dxa"/>
            <w:shd w:val="clear" w:color="auto" w:fill="C6EFCE"/>
            <w:noWrap/>
          </w:tcPr>
          <w:p w14:paraId="07A10CF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487C58C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656658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002" w:type="dxa"/>
            <w:shd w:val="clear" w:color="auto" w:fill="C6EFCE"/>
            <w:noWrap/>
          </w:tcPr>
          <w:p w14:paraId="224B016C" w14:textId="77777777" w:rsidR="00302FC1" w:rsidRPr="00AB26B3" w:rsidRDefault="00D64F26">
            <w:pPr>
              <w:pStyle w:val="P68B1DB1-paragraph38"/>
              <w:spacing w:before="0" w:beforeAutospacing="0" w:after="0" w:afterAutospacing="0"/>
              <w:textAlignment w:val="baseline"/>
              <w:rPr>
                <w:noProof/>
                <w:spacing w:val="-6"/>
                <w:lang w:val="sk-SK"/>
              </w:rPr>
            </w:pPr>
            <w:r w:rsidRPr="00AB26B3">
              <w:rPr>
                <w:noProof/>
                <w:spacing w:val="-6"/>
                <w:lang w:val="sk-SK"/>
              </w:rPr>
              <w:t>Realizácia týchto projektov:</w:t>
            </w:r>
          </w:p>
          <w:p w14:paraId="75956355" w14:textId="77777777" w:rsidR="00AB26B3" w:rsidRPr="00AB26B3" w:rsidRDefault="00D64F26">
            <w:pPr>
              <w:pStyle w:val="P68B1DB1-paragraph38"/>
              <w:numPr>
                <w:ilvl w:val="0"/>
                <w:numId w:val="24"/>
              </w:numPr>
              <w:spacing w:after="0"/>
              <w:textAlignment w:val="baseline"/>
              <w:rPr>
                <w:noProof/>
                <w:spacing w:val="-6"/>
                <w:lang w:val="sk-SK"/>
              </w:rPr>
            </w:pPr>
            <w:r w:rsidRPr="00AB26B3">
              <w:rPr>
                <w:noProof/>
                <w:spacing w:val="-6"/>
                <w:lang w:val="sk-SK"/>
              </w:rPr>
              <w:t>Učebné plány</w:t>
            </w:r>
            <w:r w:rsidR="00AB26B3" w:rsidRPr="00AB26B3">
              <w:rPr>
                <w:noProof/>
                <w:spacing w:val="-6"/>
                <w:lang w:val="sk-SK"/>
              </w:rPr>
              <w:t xml:space="preserve"> a </w:t>
            </w:r>
            <w:r w:rsidRPr="00AB26B3">
              <w:rPr>
                <w:noProof/>
                <w:spacing w:val="-6"/>
                <w:lang w:val="sk-SK"/>
              </w:rPr>
              <w:t>vzdelávací obsah sprístupnený online,</w:t>
            </w:r>
            <w:r w:rsidR="00AB26B3" w:rsidRPr="00AB26B3">
              <w:rPr>
                <w:noProof/>
                <w:spacing w:val="-6"/>
                <w:lang w:val="sk-SK"/>
              </w:rPr>
              <w:t xml:space="preserve"> s </w:t>
            </w:r>
            <w:r w:rsidRPr="00AB26B3">
              <w:rPr>
                <w:noProof/>
                <w:spacing w:val="-6"/>
                <w:lang w:val="sk-SK"/>
              </w:rPr>
              <w:t>otvoreným zdrojovým kódom</w:t>
            </w:r>
            <w:r w:rsidR="00AB26B3" w:rsidRPr="00AB26B3">
              <w:rPr>
                <w:noProof/>
                <w:spacing w:val="-6"/>
                <w:lang w:val="sk-SK"/>
              </w:rPr>
              <w:t xml:space="preserve"> a </w:t>
            </w:r>
            <w:r w:rsidRPr="00AB26B3">
              <w:rPr>
                <w:noProof/>
                <w:spacing w:val="-6"/>
                <w:lang w:val="sk-SK"/>
              </w:rPr>
              <w:t>interaktívny</w:t>
            </w:r>
          </w:p>
          <w:p w14:paraId="18C2B672" w14:textId="77777777" w:rsidR="00AB26B3" w:rsidRPr="00AB26B3" w:rsidRDefault="00D64F26">
            <w:pPr>
              <w:pStyle w:val="P68B1DB1-paragraph38"/>
              <w:numPr>
                <w:ilvl w:val="0"/>
                <w:numId w:val="24"/>
              </w:numPr>
              <w:spacing w:after="0"/>
              <w:textAlignment w:val="baseline"/>
              <w:rPr>
                <w:noProof/>
                <w:spacing w:val="-6"/>
                <w:lang w:val="sk-SK"/>
              </w:rPr>
            </w:pPr>
            <w:r w:rsidRPr="00AB26B3">
              <w:rPr>
                <w:noProof/>
                <w:spacing w:val="-6"/>
                <w:lang w:val="sk-SK"/>
              </w:rPr>
              <w:t>Inštalácia interaktívnych vzdelávacích systémov pre triedy základných</w:t>
            </w:r>
            <w:r w:rsidR="00AB26B3" w:rsidRPr="00AB26B3">
              <w:rPr>
                <w:noProof/>
                <w:spacing w:val="-6"/>
                <w:lang w:val="sk-SK"/>
              </w:rPr>
              <w:t xml:space="preserve"> a </w:t>
            </w:r>
            <w:r w:rsidRPr="00AB26B3">
              <w:rPr>
                <w:noProof/>
                <w:spacing w:val="-6"/>
                <w:lang w:val="sk-SK"/>
              </w:rPr>
              <w:t>stredných škôl</w:t>
            </w:r>
          </w:p>
          <w:p w14:paraId="3B80C1EA" w14:textId="7131A638" w:rsidR="00AB26B3" w:rsidRPr="00AB26B3" w:rsidRDefault="00D64F26">
            <w:pPr>
              <w:pStyle w:val="P68B1DB1-paragraph38"/>
              <w:numPr>
                <w:ilvl w:val="0"/>
                <w:numId w:val="24"/>
              </w:numPr>
              <w:spacing w:after="0"/>
              <w:textAlignment w:val="baseline"/>
              <w:rPr>
                <w:noProof/>
                <w:spacing w:val="-6"/>
                <w:lang w:val="sk-SK"/>
              </w:rPr>
            </w:pPr>
            <w:r w:rsidRPr="00AB26B3">
              <w:rPr>
                <w:noProof/>
                <w:spacing w:val="-6"/>
                <w:lang w:val="sk-SK"/>
              </w:rPr>
              <w:t>Poskytovanie poukážok študentom</w:t>
            </w:r>
            <w:r w:rsidR="00AB26B3" w:rsidRPr="00AB26B3">
              <w:rPr>
                <w:noProof/>
                <w:spacing w:val="-6"/>
                <w:lang w:val="sk-SK"/>
              </w:rPr>
              <w:t xml:space="preserve"> a </w:t>
            </w:r>
            <w:r w:rsidRPr="00AB26B3">
              <w:rPr>
                <w:noProof/>
                <w:spacing w:val="-6"/>
                <w:lang w:val="sk-SK"/>
              </w:rPr>
              <w:t>učiteľom na nákup digitálneho vybavenia</w:t>
            </w:r>
          </w:p>
          <w:p w14:paraId="5D487AFB" w14:textId="77777777" w:rsidR="00AB26B3" w:rsidRPr="00AB26B3" w:rsidRDefault="00D64F26">
            <w:pPr>
              <w:pStyle w:val="P68B1DB1-paragraph38"/>
              <w:numPr>
                <w:ilvl w:val="0"/>
                <w:numId w:val="24"/>
              </w:numPr>
              <w:spacing w:after="0"/>
              <w:textAlignment w:val="baseline"/>
              <w:rPr>
                <w:noProof/>
                <w:spacing w:val="-6"/>
                <w:lang w:val="sk-SK"/>
              </w:rPr>
            </w:pPr>
            <w:r w:rsidRPr="00AB26B3">
              <w:rPr>
                <w:noProof/>
                <w:spacing w:val="-6"/>
                <w:lang w:val="sk-SK"/>
              </w:rPr>
              <w:t>Poskytovanie robotiky</w:t>
            </w:r>
            <w:r w:rsidR="00AB26B3" w:rsidRPr="00AB26B3">
              <w:rPr>
                <w:noProof/>
                <w:spacing w:val="-6"/>
                <w:lang w:val="sk-SK"/>
              </w:rPr>
              <w:t xml:space="preserve"> a </w:t>
            </w:r>
            <w:r w:rsidRPr="00AB26B3">
              <w:rPr>
                <w:noProof/>
                <w:spacing w:val="-6"/>
                <w:lang w:val="sk-SK"/>
              </w:rPr>
              <w:t>vzdelávacej infraštruktúry</w:t>
            </w:r>
            <w:r w:rsidR="00AB26B3" w:rsidRPr="00AB26B3">
              <w:rPr>
                <w:noProof/>
                <w:spacing w:val="-6"/>
                <w:lang w:val="sk-SK"/>
              </w:rPr>
              <w:t xml:space="preserve"> v </w:t>
            </w:r>
            <w:r w:rsidRPr="00AB26B3">
              <w:rPr>
                <w:noProof/>
                <w:spacing w:val="-6"/>
                <w:lang w:val="sk-SK"/>
              </w:rPr>
              <w:t>oblasti STEM verejným školám</w:t>
            </w:r>
          </w:p>
          <w:p w14:paraId="409681D9" w14:textId="77777777" w:rsidR="00AB26B3" w:rsidRPr="00AB26B3" w:rsidRDefault="00D64F26">
            <w:pPr>
              <w:pStyle w:val="P68B1DB1-paragraph38"/>
              <w:numPr>
                <w:ilvl w:val="0"/>
                <w:numId w:val="24"/>
              </w:numPr>
              <w:spacing w:after="0"/>
              <w:textAlignment w:val="baseline"/>
              <w:rPr>
                <w:noProof/>
                <w:spacing w:val="-6"/>
                <w:lang w:val="sk-SK"/>
              </w:rPr>
            </w:pPr>
            <w:r w:rsidRPr="00AB26B3">
              <w:rPr>
                <w:noProof/>
                <w:spacing w:val="-6"/>
                <w:lang w:val="sk-SK"/>
              </w:rPr>
              <w:t>Poskytovanie digitálnych nástrojov pre študentov so zdravotným postihnutím alebo so špeciálnymi výchovno-vzdelávacími potrebami</w:t>
            </w:r>
          </w:p>
          <w:p w14:paraId="4B56CC20" w14:textId="77777777" w:rsidR="00AB26B3" w:rsidRPr="00AB26B3" w:rsidRDefault="00D64F26">
            <w:pPr>
              <w:pStyle w:val="P68B1DB1-paragraph38"/>
              <w:numPr>
                <w:ilvl w:val="0"/>
                <w:numId w:val="24"/>
              </w:numPr>
              <w:spacing w:after="0"/>
              <w:textAlignment w:val="baseline"/>
              <w:rPr>
                <w:noProof/>
                <w:spacing w:val="-6"/>
                <w:lang w:val="sk-SK"/>
              </w:rPr>
            </w:pPr>
            <w:r w:rsidRPr="00AB26B3">
              <w:rPr>
                <w:noProof/>
                <w:spacing w:val="-6"/>
                <w:lang w:val="sk-SK"/>
              </w:rPr>
              <w:t>Rozvoj inovačných centier</w:t>
            </w:r>
          </w:p>
          <w:p w14:paraId="74CBD865" w14:textId="69004B54" w:rsidR="00302FC1" w:rsidRPr="00AB26B3" w:rsidRDefault="00D64F26">
            <w:pPr>
              <w:pStyle w:val="P68B1DB1-paragraph38"/>
              <w:numPr>
                <w:ilvl w:val="0"/>
                <w:numId w:val="24"/>
              </w:numPr>
              <w:spacing w:before="0" w:beforeAutospacing="0" w:after="0" w:afterAutospacing="0"/>
              <w:textAlignment w:val="baseline"/>
              <w:rPr>
                <w:noProof/>
                <w:spacing w:val="-6"/>
                <w:lang w:val="sk-SK"/>
              </w:rPr>
            </w:pPr>
            <w:r w:rsidRPr="00AB26B3">
              <w:rPr>
                <w:noProof/>
                <w:spacing w:val="-6"/>
                <w:lang w:val="sk-SK"/>
              </w:rPr>
              <w:t>Modernizácia digitálnych služieb škôl</w:t>
            </w:r>
            <w:r w:rsidR="00AB26B3" w:rsidRPr="00AB26B3">
              <w:rPr>
                <w:noProof/>
                <w:spacing w:val="-6"/>
                <w:lang w:val="sk-SK"/>
              </w:rPr>
              <w:t xml:space="preserve"> a </w:t>
            </w:r>
            <w:r w:rsidRPr="00AB26B3">
              <w:rPr>
                <w:noProof/>
                <w:spacing w:val="-6"/>
                <w:lang w:val="sk-SK"/>
              </w:rPr>
              <w:t>univerzít</w:t>
            </w:r>
          </w:p>
        </w:tc>
      </w:tr>
      <w:tr w:rsidR="00302FC1" w:rsidRPr="00AB26B3" w14:paraId="1E59FCA1" w14:textId="77777777">
        <w:trPr>
          <w:trHeight w:val="313"/>
        </w:trPr>
        <w:tc>
          <w:tcPr>
            <w:tcW w:w="666" w:type="dxa"/>
            <w:shd w:val="clear" w:color="auto" w:fill="C6EFCE"/>
            <w:noWrap/>
          </w:tcPr>
          <w:p w14:paraId="7999902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149</w:t>
            </w:r>
          </w:p>
        </w:tc>
        <w:tc>
          <w:tcPr>
            <w:tcW w:w="2557" w:type="dxa"/>
            <w:shd w:val="clear" w:color="auto" w:fill="C6EFCE"/>
            <w:noWrap/>
          </w:tcPr>
          <w:p w14:paraId="133BF4BF" w14:textId="18AA378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16933_Zlepšovanie odborného vzdelávania</w:t>
            </w:r>
            <w:r w:rsidR="00AB26B3" w:rsidRPr="00AB26B3">
              <w:rPr>
                <w:noProof/>
                <w:spacing w:val="-6"/>
                <w:lang w:val="sk-SK"/>
              </w:rPr>
              <w:t xml:space="preserve"> a </w:t>
            </w:r>
            <w:r w:rsidRPr="00AB26B3">
              <w:rPr>
                <w:noProof/>
                <w:spacing w:val="-6"/>
                <w:lang w:val="sk-SK"/>
              </w:rPr>
              <w:t>prípravy (OVP): Dodávka laboratórneho vybavenia pre laboratórne centrá pre SAEK, EPAL, triedu post-sekundárneho ročníka učňovskej prípravy</w:t>
            </w:r>
            <w:r w:rsidR="00AB26B3" w:rsidRPr="00AB26B3">
              <w:rPr>
                <w:noProof/>
                <w:spacing w:val="-6"/>
                <w:lang w:val="sk-SK"/>
              </w:rPr>
              <w:t xml:space="preserve"> a </w:t>
            </w:r>
            <w:r w:rsidRPr="00AB26B3">
              <w:rPr>
                <w:noProof/>
                <w:spacing w:val="-6"/>
                <w:lang w:val="sk-SK"/>
              </w:rPr>
              <w:t>školy odborného vzdelávania</w:t>
            </w:r>
          </w:p>
        </w:tc>
        <w:tc>
          <w:tcPr>
            <w:tcW w:w="1172" w:type="dxa"/>
            <w:shd w:val="clear" w:color="auto" w:fill="C6EFCE"/>
            <w:noWrap/>
          </w:tcPr>
          <w:p w14:paraId="7E290F6F" w14:textId="77777777" w:rsidR="00302FC1" w:rsidRPr="00AB26B3" w:rsidRDefault="00D64F26">
            <w:pPr>
              <w:pStyle w:val="P68B1DB1-Normal15"/>
              <w:spacing w:after="0" w:line="240" w:lineRule="auto"/>
              <w:rPr>
                <w:rFonts w:eastAsia="Times New Roman"/>
                <w:noProof/>
                <w:color w:val="006100"/>
                <w:spacing w:val="-6"/>
                <w:lang w:val="sk-SK"/>
              </w:rPr>
            </w:pPr>
            <w:r w:rsidRPr="00AB26B3">
              <w:rPr>
                <w:noProof/>
                <w:spacing w:val="-6"/>
                <w:lang w:val="sk-SK"/>
              </w:rPr>
              <w:t xml:space="preserve"> </w:t>
            </w:r>
            <w:r w:rsidRPr="00AB26B3">
              <w:rPr>
                <w:noProof/>
                <w:color w:val="006100"/>
                <w:spacing w:val="-6"/>
                <w:lang w:val="sk-SK"/>
              </w:rPr>
              <w:t>Míľnik</w:t>
            </w:r>
          </w:p>
        </w:tc>
        <w:tc>
          <w:tcPr>
            <w:tcW w:w="2047" w:type="dxa"/>
            <w:shd w:val="clear" w:color="auto" w:fill="C6EFCE"/>
            <w:noWrap/>
          </w:tcPr>
          <w:p w14:paraId="0842238B" w14:textId="51174B98" w:rsidR="00302FC1" w:rsidRPr="00AB26B3" w:rsidRDefault="00D64F26">
            <w:pPr>
              <w:pStyle w:val="P68B1DB1-Normal12"/>
              <w:spacing w:after="0" w:line="240" w:lineRule="auto"/>
              <w:rPr>
                <w:noProof/>
                <w:spacing w:val="-6"/>
                <w:lang w:val="sk-SK"/>
              </w:rPr>
            </w:pPr>
            <w:r w:rsidRPr="00AB26B3">
              <w:rPr>
                <w:noProof/>
                <w:spacing w:val="-6"/>
                <w:lang w:val="sk-SK"/>
              </w:rPr>
              <w:t>Obnova</w:t>
            </w:r>
            <w:r w:rsidR="00AB26B3" w:rsidRPr="00AB26B3">
              <w:rPr>
                <w:noProof/>
                <w:spacing w:val="-6"/>
                <w:lang w:val="sk-SK"/>
              </w:rPr>
              <w:t xml:space="preserve"> a </w:t>
            </w:r>
            <w:r w:rsidRPr="00AB26B3">
              <w:rPr>
                <w:noProof/>
                <w:spacing w:val="-6"/>
                <w:lang w:val="sk-SK"/>
              </w:rPr>
              <w:t>modernizácia laboratórnych centier OVP</w:t>
            </w:r>
          </w:p>
        </w:tc>
        <w:tc>
          <w:tcPr>
            <w:tcW w:w="2222" w:type="dxa"/>
            <w:shd w:val="clear" w:color="auto" w:fill="C6EFCE"/>
            <w:noWrap/>
          </w:tcPr>
          <w:p w14:paraId="6C5A35AE" w14:textId="11CF054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Nákup moderného vybavenia pre laboratóriá</w:t>
            </w:r>
            <w:r w:rsidR="00AB26B3" w:rsidRPr="00AB26B3">
              <w:rPr>
                <w:noProof/>
                <w:spacing w:val="-6"/>
                <w:lang w:val="sk-SK"/>
              </w:rPr>
              <w:t xml:space="preserve"> v </w:t>
            </w:r>
            <w:r w:rsidRPr="00AB26B3">
              <w:rPr>
                <w:noProof/>
                <w:spacing w:val="-6"/>
                <w:lang w:val="sk-SK"/>
              </w:rPr>
              <w:t>jednotkách odborného vzdelávania</w:t>
            </w:r>
            <w:r w:rsidR="00AB26B3" w:rsidRPr="00AB26B3">
              <w:rPr>
                <w:noProof/>
                <w:spacing w:val="-6"/>
                <w:lang w:val="sk-SK"/>
              </w:rPr>
              <w:t xml:space="preserve"> a </w:t>
            </w:r>
            <w:r w:rsidRPr="00AB26B3">
              <w:rPr>
                <w:noProof/>
                <w:spacing w:val="-6"/>
                <w:lang w:val="sk-SK"/>
              </w:rPr>
              <w:t>prípravy</w:t>
            </w:r>
          </w:p>
        </w:tc>
        <w:tc>
          <w:tcPr>
            <w:tcW w:w="1154" w:type="dxa"/>
            <w:shd w:val="clear" w:color="auto" w:fill="C6EFCE"/>
            <w:noWrap/>
          </w:tcPr>
          <w:p w14:paraId="5BCA382A"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7" w:type="dxa"/>
            <w:shd w:val="clear" w:color="auto" w:fill="C6EFCE"/>
            <w:noWrap/>
          </w:tcPr>
          <w:p w14:paraId="77D98915"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771" w:type="dxa"/>
            <w:shd w:val="clear" w:color="auto" w:fill="C6EFCE"/>
            <w:noWrap/>
          </w:tcPr>
          <w:p w14:paraId="6F6CE50F"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1" w:type="dxa"/>
            <w:shd w:val="clear" w:color="auto" w:fill="C6EFCE"/>
            <w:noWrap/>
          </w:tcPr>
          <w:p w14:paraId="3F9C692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6E7B155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002" w:type="dxa"/>
            <w:shd w:val="clear" w:color="auto" w:fill="C6EFCE"/>
            <w:noWrap/>
          </w:tcPr>
          <w:p w14:paraId="02EECDCE" w14:textId="17C0744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Nákup moderného vybavenia pre 376 laboratórií</w:t>
            </w:r>
            <w:r w:rsidR="00AB26B3" w:rsidRPr="00AB26B3">
              <w:rPr>
                <w:noProof/>
                <w:spacing w:val="-6"/>
                <w:lang w:val="sk-SK"/>
              </w:rPr>
              <w:t xml:space="preserve"> v </w:t>
            </w:r>
            <w:r w:rsidRPr="00AB26B3">
              <w:rPr>
                <w:noProof/>
                <w:spacing w:val="-6"/>
                <w:lang w:val="sk-SK"/>
              </w:rPr>
              <w:t>jednotkách odborného vzdelávania</w:t>
            </w:r>
            <w:r w:rsidR="00AB26B3" w:rsidRPr="00AB26B3">
              <w:rPr>
                <w:noProof/>
                <w:spacing w:val="-6"/>
                <w:lang w:val="sk-SK"/>
              </w:rPr>
              <w:t xml:space="preserve"> a </w:t>
            </w:r>
            <w:r w:rsidRPr="00AB26B3">
              <w:rPr>
                <w:noProof/>
                <w:spacing w:val="-6"/>
                <w:lang w:val="sk-SK"/>
              </w:rPr>
              <w:t>prípravy</w:t>
            </w:r>
          </w:p>
        </w:tc>
      </w:tr>
      <w:tr w:rsidR="00302FC1" w:rsidRPr="00AB26B3" w14:paraId="27DFFB66" w14:textId="77777777">
        <w:trPr>
          <w:trHeight w:val="1612"/>
        </w:trPr>
        <w:tc>
          <w:tcPr>
            <w:tcW w:w="666" w:type="dxa"/>
            <w:shd w:val="clear" w:color="auto" w:fill="C6EFCE"/>
            <w:noWrap/>
          </w:tcPr>
          <w:p w14:paraId="7D3D671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150</w:t>
            </w:r>
          </w:p>
        </w:tc>
        <w:tc>
          <w:tcPr>
            <w:tcW w:w="2557" w:type="dxa"/>
            <w:shd w:val="clear" w:color="auto" w:fill="C6EFCE"/>
            <w:noWrap/>
          </w:tcPr>
          <w:p w14:paraId="37A8831F" w14:textId="30D809E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16289_Stratégia excelentnosti na univerzitách</w:t>
            </w:r>
            <w:r w:rsidR="00AB26B3" w:rsidRPr="00AB26B3">
              <w:rPr>
                <w:noProof/>
                <w:spacing w:val="-6"/>
                <w:lang w:val="sk-SK"/>
              </w:rPr>
              <w:t xml:space="preserve"> a v </w:t>
            </w:r>
            <w:r w:rsidRPr="00AB26B3">
              <w:rPr>
                <w:noProof/>
                <w:spacing w:val="-6"/>
                <w:lang w:val="sk-SK"/>
              </w:rPr>
              <w:t>inovácii</w:t>
            </w:r>
          </w:p>
        </w:tc>
        <w:tc>
          <w:tcPr>
            <w:tcW w:w="1172" w:type="dxa"/>
            <w:shd w:val="clear" w:color="auto" w:fill="C6EFCE"/>
            <w:noWrap/>
          </w:tcPr>
          <w:p w14:paraId="56BB04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47" w:type="dxa"/>
            <w:shd w:val="clear" w:color="auto" w:fill="C6EFCE"/>
            <w:noWrap/>
          </w:tcPr>
          <w:p w14:paraId="5FB0D31F" w14:textId="27A45F0B" w:rsidR="00302FC1" w:rsidRPr="00AB26B3" w:rsidRDefault="00D64F26">
            <w:pPr>
              <w:pStyle w:val="P68B1DB1-Normal12"/>
              <w:spacing w:after="0" w:line="240" w:lineRule="auto"/>
              <w:rPr>
                <w:noProof/>
                <w:spacing w:val="-6"/>
                <w:lang w:val="sk-SK"/>
              </w:rPr>
            </w:pPr>
            <w:r w:rsidRPr="00AB26B3">
              <w:rPr>
                <w:noProof/>
                <w:spacing w:val="-6"/>
                <w:lang w:val="sk-SK"/>
              </w:rPr>
              <w:t>Realizácia spoločných výskumných projektov</w:t>
            </w:r>
            <w:r w:rsidR="00AB26B3" w:rsidRPr="00AB26B3">
              <w:rPr>
                <w:noProof/>
                <w:spacing w:val="-6"/>
                <w:lang w:val="sk-SK"/>
              </w:rPr>
              <w:t xml:space="preserve"> a </w:t>
            </w:r>
            <w:r w:rsidRPr="00AB26B3">
              <w:rPr>
                <w:noProof/>
                <w:spacing w:val="-6"/>
                <w:lang w:val="sk-SK"/>
              </w:rPr>
              <w:t>projektov pre grécke univerzity</w:t>
            </w:r>
            <w:r w:rsidR="00AB26B3" w:rsidRPr="00AB26B3">
              <w:rPr>
                <w:noProof/>
                <w:spacing w:val="-6"/>
                <w:lang w:val="sk-SK"/>
              </w:rPr>
              <w:t xml:space="preserve"> a </w:t>
            </w:r>
            <w:r w:rsidRPr="00AB26B3">
              <w:rPr>
                <w:noProof/>
                <w:spacing w:val="-6"/>
                <w:lang w:val="sk-SK"/>
              </w:rPr>
              <w:t>vydávanie rozhodnutí</w:t>
            </w:r>
            <w:r w:rsidR="00AB26B3" w:rsidRPr="00AB26B3">
              <w:rPr>
                <w:noProof/>
                <w:spacing w:val="-6"/>
                <w:lang w:val="sk-SK"/>
              </w:rPr>
              <w:t xml:space="preserve"> o </w:t>
            </w:r>
            <w:r w:rsidRPr="00AB26B3">
              <w:rPr>
                <w:noProof/>
                <w:spacing w:val="-6"/>
                <w:lang w:val="sk-SK"/>
              </w:rPr>
              <w:t>schválení postgraduálnych programov</w:t>
            </w:r>
          </w:p>
          <w:p w14:paraId="1DA022A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2222" w:type="dxa"/>
            <w:shd w:val="clear" w:color="auto" w:fill="C6EFCE"/>
            <w:noWrap/>
          </w:tcPr>
          <w:p w14:paraId="235E4B11" w14:textId="6FDF4AC6" w:rsidR="00302FC1" w:rsidRPr="00AB26B3" w:rsidRDefault="00D64F26">
            <w:pPr>
              <w:pStyle w:val="P68B1DB1-Normal12"/>
              <w:spacing w:after="0" w:line="240" w:lineRule="auto"/>
              <w:rPr>
                <w:noProof/>
                <w:spacing w:val="-6"/>
                <w:lang w:val="sk-SK"/>
              </w:rPr>
            </w:pPr>
            <w:r w:rsidRPr="00AB26B3">
              <w:rPr>
                <w:noProof/>
                <w:spacing w:val="-6"/>
                <w:lang w:val="sk-SK"/>
              </w:rPr>
              <w:t>Realizácia spoločných výskumných projektov</w:t>
            </w:r>
            <w:r w:rsidR="00AB26B3" w:rsidRPr="00AB26B3">
              <w:rPr>
                <w:noProof/>
                <w:spacing w:val="-6"/>
                <w:lang w:val="sk-SK"/>
              </w:rPr>
              <w:t xml:space="preserve"> a </w:t>
            </w:r>
            <w:r w:rsidRPr="00AB26B3">
              <w:rPr>
                <w:noProof/>
                <w:spacing w:val="-6"/>
                <w:lang w:val="sk-SK"/>
              </w:rPr>
              <w:t>projektov pre grécke univerzity</w:t>
            </w:r>
            <w:r w:rsidR="00AB26B3" w:rsidRPr="00AB26B3">
              <w:rPr>
                <w:noProof/>
                <w:spacing w:val="-6"/>
                <w:lang w:val="sk-SK"/>
              </w:rPr>
              <w:t xml:space="preserve"> a </w:t>
            </w:r>
            <w:r w:rsidRPr="00AB26B3">
              <w:rPr>
                <w:noProof/>
                <w:spacing w:val="-6"/>
                <w:lang w:val="sk-SK"/>
              </w:rPr>
              <w:t>vydávanie rozhodnutí</w:t>
            </w:r>
            <w:r w:rsidR="00AB26B3" w:rsidRPr="00AB26B3">
              <w:rPr>
                <w:noProof/>
                <w:spacing w:val="-6"/>
                <w:lang w:val="sk-SK"/>
              </w:rPr>
              <w:t xml:space="preserve"> o </w:t>
            </w:r>
            <w:r w:rsidRPr="00AB26B3">
              <w:rPr>
                <w:noProof/>
                <w:spacing w:val="-6"/>
                <w:lang w:val="sk-SK"/>
              </w:rPr>
              <w:t xml:space="preserve">schválení postgraduálnych programov </w:t>
            </w:r>
          </w:p>
        </w:tc>
        <w:tc>
          <w:tcPr>
            <w:tcW w:w="1154" w:type="dxa"/>
            <w:shd w:val="clear" w:color="auto" w:fill="C6EFCE"/>
            <w:noWrap/>
          </w:tcPr>
          <w:p w14:paraId="7372A25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0FC9E0C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71" w:type="dxa"/>
            <w:shd w:val="clear" w:color="auto" w:fill="C6EFCE"/>
            <w:noWrap/>
          </w:tcPr>
          <w:p w14:paraId="4EC12D1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63EC0D1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71C02D7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002" w:type="dxa"/>
            <w:shd w:val="clear" w:color="auto" w:fill="C6EFCE"/>
            <w:noWrap/>
          </w:tcPr>
          <w:p w14:paraId="749CE17B" w14:textId="25C8D2FE" w:rsidR="00302FC1" w:rsidRPr="00AB26B3" w:rsidRDefault="00D64F26">
            <w:pPr>
              <w:pStyle w:val="P68B1DB1-Normal12"/>
              <w:spacing w:after="0" w:line="240" w:lineRule="auto"/>
              <w:rPr>
                <w:noProof/>
                <w:spacing w:val="-6"/>
                <w:lang w:val="sk-SK"/>
              </w:rPr>
            </w:pPr>
            <w:r w:rsidRPr="00AB26B3">
              <w:rPr>
                <w:noProof/>
                <w:spacing w:val="-6"/>
                <w:lang w:val="sk-SK"/>
              </w:rPr>
              <w:t>a) Vykonávanie 70 projektov spolupráce</w:t>
            </w:r>
            <w:r w:rsidR="00AB26B3" w:rsidRPr="00AB26B3">
              <w:rPr>
                <w:noProof/>
                <w:spacing w:val="-6"/>
                <w:lang w:val="sk-SK"/>
              </w:rPr>
              <w:t xml:space="preserve"> v </w:t>
            </w:r>
            <w:r w:rsidRPr="00AB26B3">
              <w:rPr>
                <w:noProof/>
                <w:spacing w:val="-6"/>
                <w:lang w:val="sk-SK"/>
              </w:rPr>
              <w:t>oblasti výskumu (klastre excelentnosti výskumu) pre akademických pracovníkov so spoločnosťami zo súkromného sektora.</w:t>
            </w:r>
          </w:p>
          <w:p w14:paraId="41830ED0" w14:textId="252E834A" w:rsidR="00302FC1" w:rsidRPr="00AB26B3" w:rsidRDefault="00D64F26">
            <w:pPr>
              <w:pStyle w:val="P68B1DB1-Normal12"/>
              <w:spacing w:after="0" w:line="240" w:lineRule="auto"/>
              <w:rPr>
                <w:noProof/>
                <w:spacing w:val="-6"/>
                <w:lang w:val="sk-SK"/>
              </w:rPr>
            </w:pPr>
            <w:r w:rsidRPr="00AB26B3">
              <w:rPr>
                <w:noProof/>
                <w:spacing w:val="-6"/>
                <w:lang w:val="sk-SK"/>
              </w:rPr>
              <w:t>b) Vykonávanie projektov súvisiacich</w:t>
            </w:r>
            <w:r w:rsidR="00AB26B3" w:rsidRPr="00AB26B3">
              <w:rPr>
                <w:noProof/>
                <w:spacing w:val="-6"/>
                <w:lang w:val="sk-SK"/>
              </w:rPr>
              <w:t xml:space="preserve"> s </w:t>
            </w:r>
            <w:r w:rsidRPr="00AB26B3">
              <w:rPr>
                <w:noProof/>
                <w:spacing w:val="-6"/>
                <w:lang w:val="sk-SK"/>
              </w:rPr>
              <w:t>infraštruktúrami gréckych univerzít vybraných</w:t>
            </w:r>
            <w:r w:rsidR="00AB26B3" w:rsidRPr="00AB26B3">
              <w:rPr>
                <w:noProof/>
                <w:spacing w:val="-6"/>
                <w:lang w:val="sk-SK"/>
              </w:rPr>
              <w:t xml:space="preserve"> v </w:t>
            </w:r>
            <w:r w:rsidRPr="00AB26B3">
              <w:rPr>
                <w:noProof/>
                <w:spacing w:val="-6"/>
                <w:lang w:val="sk-SK"/>
              </w:rPr>
              <w:t>kontexte opatrenia.</w:t>
            </w:r>
          </w:p>
          <w:p w14:paraId="5BDC2764" w14:textId="38B79A9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 Vydávanie rozhodnutí</w:t>
            </w:r>
            <w:r w:rsidR="00AB26B3" w:rsidRPr="00AB26B3">
              <w:rPr>
                <w:noProof/>
                <w:spacing w:val="-6"/>
                <w:lang w:val="sk-SK"/>
              </w:rPr>
              <w:t xml:space="preserve"> o </w:t>
            </w:r>
            <w:r w:rsidRPr="00AB26B3">
              <w:rPr>
                <w:noProof/>
                <w:spacing w:val="-6"/>
                <w:lang w:val="sk-SK"/>
              </w:rPr>
              <w:t>schválení financovania 35 spoločných a/alebo duálnych postgraduálnych študijných programov so zahraničnými univerzitami.</w:t>
            </w:r>
          </w:p>
        </w:tc>
      </w:tr>
      <w:tr w:rsidR="00302FC1" w:rsidRPr="00AB26B3" w14:paraId="626C2782" w14:textId="77777777">
        <w:trPr>
          <w:trHeight w:val="313"/>
        </w:trPr>
        <w:tc>
          <w:tcPr>
            <w:tcW w:w="666" w:type="dxa"/>
            <w:shd w:val="clear" w:color="auto" w:fill="C6EFCE"/>
            <w:noWrap/>
          </w:tcPr>
          <w:p w14:paraId="56BC4A4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152</w:t>
            </w:r>
          </w:p>
        </w:tc>
        <w:tc>
          <w:tcPr>
            <w:tcW w:w="2557" w:type="dxa"/>
            <w:shd w:val="clear" w:color="auto" w:fill="C6EFCE"/>
            <w:noWrap/>
          </w:tcPr>
          <w:p w14:paraId="10795D0F" w14:textId="1CE0B4A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16934_Zlepšovanie odborného vzdelávania</w:t>
            </w:r>
            <w:r w:rsidR="00AB26B3" w:rsidRPr="00AB26B3">
              <w:rPr>
                <w:noProof/>
                <w:spacing w:val="-6"/>
                <w:lang w:val="sk-SK"/>
              </w:rPr>
              <w:t xml:space="preserve"> a </w:t>
            </w:r>
            <w:r w:rsidRPr="00AB26B3">
              <w:rPr>
                <w:noProof/>
                <w:spacing w:val="-6"/>
                <w:lang w:val="sk-SK"/>
              </w:rPr>
              <w:t>prípravy</w:t>
            </w:r>
          </w:p>
        </w:tc>
        <w:tc>
          <w:tcPr>
            <w:tcW w:w="1172" w:type="dxa"/>
            <w:shd w:val="clear" w:color="auto" w:fill="C6EFCE"/>
            <w:noWrap/>
          </w:tcPr>
          <w:p w14:paraId="1AF3B9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47" w:type="dxa"/>
            <w:shd w:val="clear" w:color="auto" w:fill="C6EFCE"/>
            <w:noWrap/>
          </w:tcPr>
          <w:p w14:paraId="132CC865" w14:textId="7185C2A6" w:rsidR="00302FC1" w:rsidRPr="00AB26B3" w:rsidRDefault="00D64F26">
            <w:pPr>
              <w:pStyle w:val="P68B1DB1-Normal12"/>
              <w:spacing w:after="0" w:line="240" w:lineRule="auto"/>
              <w:rPr>
                <w:noProof/>
                <w:spacing w:val="-6"/>
                <w:lang w:val="sk-SK"/>
              </w:rPr>
            </w:pPr>
            <w:r w:rsidRPr="00AB26B3">
              <w:rPr>
                <w:noProof/>
                <w:spacing w:val="-6"/>
                <w:lang w:val="sk-SK"/>
              </w:rPr>
              <w:t>Modernizácia systému OVP SAEK, návrh</w:t>
            </w:r>
            <w:r w:rsidR="00AB26B3" w:rsidRPr="00AB26B3">
              <w:rPr>
                <w:noProof/>
                <w:spacing w:val="-6"/>
                <w:lang w:val="sk-SK"/>
              </w:rPr>
              <w:t xml:space="preserve"> a </w:t>
            </w:r>
            <w:r w:rsidRPr="00AB26B3">
              <w:rPr>
                <w:noProof/>
                <w:spacing w:val="-6"/>
                <w:lang w:val="sk-SK"/>
              </w:rPr>
              <w:t>vývoj modelu EPAL, digitalizácia EOPPEP</w:t>
            </w:r>
          </w:p>
        </w:tc>
        <w:tc>
          <w:tcPr>
            <w:tcW w:w="2222" w:type="dxa"/>
            <w:shd w:val="clear" w:color="auto" w:fill="C6EFCE"/>
            <w:noWrap/>
          </w:tcPr>
          <w:p w14:paraId="38107E05" w14:textId="378A3D2A" w:rsidR="00302FC1" w:rsidRPr="00AB26B3" w:rsidRDefault="00D64F26">
            <w:pPr>
              <w:pStyle w:val="P68B1DB1-Normal12"/>
              <w:spacing w:after="0" w:line="240" w:lineRule="auto"/>
              <w:rPr>
                <w:noProof/>
                <w:spacing w:val="-6"/>
                <w:lang w:val="sk-SK"/>
              </w:rPr>
            </w:pPr>
            <w:r w:rsidRPr="00AB26B3">
              <w:rPr>
                <w:noProof/>
                <w:spacing w:val="-6"/>
                <w:lang w:val="sk-SK"/>
              </w:rPr>
              <w:t>Realizácia projektov 1, 2</w:t>
            </w:r>
            <w:r w:rsidR="00AB26B3" w:rsidRPr="00AB26B3">
              <w:rPr>
                <w:noProof/>
                <w:spacing w:val="-6"/>
                <w:lang w:val="sk-SK"/>
              </w:rPr>
              <w:t xml:space="preserve"> a </w:t>
            </w:r>
            <w:r w:rsidRPr="00AB26B3">
              <w:rPr>
                <w:noProof/>
                <w:spacing w:val="-6"/>
                <w:lang w:val="sk-SK"/>
              </w:rPr>
              <w:t xml:space="preserve">3 </w:t>
            </w:r>
          </w:p>
        </w:tc>
        <w:tc>
          <w:tcPr>
            <w:tcW w:w="1154" w:type="dxa"/>
            <w:shd w:val="clear" w:color="auto" w:fill="C6EFCE"/>
            <w:noWrap/>
          </w:tcPr>
          <w:p w14:paraId="6BBF498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47587D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71" w:type="dxa"/>
            <w:shd w:val="clear" w:color="auto" w:fill="C6EFCE"/>
            <w:noWrap/>
          </w:tcPr>
          <w:p w14:paraId="4BE9AA1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5E2FCDEF"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p w14:paraId="6AFC3AE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20" w:type="dxa"/>
            <w:shd w:val="clear" w:color="auto" w:fill="C6EFCE"/>
            <w:noWrap/>
          </w:tcPr>
          <w:p w14:paraId="696C1A5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002" w:type="dxa"/>
            <w:shd w:val="clear" w:color="auto" w:fill="C6EFCE"/>
            <w:noWrap/>
          </w:tcPr>
          <w:p w14:paraId="733B4974" w14:textId="77777777" w:rsidR="00302FC1" w:rsidRPr="00AB26B3" w:rsidRDefault="00D64F26">
            <w:pPr>
              <w:pStyle w:val="P68B1DB1-Normal12"/>
              <w:spacing w:after="0" w:line="240" w:lineRule="auto"/>
              <w:rPr>
                <w:noProof/>
                <w:spacing w:val="-6"/>
                <w:lang w:val="sk-SK"/>
              </w:rPr>
            </w:pPr>
            <w:r w:rsidRPr="00AB26B3">
              <w:rPr>
                <w:noProof/>
                <w:spacing w:val="-6"/>
                <w:lang w:val="sk-SK"/>
              </w:rPr>
              <w:t>Realizácia týchto projektov:</w:t>
            </w:r>
          </w:p>
          <w:p w14:paraId="447DDCC7" w14:textId="7C9FC113" w:rsidR="00302FC1" w:rsidRPr="00AB26B3" w:rsidRDefault="00D64F26">
            <w:pPr>
              <w:pStyle w:val="P68B1DB1-Normal12"/>
              <w:spacing w:after="0" w:line="240" w:lineRule="auto"/>
              <w:rPr>
                <w:noProof/>
                <w:spacing w:val="-6"/>
                <w:lang w:val="sk-SK"/>
              </w:rPr>
            </w:pPr>
            <w:r w:rsidRPr="00AB26B3">
              <w:rPr>
                <w:noProof/>
                <w:spacing w:val="-6"/>
                <w:lang w:val="sk-SK"/>
              </w:rPr>
              <w:t>1. Návrh</w:t>
            </w:r>
            <w:r w:rsidR="00AB26B3" w:rsidRPr="00AB26B3">
              <w:rPr>
                <w:noProof/>
                <w:spacing w:val="-6"/>
                <w:lang w:val="sk-SK"/>
              </w:rPr>
              <w:t xml:space="preserve"> a </w:t>
            </w:r>
            <w:r w:rsidRPr="00AB26B3">
              <w:rPr>
                <w:noProof/>
                <w:spacing w:val="-6"/>
                <w:lang w:val="sk-SK"/>
              </w:rPr>
              <w:t>vypracovanie príručiek odbornej prípravy, programov odbornej prípravy</w:t>
            </w:r>
            <w:r w:rsidR="00AB26B3" w:rsidRPr="00AB26B3">
              <w:rPr>
                <w:noProof/>
                <w:spacing w:val="-6"/>
                <w:lang w:val="sk-SK"/>
              </w:rPr>
              <w:t xml:space="preserve"> a </w:t>
            </w:r>
            <w:r w:rsidRPr="00AB26B3">
              <w:rPr>
                <w:noProof/>
                <w:spacing w:val="-6"/>
                <w:lang w:val="sk-SK"/>
              </w:rPr>
              <w:t>odbornej prípravy školiteľov pre 5 tematických</w:t>
            </w:r>
            <w:r w:rsidR="00AB26B3" w:rsidRPr="00AB26B3">
              <w:rPr>
                <w:noProof/>
                <w:spacing w:val="-6"/>
                <w:lang w:val="sk-SK"/>
              </w:rPr>
              <w:t xml:space="preserve"> a </w:t>
            </w:r>
            <w:r w:rsidRPr="00AB26B3">
              <w:rPr>
                <w:noProof/>
                <w:spacing w:val="-6"/>
                <w:lang w:val="sk-SK"/>
              </w:rPr>
              <w:t>10 experimentálnych škôl vyššieho odborného vzdelávania (SAEK);</w:t>
            </w:r>
          </w:p>
          <w:p w14:paraId="2B8B9F07" w14:textId="7917A2BA" w:rsidR="00302FC1" w:rsidRPr="00AB26B3" w:rsidRDefault="00D64F26">
            <w:pPr>
              <w:pStyle w:val="P68B1DB1-Normal12"/>
              <w:spacing w:after="0" w:line="240" w:lineRule="auto"/>
              <w:rPr>
                <w:noProof/>
                <w:spacing w:val="-6"/>
                <w:lang w:val="sk-SK"/>
              </w:rPr>
            </w:pPr>
            <w:r w:rsidRPr="00AB26B3">
              <w:rPr>
                <w:noProof/>
                <w:spacing w:val="-6"/>
                <w:lang w:val="sk-SK"/>
              </w:rPr>
              <w:t>2. Návrh</w:t>
            </w:r>
            <w:r w:rsidR="00AB26B3" w:rsidRPr="00AB26B3">
              <w:rPr>
                <w:noProof/>
                <w:spacing w:val="-6"/>
                <w:lang w:val="sk-SK"/>
              </w:rPr>
              <w:t xml:space="preserve"> a </w:t>
            </w:r>
            <w:r w:rsidRPr="00AB26B3">
              <w:rPr>
                <w:noProof/>
                <w:spacing w:val="-6"/>
                <w:lang w:val="sk-SK"/>
              </w:rPr>
              <w:t>vypracovanie učebných plánov, programov odbornej prípravy</w:t>
            </w:r>
            <w:r w:rsidR="00AB26B3" w:rsidRPr="00AB26B3">
              <w:rPr>
                <w:noProof/>
                <w:spacing w:val="-6"/>
                <w:lang w:val="sk-SK"/>
              </w:rPr>
              <w:t xml:space="preserve"> a </w:t>
            </w:r>
            <w:r w:rsidRPr="00AB26B3">
              <w:rPr>
                <w:noProof/>
                <w:spacing w:val="-6"/>
                <w:lang w:val="sk-SK"/>
              </w:rPr>
              <w:t>odbornej prípravy školiteľov pre 25 modelových odborných lýceí (vzor ΕPΑL);</w:t>
            </w:r>
          </w:p>
          <w:p w14:paraId="26609621" w14:textId="6CFD1A2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Digitalizácia Národnej organizácie pre certifikáciu kvalifikácií</w:t>
            </w:r>
            <w:r w:rsidR="00AB26B3" w:rsidRPr="00AB26B3">
              <w:rPr>
                <w:noProof/>
                <w:spacing w:val="-6"/>
                <w:lang w:val="sk-SK"/>
              </w:rPr>
              <w:t xml:space="preserve"> a </w:t>
            </w:r>
            <w:r w:rsidRPr="00AB26B3">
              <w:rPr>
                <w:noProof/>
                <w:spacing w:val="-6"/>
                <w:lang w:val="sk-SK"/>
              </w:rPr>
              <w:t>odborné poradenstvo (EOPPEP) vrátane rozvoja platformy pre elektronické skúšky</w:t>
            </w:r>
            <w:r w:rsidR="00AB26B3" w:rsidRPr="00AB26B3">
              <w:rPr>
                <w:noProof/>
                <w:spacing w:val="-6"/>
                <w:lang w:val="sk-SK"/>
              </w:rPr>
              <w:t xml:space="preserve"> a </w:t>
            </w:r>
            <w:r w:rsidRPr="00AB26B3">
              <w:rPr>
                <w:noProof/>
                <w:spacing w:val="-6"/>
                <w:lang w:val="sk-SK"/>
              </w:rPr>
              <w:t>platformy elektronického vzdelávania pre OVP.</w:t>
            </w:r>
          </w:p>
        </w:tc>
      </w:tr>
    </w:tbl>
    <w:p w14:paraId="6A3496EB"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default" r:id="rId170"/>
          <w:footerReference w:type="default" r:id="rId171"/>
          <w:pgSz w:w="16839" w:h="11907" w:orient="landscape"/>
          <w:pgMar w:top="720" w:right="720" w:bottom="720" w:left="720" w:header="709" w:footer="75" w:gutter="0"/>
          <w:cols w:space="720"/>
          <w:docGrid w:linePitch="360"/>
        </w:sectPr>
      </w:pPr>
    </w:p>
    <w:p w14:paraId="598E010D" w14:textId="7D4509C1"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J. ZLOŽKA 3.3: ZLEPŠENIE ODOLNOSTI, DOSTUPNOSTI A UDRŽATEĽNOSTI ZDRAVOTNEJ STAROSTLIVOSTI</w:t>
      </w:r>
    </w:p>
    <w:p w14:paraId="37CB2391" w14:textId="5D3E27D5"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Tento komponent gréckeho plánu obnovy</w:t>
      </w:r>
      <w:r w:rsidR="00AB26B3" w:rsidRPr="00AB26B3">
        <w:rPr>
          <w:noProof/>
          <w:spacing w:val="-6"/>
          <w:lang w:val="sk-SK"/>
        </w:rPr>
        <w:t xml:space="preserve"> a </w:t>
      </w:r>
      <w:r w:rsidRPr="00AB26B3">
        <w:rPr>
          <w:noProof/>
          <w:spacing w:val="-6"/>
          <w:lang w:val="sk-SK"/>
        </w:rPr>
        <w:t>odolnosti sa zameriava na zvýšenie odolnosti systému zdravotnej starostlivosti prostredníctvom rôznych intervencií. Časť týchto opatrení sa zameriava na fyzickú aj digitálnu infraštruktúru</w:t>
      </w:r>
      <w:r w:rsidR="00AB26B3" w:rsidRPr="00AB26B3">
        <w:rPr>
          <w:noProof/>
          <w:spacing w:val="-6"/>
          <w:lang w:val="sk-SK"/>
        </w:rPr>
        <w:t xml:space="preserve"> a </w:t>
      </w:r>
      <w:r w:rsidRPr="00AB26B3">
        <w:rPr>
          <w:noProof/>
          <w:spacing w:val="-6"/>
          <w:lang w:val="sk-SK"/>
        </w:rPr>
        <w:t>prevádzkové zlepšenia</w:t>
      </w:r>
      <w:r w:rsidR="00AB26B3" w:rsidRPr="00AB26B3">
        <w:rPr>
          <w:noProof/>
          <w:spacing w:val="-6"/>
          <w:lang w:val="sk-SK"/>
        </w:rPr>
        <w:t xml:space="preserve"> s </w:t>
      </w:r>
      <w:r w:rsidRPr="00AB26B3">
        <w:rPr>
          <w:noProof/>
          <w:spacing w:val="-6"/>
          <w:lang w:val="sk-SK"/>
        </w:rPr>
        <w:t>cieľom modernizovať</w:t>
      </w:r>
      <w:r w:rsidR="00AB26B3" w:rsidRPr="00AB26B3">
        <w:rPr>
          <w:noProof/>
          <w:spacing w:val="-6"/>
          <w:lang w:val="sk-SK"/>
        </w:rPr>
        <w:t xml:space="preserve"> a </w:t>
      </w:r>
      <w:r w:rsidRPr="00AB26B3">
        <w:rPr>
          <w:noProof/>
          <w:spacing w:val="-6"/>
          <w:lang w:val="sk-SK"/>
        </w:rPr>
        <w:t>zmodernizovať nemocničný systém</w:t>
      </w:r>
      <w:r w:rsidR="00AB26B3" w:rsidRPr="00AB26B3">
        <w:rPr>
          <w:noProof/>
          <w:spacing w:val="-6"/>
          <w:lang w:val="sk-SK"/>
        </w:rPr>
        <w:t xml:space="preserve"> a </w:t>
      </w:r>
      <w:r w:rsidRPr="00AB26B3">
        <w:rPr>
          <w:noProof/>
          <w:spacing w:val="-6"/>
          <w:lang w:val="sk-SK"/>
        </w:rPr>
        <w:t>sieť zdravotných stredísk. Ďalšie sú zamerané na podporu</w:t>
      </w:r>
      <w:r w:rsidR="00AB26B3" w:rsidRPr="00AB26B3">
        <w:rPr>
          <w:noProof/>
          <w:spacing w:val="-6"/>
          <w:lang w:val="sk-SK"/>
        </w:rPr>
        <w:t xml:space="preserve"> a </w:t>
      </w:r>
      <w:r w:rsidRPr="00AB26B3">
        <w:rPr>
          <w:noProof/>
          <w:spacing w:val="-6"/>
          <w:lang w:val="sk-SK"/>
        </w:rPr>
        <w:t>zlepšenie prístupu, efektívnosti</w:t>
      </w:r>
      <w:r w:rsidR="00AB26B3" w:rsidRPr="00AB26B3">
        <w:rPr>
          <w:noProof/>
          <w:spacing w:val="-6"/>
          <w:lang w:val="sk-SK"/>
        </w:rPr>
        <w:t xml:space="preserve"> a </w:t>
      </w:r>
      <w:r w:rsidRPr="00AB26B3">
        <w:rPr>
          <w:noProof/>
          <w:spacing w:val="-6"/>
          <w:lang w:val="sk-SK"/>
        </w:rPr>
        <w:t>odolnosti sektora zdravotnej starostlivosti. Konkrétnejšie ide</w:t>
      </w:r>
      <w:r w:rsidR="00AB26B3" w:rsidRPr="00AB26B3">
        <w:rPr>
          <w:noProof/>
          <w:spacing w:val="-6"/>
          <w:lang w:val="sk-SK"/>
        </w:rPr>
        <w:t xml:space="preserve"> o </w:t>
      </w:r>
      <w:r w:rsidRPr="00AB26B3">
        <w:rPr>
          <w:noProof/>
          <w:spacing w:val="-6"/>
          <w:lang w:val="sk-SK"/>
        </w:rPr>
        <w:t>opatrenia na posilnenie verejného zdravia</w:t>
      </w:r>
      <w:r w:rsidR="00AB26B3" w:rsidRPr="00AB26B3">
        <w:rPr>
          <w:noProof/>
          <w:spacing w:val="-6"/>
          <w:lang w:val="sk-SK"/>
        </w:rPr>
        <w:t xml:space="preserve"> a </w:t>
      </w:r>
      <w:r w:rsidRPr="00AB26B3">
        <w:rPr>
          <w:noProof/>
          <w:spacing w:val="-6"/>
          <w:lang w:val="sk-SK"/>
        </w:rPr>
        <w:t>prevencie, zvýšenie kapacity systému zdravotnej starostlivosti poskytovať služby</w:t>
      </w:r>
      <w:r w:rsidR="00AB26B3" w:rsidRPr="00AB26B3">
        <w:rPr>
          <w:noProof/>
          <w:spacing w:val="-6"/>
          <w:lang w:val="sk-SK"/>
        </w:rPr>
        <w:t xml:space="preserve"> v </w:t>
      </w:r>
      <w:r w:rsidRPr="00AB26B3">
        <w:rPr>
          <w:noProof/>
          <w:spacing w:val="-6"/>
          <w:lang w:val="sk-SK"/>
        </w:rPr>
        <w:t>oblasti duševného zdravia</w:t>
      </w:r>
      <w:r w:rsidR="00AB26B3" w:rsidRPr="00AB26B3">
        <w:rPr>
          <w:noProof/>
          <w:spacing w:val="-6"/>
          <w:lang w:val="sk-SK"/>
        </w:rPr>
        <w:t xml:space="preserve"> a </w:t>
      </w:r>
      <w:r w:rsidRPr="00AB26B3">
        <w:rPr>
          <w:noProof/>
          <w:spacing w:val="-6"/>
          <w:lang w:val="sk-SK"/>
        </w:rPr>
        <w:t>domácej starostlivosti, podporu prechodu na silnejší sektor primárnej zdravotnej starostlivosti</w:t>
      </w:r>
      <w:r w:rsidR="00AB26B3" w:rsidRPr="00AB26B3">
        <w:rPr>
          <w:noProof/>
          <w:spacing w:val="-6"/>
          <w:lang w:val="sk-SK"/>
        </w:rPr>
        <w:t xml:space="preserve"> a </w:t>
      </w:r>
      <w:r w:rsidRPr="00AB26B3">
        <w:rPr>
          <w:noProof/>
          <w:spacing w:val="-6"/>
          <w:lang w:val="sk-SK"/>
        </w:rPr>
        <w:t>racionalizáciu farmaceutických výdavkov</w:t>
      </w:r>
      <w:r w:rsidR="00AB26B3" w:rsidRPr="00AB26B3">
        <w:rPr>
          <w:noProof/>
          <w:spacing w:val="-6"/>
          <w:lang w:val="sk-SK"/>
        </w:rPr>
        <w:t xml:space="preserve"> a </w:t>
      </w:r>
      <w:r w:rsidRPr="00AB26B3">
        <w:rPr>
          <w:noProof/>
          <w:spacing w:val="-6"/>
          <w:lang w:val="sk-SK"/>
        </w:rPr>
        <w:t>podporu farmaceutického výskumu</w:t>
      </w:r>
      <w:r w:rsidR="00AB26B3" w:rsidRPr="00AB26B3">
        <w:rPr>
          <w:noProof/>
          <w:spacing w:val="-6"/>
          <w:lang w:val="sk-SK"/>
        </w:rPr>
        <w:t xml:space="preserve"> a </w:t>
      </w:r>
      <w:r w:rsidRPr="00AB26B3">
        <w:rPr>
          <w:noProof/>
          <w:spacing w:val="-6"/>
          <w:lang w:val="sk-SK"/>
        </w:rPr>
        <w:t>vývoja. Cieľom plánu digitalizácie systémov</w:t>
      </w:r>
      <w:r w:rsidR="00AB26B3" w:rsidRPr="00AB26B3">
        <w:rPr>
          <w:noProof/>
          <w:spacing w:val="-6"/>
          <w:lang w:val="sk-SK"/>
        </w:rPr>
        <w:t xml:space="preserve"> a </w:t>
      </w:r>
      <w:r w:rsidRPr="00AB26B3">
        <w:rPr>
          <w:noProof/>
          <w:spacing w:val="-6"/>
          <w:lang w:val="sk-SK"/>
        </w:rPr>
        <w:t>služieb zdravotnej starostlivosti je podporovať efektívnosť, zlepšiť prístup</w:t>
      </w:r>
      <w:r w:rsidR="00AB26B3" w:rsidRPr="00AB26B3">
        <w:rPr>
          <w:noProof/>
          <w:spacing w:val="-6"/>
          <w:lang w:val="sk-SK"/>
        </w:rPr>
        <w:t xml:space="preserve"> a </w:t>
      </w:r>
      <w:r w:rsidRPr="00AB26B3">
        <w:rPr>
          <w:noProof/>
          <w:spacing w:val="-6"/>
          <w:lang w:val="sk-SK"/>
        </w:rPr>
        <w:t>zvýšiť celkovú transparentnosť</w:t>
      </w:r>
      <w:r w:rsidR="00AB26B3" w:rsidRPr="00AB26B3">
        <w:rPr>
          <w:noProof/>
          <w:spacing w:val="-6"/>
          <w:lang w:val="sk-SK"/>
        </w:rPr>
        <w:t xml:space="preserve"> a </w:t>
      </w:r>
      <w:r w:rsidRPr="00AB26B3">
        <w:rPr>
          <w:noProof/>
          <w:spacing w:val="-6"/>
          <w:lang w:val="sk-SK"/>
        </w:rPr>
        <w:t>kvalitu verejných výdavkov</w:t>
      </w:r>
      <w:r w:rsidR="00AB26B3" w:rsidRPr="00AB26B3">
        <w:rPr>
          <w:noProof/>
          <w:spacing w:val="-6"/>
          <w:lang w:val="sk-SK"/>
        </w:rPr>
        <w:t xml:space="preserve"> v </w:t>
      </w:r>
      <w:r w:rsidRPr="00AB26B3">
        <w:rPr>
          <w:noProof/>
          <w:spacing w:val="-6"/>
          <w:lang w:val="sk-SK"/>
        </w:rPr>
        <w:t>systéme.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07205556" w14:textId="55365796"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J.1.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7E7667AE" w14:textId="26BC257D"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Zníženie vrátenia poskytnutých prostriedkov</w:t>
      </w:r>
      <w:r w:rsidR="00AB26B3" w:rsidRPr="00AB26B3">
        <w:rPr>
          <w:noProof/>
          <w:spacing w:val="-6"/>
          <w:lang w:val="sk-SK"/>
        </w:rPr>
        <w:t xml:space="preserve"> a </w:t>
      </w:r>
      <w:r w:rsidRPr="00AB26B3">
        <w:rPr>
          <w:noProof/>
          <w:spacing w:val="-6"/>
          <w:lang w:val="sk-SK"/>
        </w:rPr>
        <w:t>racionalizácia výdavkov na zdravotnú starostlivosť (identifikačné číslo opatrenia: 16816)</w:t>
      </w:r>
    </w:p>
    <w:p w14:paraId="1F747B32" w14:textId="4A06FC58" w:rsidR="00302FC1" w:rsidRPr="00AB26B3" w:rsidRDefault="00D64F26">
      <w:pPr>
        <w:pStyle w:val="P68B1DB1-Normal7"/>
        <w:spacing w:before="120" w:after="120" w:line="240" w:lineRule="auto"/>
        <w:jc w:val="both"/>
        <w:rPr>
          <w:rFonts w:eastAsia="Times New Roman" w:cs="Times New Roman"/>
          <w:noProof/>
          <w:spacing w:val="-6"/>
          <w:lang w:val="sk-SK"/>
        </w:rPr>
      </w:pPr>
      <w:r w:rsidRPr="00AB26B3">
        <w:rPr>
          <w:noProof/>
          <w:spacing w:val="-6"/>
          <w:lang w:val="sk-SK"/>
        </w:rPr>
        <w:t>Cieľom opatrenia je zníženie vracania poskytnutých prostriedkov</w:t>
      </w:r>
      <w:r w:rsidR="00AB26B3" w:rsidRPr="00AB26B3">
        <w:rPr>
          <w:noProof/>
          <w:spacing w:val="-6"/>
          <w:lang w:val="sk-SK"/>
        </w:rPr>
        <w:t xml:space="preserve"> a </w:t>
      </w:r>
      <w:r w:rsidRPr="00AB26B3">
        <w:rPr>
          <w:noProof/>
          <w:spacing w:val="-6"/>
          <w:lang w:val="sk-SK"/>
        </w:rPr>
        <w:t>kontrola farmaceutických výdavkov. Reforma pozostáva zo stanovenia záväzného cieľa zníženia spätného vymáhania na roky 2022 až 2025</w:t>
      </w:r>
      <w:r w:rsidR="00AB26B3" w:rsidRPr="00AB26B3">
        <w:rPr>
          <w:noProof/>
          <w:spacing w:val="-6"/>
          <w:lang w:val="sk-SK"/>
        </w:rPr>
        <w:t xml:space="preserve"> a </w:t>
      </w:r>
      <w:r w:rsidRPr="00AB26B3">
        <w:rPr>
          <w:noProof/>
          <w:spacing w:val="-6"/>
          <w:lang w:val="sk-SK"/>
        </w:rPr>
        <w:t>čiastočnej kompenzácie záväzkov spoločností týkajúcich sa spätného vymáhania klinickým skúšaním, výskumom</w:t>
      </w:r>
      <w:r w:rsidR="00AB26B3" w:rsidRPr="00AB26B3">
        <w:rPr>
          <w:noProof/>
          <w:spacing w:val="-6"/>
          <w:lang w:val="sk-SK"/>
        </w:rPr>
        <w:t xml:space="preserve"> a </w:t>
      </w:r>
      <w:r w:rsidRPr="00AB26B3">
        <w:rPr>
          <w:noProof/>
          <w:spacing w:val="-6"/>
          <w:lang w:val="sk-SK"/>
        </w:rPr>
        <w:t>vývojom alebo inými investičnými výdavkami na rok 2021</w:t>
      </w:r>
      <w:r w:rsidR="00AB26B3" w:rsidRPr="00AB26B3">
        <w:rPr>
          <w:noProof/>
          <w:spacing w:val="-6"/>
          <w:lang w:val="sk-SK"/>
        </w:rPr>
        <w:t xml:space="preserve"> a </w:t>
      </w:r>
      <w:r w:rsidRPr="00AB26B3">
        <w:rPr>
          <w:noProof/>
          <w:spacing w:val="-6"/>
          <w:lang w:val="sk-SK"/>
        </w:rPr>
        <w:t>ďalšie roky.</w:t>
      </w:r>
    </w:p>
    <w:p w14:paraId="52A6DFBD"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Reforma systému primárnej zdravotnej starostlivosti (identifikačné číslo opatrenia: 16755)</w:t>
      </w:r>
    </w:p>
    <w:p w14:paraId="66E246CD" w14:textId="6B4D94A6"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modernizovať infraštruktúru</w:t>
      </w:r>
      <w:r w:rsidR="00AB26B3" w:rsidRPr="00AB26B3">
        <w:rPr>
          <w:noProof/>
          <w:spacing w:val="-6"/>
          <w:lang w:val="sk-SK"/>
        </w:rPr>
        <w:t xml:space="preserve"> a </w:t>
      </w:r>
      <w:r w:rsidRPr="00AB26B3">
        <w:rPr>
          <w:noProof/>
          <w:spacing w:val="-6"/>
          <w:lang w:val="sk-SK"/>
        </w:rPr>
        <w:t>zdravotnícke vybavenie jednotiek primárnej zdravotnej starostlivosti</w:t>
      </w:r>
      <w:r w:rsidR="00AB26B3" w:rsidRPr="00AB26B3">
        <w:rPr>
          <w:noProof/>
          <w:spacing w:val="-6"/>
          <w:lang w:val="sk-SK"/>
        </w:rPr>
        <w:t xml:space="preserve"> a </w:t>
      </w:r>
      <w:r w:rsidRPr="00AB26B3">
        <w:rPr>
          <w:noProof/>
          <w:spacing w:val="-6"/>
          <w:lang w:val="sk-SK"/>
        </w:rPr>
        <w:t>reorganizovať systém primárnej zdravotnej starostlivosti preškolením zamestnancov tak, aby pôsobili ako prvostupňová starostlivosť. Opatrenie pozostáva</w:t>
      </w:r>
      <w:r w:rsidR="00AB26B3" w:rsidRPr="00AB26B3">
        <w:rPr>
          <w:noProof/>
          <w:spacing w:val="-6"/>
          <w:lang w:val="sk-SK"/>
        </w:rPr>
        <w:t xml:space="preserve"> z </w:t>
      </w:r>
      <w:r w:rsidRPr="00AB26B3">
        <w:rPr>
          <w:noProof/>
          <w:spacing w:val="-6"/>
          <w:lang w:val="sk-SK"/>
        </w:rPr>
        <w:t>obnovy jednotiek primárnej zdravotnej starostlivosti</w:t>
      </w:r>
      <w:r w:rsidR="00AB26B3" w:rsidRPr="00AB26B3">
        <w:rPr>
          <w:noProof/>
          <w:spacing w:val="-6"/>
          <w:lang w:val="sk-SK"/>
        </w:rPr>
        <w:t xml:space="preserve"> v </w:t>
      </w:r>
      <w:r w:rsidRPr="00AB26B3">
        <w:rPr>
          <w:noProof/>
          <w:spacing w:val="-6"/>
          <w:lang w:val="sk-SK"/>
        </w:rPr>
        <w:t>záujme energetickej efektívnosti</w:t>
      </w:r>
      <w:r w:rsidR="00AB26B3" w:rsidRPr="00AB26B3">
        <w:rPr>
          <w:noProof/>
          <w:spacing w:val="-6"/>
          <w:lang w:val="sk-SK"/>
        </w:rPr>
        <w:t xml:space="preserve"> a </w:t>
      </w:r>
      <w:r w:rsidRPr="00AB26B3">
        <w:rPr>
          <w:noProof/>
          <w:spacing w:val="-6"/>
          <w:lang w:val="sk-SK"/>
        </w:rPr>
        <w:t>dodávky zdravotníckeho vybavenia. Zahŕňa aj predkladanie návrhov na reformu primárnej zdravotnej starostlivosti, pilotný referenčný mechanizmus, odbornú prípravu zamestnancov</w:t>
      </w:r>
      <w:r w:rsidR="00AB26B3" w:rsidRPr="00AB26B3">
        <w:rPr>
          <w:noProof/>
          <w:spacing w:val="-6"/>
          <w:lang w:val="sk-SK"/>
        </w:rPr>
        <w:t xml:space="preserve"> v </w:t>
      </w:r>
      <w:r w:rsidRPr="00AB26B3">
        <w:rPr>
          <w:noProof/>
          <w:spacing w:val="-6"/>
          <w:lang w:val="sk-SK"/>
        </w:rPr>
        <w:t>oblasti primárnej zdravotnej starostlivosti</w:t>
      </w:r>
      <w:r w:rsidR="00AB26B3" w:rsidRPr="00AB26B3">
        <w:rPr>
          <w:noProof/>
          <w:spacing w:val="-6"/>
          <w:lang w:val="sk-SK"/>
        </w:rPr>
        <w:t xml:space="preserve"> a </w:t>
      </w:r>
      <w:r w:rsidRPr="00AB26B3">
        <w:rPr>
          <w:noProof/>
          <w:spacing w:val="-6"/>
          <w:lang w:val="sk-SK"/>
        </w:rPr>
        <w:t>digitálnu platformu pre rozhodovanie</w:t>
      </w:r>
      <w:r w:rsidR="00AB26B3" w:rsidRPr="00AB26B3">
        <w:rPr>
          <w:noProof/>
          <w:spacing w:val="-6"/>
          <w:lang w:val="sk-SK"/>
        </w:rPr>
        <w:t xml:space="preserve"> o </w:t>
      </w:r>
      <w:r w:rsidRPr="00AB26B3">
        <w:rPr>
          <w:noProof/>
          <w:spacing w:val="-6"/>
          <w:lang w:val="sk-SK"/>
        </w:rPr>
        <w:t>primárnej zdravotnej starostlivosti. Napokon zahŕňa rozšírenie dostupnosti učebných osnov rodinnej medicíny</w:t>
      </w:r>
      <w:r w:rsidR="00AB26B3" w:rsidRPr="00AB26B3">
        <w:rPr>
          <w:noProof/>
          <w:spacing w:val="-6"/>
          <w:lang w:val="sk-SK"/>
        </w:rPr>
        <w:t xml:space="preserve"> v </w:t>
      </w:r>
      <w:r w:rsidRPr="00AB26B3">
        <w:rPr>
          <w:noProof/>
          <w:spacing w:val="-6"/>
          <w:lang w:val="sk-SK"/>
        </w:rPr>
        <w:t>učebných osnovách medicíny</w:t>
      </w:r>
      <w:r w:rsidR="00AB26B3" w:rsidRPr="00AB26B3">
        <w:rPr>
          <w:noProof/>
          <w:spacing w:val="-6"/>
          <w:lang w:val="sk-SK"/>
        </w:rPr>
        <w:t xml:space="preserve"> a </w:t>
      </w:r>
      <w:r w:rsidRPr="00AB26B3">
        <w:rPr>
          <w:noProof/>
          <w:spacing w:val="-6"/>
          <w:lang w:val="sk-SK"/>
        </w:rPr>
        <w:t>vytvorenie jednotiek na manažment chronických chorôb.</w:t>
      </w:r>
    </w:p>
    <w:p w14:paraId="11C30AF4"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Vykonávanie národného programu prevencie verejného zdravia „Spiros Doxiadis“ (NPP „SD“) (identifikačné číslo opatrenia: 16783)</w:t>
      </w:r>
    </w:p>
    <w:p w14:paraId="01941F34" w14:textId="3562DA30"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vytvoriť komplexný systém primárnej</w:t>
      </w:r>
      <w:r w:rsidR="00AB26B3" w:rsidRPr="00AB26B3">
        <w:rPr>
          <w:noProof/>
          <w:spacing w:val="-6"/>
          <w:lang w:val="sk-SK"/>
        </w:rPr>
        <w:t xml:space="preserve"> a </w:t>
      </w:r>
      <w:r w:rsidRPr="00AB26B3">
        <w:rPr>
          <w:noProof/>
          <w:spacing w:val="-6"/>
          <w:lang w:val="sk-SK"/>
        </w:rPr>
        <w:t>sekundárnej zdravotnej prevencie. Opatrenie pozostáva zo zásahov</w:t>
      </w:r>
      <w:r w:rsidR="00AB26B3" w:rsidRPr="00AB26B3">
        <w:rPr>
          <w:noProof/>
          <w:spacing w:val="-6"/>
          <w:lang w:val="sk-SK"/>
        </w:rPr>
        <w:t xml:space="preserve"> v </w:t>
      </w:r>
      <w:r w:rsidRPr="00AB26B3">
        <w:rPr>
          <w:noProof/>
          <w:spacing w:val="-6"/>
          <w:lang w:val="sk-SK"/>
        </w:rPr>
        <w:t>oblasti zdravotnej prevencie</w:t>
      </w:r>
      <w:r w:rsidR="00AB26B3" w:rsidRPr="00AB26B3">
        <w:rPr>
          <w:noProof/>
          <w:spacing w:val="-6"/>
          <w:lang w:val="sk-SK"/>
        </w:rPr>
        <w:t xml:space="preserve"> a </w:t>
      </w:r>
      <w:r w:rsidRPr="00AB26B3">
        <w:rPr>
          <w:noProof/>
          <w:spacing w:val="-6"/>
          <w:lang w:val="sk-SK"/>
        </w:rPr>
        <w:t>populačného skríningu, ako aj zo systému monitorovania zdravia</w:t>
      </w:r>
      <w:r w:rsidR="00AB26B3" w:rsidRPr="00AB26B3">
        <w:rPr>
          <w:noProof/>
          <w:spacing w:val="-6"/>
          <w:lang w:val="sk-SK"/>
        </w:rPr>
        <w:t>.</w:t>
      </w:r>
    </w:p>
    <w:p w14:paraId="35E99829" w14:textId="74F870D4"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Reforma</w:t>
      </w:r>
      <w:r w:rsidR="00AB26B3" w:rsidRPr="00AB26B3">
        <w:rPr>
          <w:noProof/>
          <w:spacing w:val="-6"/>
          <w:lang w:val="sk-SK"/>
        </w:rPr>
        <w:t xml:space="preserve"> v </w:t>
      </w:r>
      <w:r w:rsidRPr="00AB26B3">
        <w:rPr>
          <w:noProof/>
          <w:spacing w:val="-6"/>
          <w:lang w:val="sk-SK"/>
        </w:rPr>
        <w:t>oblasti duševného zdravia</w:t>
      </w:r>
      <w:r w:rsidR="00AB26B3" w:rsidRPr="00AB26B3">
        <w:rPr>
          <w:noProof/>
          <w:spacing w:val="-6"/>
          <w:lang w:val="sk-SK"/>
        </w:rPr>
        <w:t xml:space="preserve"> a </w:t>
      </w:r>
      <w:r w:rsidRPr="00AB26B3">
        <w:rPr>
          <w:noProof/>
          <w:spacing w:val="-6"/>
          <w:lang w:val="sk-SK"/>
        </w:rPr>
        <w:t>závislostí (identifikačné číslo opatrenia: 16820)</w:t>
      </w:r>
    </w:p>
    <w:p w14:paraId="5D7F39F5" w14:textId="11DD6F53"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tejto reformy je zabezpečiť prístup ku kvalitným službám</w:t>
      </w:r>
      <w:r w:rsidR="00AB26B3" w:rsidRPr="00AB26B3">
        <w:rPr>
          <w:noProof/>
          <w:spacing w:val="-6"/>
          <w:lang w:val="sk-SK"/>
        </w:rPr>
        <w:t xml:space="preserve"> v </w:t>
      </w:r>
      <w:r w:rsidRPr="00AB26B3">
        <w:rPr>
          <w:noProof/>
          <w:spacing w:val="-6"/>
          <w:lang w:val="sk-SK"/>
        </w:rPr>
        <w:t>oblasti duševného zdravia pre špecifické skupiny obyvateľstva trpiace duševnými chorobami</w:t>
      </w:r>
      <w:r w:rsidR="00AB26B3" w:rsidRPr="00AB26B3">
        <w:rPr>
          <w:noProof/>
          <w:spacing w:val="-6"/>
          <w:lang w:val="sk-SK"/>
        </w:rPr>
        <w:t xml:space="preserve"> a </w:t>
      </w:r>
      <w:r w:rsidRPr="00AB26B3">
        <w:rPr>
          <w:noProof/>
          <w:spacing w:val="-6"/>
          <w:lang w:val="sk-SK"/>
        </w:rPr>
        <w:t>závislosťou, aby sa zabránilo ich marginalizácii alebo inštitucionalizácii. Spočíva</w:t>
      </w:r>
      <w:r w:rsidR="00AB26B3" w:rsidRPr="00AB26B3">
        <w:rPr>
          <w:noProof/>
          <w:spacing w:val="-6"/>
          <w:lang w:val="sk-SK"/>
        </w:rPr>
        <w:t xml:space="preserve"> v </w:t>
      </w:r>
      <w:r w:rsidRPr="00AB26B3">
        <w:rPr>
          <w:noProof/>
          <w:spacing w:val="-6"/>
          <w:lang w:val="sk-SK"/>
        </w:rPr>
        <w:t>rozšírení služieb</w:t>
      </w:r>
      <w:r w:rsidR="00AB26B3" w:rsidRPr="00AB26B3">
        <w:rPr>
          <w:noProof/>
          <w:spacing w:val="-6"/>
          <w:lang w:val="sk-SK"/>
        </w:rPr>
        <w:t xml:space="preserve"> v </w:t>
      </w:r>
      <w:r w:rsidRPr="00AB26B3">
        <w:rPr>
          <w:noProof/>
          <w:spacing w:val="-6"/>
          <w:lang w:val="sk-SK"/>
        </w:rPr>
        <w:t>oblasti duševného zdravia prostredníctvom jednotiek duševného zdravia pre pacientov</w:t>
      </w:r>
      <w:r w:rsidR="00AB26B3" w:rsidRPr="00AB26B3">
        <w:rPr>
          <w:noProof/>
          <w:spacing w:val="-6"/>
          <w:lang w:val="sk-SK"/>
        </w:rPr>
        <w:t xml:space="preserve"> s </w:t>
      </w:r>
      <w:r w:rsidRPr="00AB26B3">
        <w:rPr>
          <w:noProof/>
          <w:spacing w:val="-6"/>
          <w:lang w:val="sk-SK"/>
        </w:rPr>
        <w:t>demenciou</w:t>
      </w:r>
      <w:r w:rsidR="00AB26B3" w:rsidRPr="00AB26B3">
        <w:rPr>
          <w:noProof/>
          <w:spacing w:val="-6"/>
          <w:lang w:val="sk-SK"/>
        </w:rPr>
        <w:t xml:space="preserve"> a </w:t>
      </w:r>
      <w:r w:rsidRPr="00AB26B3">
        <w:rPr>
          <w:noProof/>
          <w:spacing w:val="-6"/>
          <w:lang w:val="sk-SK"/>
        </w:rPr>
        <w:t>Alzheimerovou chorobou, ako aj pre pacientov</w:t>
      </w:r>
      <w:r w:rsidR="00AB26B3" w:rsidRPr="00AB26B3">
        <w:rPr>
          <w:noProof/>
          <w:spacing w:val="-6"/>
          <w:lang w:val="sk-SK"/>
        </w:rPr>
        <w:t xml:space="preserve"> s </w:t>
      </w:r>
      <w:r w:rsidRPr="00AB26B3">
        <w:rPr>
          <w:noProof/>
          <w:spacing w:val="-6"/>
          <w:lang w:val="sk-SK"/>
        </w:rPr>
        <w:t>autizmom</w:t>
      </w:r>
      <w:r w:rsidR="00AB26B3" w:rsidRPr="00AB26B3">
        <w:rPr>
          <w:noProof/>
          <w:spacing w:val="-6"/>
          <w:lang w:val="sk-SK"/>
        </w:rPr>
        <w:t xml:space="preserve"> a </w:t>
      </w:r>
      <w:r w:rsidRPr="00AB26B3">
        <w:rPr>
          <w:noProof/>
          <w:spacing w:val="-6"/>
          <w:lang w:val="sk-SK"/>
        </w:rPr>
        <w:t>pre pacientov vo vekovej skupine detí, dospievajúcich</w:t>
      </w:r>
      <w:r w:rsidR="00AB26B3" w:rsidRPr="00AB26B3">
        <w:rPr>
          <w:noProof/>
          <w:spacing w:val="-6"/>
          <w:lang w:val="sk-SK"/>
        </w:rPr>
        <w:t xml:space="preserve"> a </w:t>
      </w:r>
      <w:r w:rsidRPr="00AB26B3">
        <w:rPr>
          <w:noProof/>
          <w:spacing w:val="-6"/>
          <w:lang w:val="sk-SK"/>
        </w:rPr>
        <w:t>mladých dospelých, ako aj služieb</w:t>
      </w:r>
      <w:r w:rsidR="00AB26B3" w:rsidRPr="00AB26B3">
        <w:rPr>
          <w:noProof/>
          <w:spacing w:val="-6"/>
          <w:lang w:val="sk-SK"/>
        </w:rPr>
        <w:t xml:space="preserve"> v </w:t>
      </w:r>
      <w:r w:rsidRPr="00AB26B3">
        <w:rPr>
          <w:noProof/>
          <w:spacing w:val="-6"/>
          <w:lang w:val="sk-SK"/>
        </w:rPr>
        <w:t>oblasti duševného zdravia pre osoby so závislosťami. To bude sprevádzané vývojom webových aplikácií</w:t>
      </w:r>
      <w:r w:rsidR="00AB26B3" w:rsidRPr="00AB26B3">
        <w:rPr>
          <w:noProof/>
          <w:spacing w:val="-6"/>
          <w:lang w:val="sk-SK"/>
        </w:rPr>
        <w:t xml:space="preserve"> a </w:t>
      </w:r>
      <w:r w:rsidRPr="00AB26B3">
        <w:rPr>
          <w:noProof/>
          <w:spacing w:val="-6"/>
          <w:lang w:val="sk-SK"/>
        </w:rPr>
        <w:t>digitalizáciou služieb</w:t>
      </w:r>
      <w:r w:rsidR="00AB26B3" w:rsidRPr="00AB26B3">
        <w:rPr>
          <w:noProof/>
          <w:spacing w:val="-6"/>
          <w:lang w:val="sk-SK"/>
        </w:rPr>
        <w:t xml:space="preserve"> v </w:t>
      </w:r>
      <w:r w:rsidRPr="00AB26B3">
        <w:rPr>
          <w:noProof/>
          <w:spacing w:val="-6"/>
          <w:lang w:val="sk-SK"/>
        </w:rPr>
        <w:t>oblasti duševného zdravia. Implementácia reformy sa dokončí do 31</w:t>
      </w:r>
      <w:r w:rsidR="00AB26B3" w:rsidRPr="00AB26B3">
        <w:rPr>
          <w:noProof/>
          <w:spacing w:val="-6"/>
          <w:lang w:val="sk-SK"/>
        </w:rPr>
        <w:t>. decembra</w:t>
      </w:r>
      <w:r w:rsidRPr="00AB26B3">
        <w:rPr>
          <w:noProof/>
          <w:spacing w:val="-6"/>
          <w:lang w:val="sk-SK"/>
        </w:rPr>
        <w:t xml:space="preserve"> 2023.</w:t>
      </w:r>
    </w:p>
    <w:p w14:paraId="74DF4D68" w14:textId="41D1155D"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Organizačné reformy</w:t>
      </w:r>
      <w:r w:rsidR="00AB26B3" w:rsidRPr="00AB26B3">
        <w:rPr>
          <w:noProof/>
          <w:spacing w:val="-6"/>
          <w:lang w:val="sk-SK"/>
        </w:rPr>
        <w:t xml:space="preserve"> v </w:t>
      </w:r>
      <w:r w:rsidRPr="00AB26B3">
        <w:rPr>
          <w:noProof/>
          <w:spacing w:val="-6"/>
          <w:lang w:val="sk-SK"/>
        </w:rPr>
        <w:t>systéme zdravotnej starostlivosti (identifikačné číslo opatrenia: 16756)</w:t>
      </w:r>
    </w:p>
    <w:p w14:paraId="3722114B" w14:textId="3B5B2C8D"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racionalizovať úhradu nemocničných lekárskych postupov. Opatrenie pozostáva</w:t>
      </w:r>
      <w:r w:rsidR="00AB26B3" w:rsidRPr="00AB26B3">
        <w:rPr>
          <w:noProof/>
          <w:spacing w:val="-6"/>
          <w:lang w:val="sk-SK"/>
        </w:rPr>
        <w:t xml:space="preserve"> z </w:t>
      </w:r>
      <w:r w:rsidRPr="00AB26B3">
        <w:rPr>
          <w:noProof/>
          <w:spacing w:val="-6"/>
          <w:lang w:val="sk-SK"/>
        </w:rPr>
        <w:t>1) vytvorenia platforiem pre Grécky inštitút pre diagnózu (DRG) (KETEKNY), 2) vytvorenia národnej mapy zdravia,</w:t>
      </w:r>
      <w:r w:rsidR="00AB26B3" w:rsidRPr="00AB26B3">
        <w:rPr>
          <w:noProof/>
          <w:spacing w:val="-6"/>
          <w:lang w:val="sk-SK"/>
        </w:rPr>
        <w:t xml:space="preserve"> v </w:t>
      </w:r>
      <w:r w:rsidRPr="00AB26B3">
        <w:rPr>
          <w:noProof/>
          <w:spacing w:val="-6"/>
          <w:lang w:val="sk-SK"/>
        </w:rPr>
        <w:t>ktorej sa zaznamenáva dopyt</w:t>
      </w:r>
      <w:r w:rsidR="00AB26B3" w:rsidRPr="00AB26B3">
        <w:rPr>
          <w:noProof/>
          <w:spacing w:val="-6"/>
          <w:lang w:val="sk-SK"/>
        </w:rPr>
        <w:t xml:space="preserve"> a </w:t>
      </w:r>
      <w:r w:rsidRPr="00AB26B3">
        <w:rPr>
          <w:noProof/>
          <w:spacing w:val="-6"/>
          <w:lang w:val="sk-SK"/>
        </w:rPr>
        <w:t>ponuka služieb</w:t>
      </w:r>
      <w:r w:rsidR="00AB26B3" w:rsidRPr="00AB26B3">
        <w:rPr>
          <w:noProof/>
          <w:spacing w:val="-6"/>
          <w:lang w:val="sk-SK"/>
        </w:rPr>
        <w:t xml:space="preserve"> v </w:t>
      </w:r>
      <w:r w:rsidRPr="00AB26B3">
        <w:rPr>
          <w:noProof/>
          <w:spacing w:val="-6"/>
          <w:lang w:val="sk-SK"/>
        </w:rPr>
        <w:t>systéme zdravotnej starostlivosti, 3) obmedzenia čakacieho zoznamu pre voliteľné chirurgické zákroky</w:t>
      </w:r>
      <w:r w:rsidR="00AB26B3" w:rsidRPr="00AB26B3">
        <w:rPr>
          <w:noProof/>
          <w:spacing w:val="-6"/>
          <w:lang w:val="sk-SK"/>
        </w:rPr>
        <w:t xml:space="preserve"> a </w:t>
      </w:r>
      <w:r w:rsidRPr="00AB26B3">
        <w:rPr>
          <w:noProof/>
          <w:spacing w:val="-6"/>
          <w:lang w:val="sk-SK"/>
        </w:rPr>
        <w:t>4) vytvorenia nástrojov</w:t>
      </w:r>
      <w:r w:rsidR="00AB26B3" w:rsidRPr="00AB26B3">
        <w:rPr>
          <w:noProof/>
          <w:spacing w:val="-6"/>
          <w:lang w:val="sk-SK"/>
        </w:rPr>
        <w:t xml:space="preserve"> a </w:t>
      </w:r>
      <w:r w:rsidRPr="00AB26B3">
        <w:rPr>
          <w:noProof/>
          <w:spacing w:val="-6"/>
          <w:lang w:val="sk-SK"/>
        </w:rPr>
        <w:t>služieb na pomoc občanom pri orientácii</w:t>
      </w:r>
      <w:r w:rsidR="00AB26B3" w:rsidRPr="00AB26B3">
        <w:rPr>
          <w:noProof/>
          <w:spacing w:val="-6"/>
          <w:lang w:val="sk-SK"/>
        </w:rPr>
        <w:t xml:space="preserve"> v </w:t>
      </w:r>
      <w:r w:rsidRPr="00AB26B3">
        <w:rPr>
          <w:noProof/>
          <w:spacing w:val="-6"/>
          <w:lang w:val="sk-SK"/>
        </w:rPr>
        <w:t>systéme zdravotnej starostlivosti</w:t>
      </w:r>
      <w:r w:rsidR="00AB26B3" w:rsidRPr="00AB26B3">
        <w:rPr>
          <w:noProof/>
          <w:spacing w:val="-6"/>
          <w:lang w:val="sk-SK"/>
        </w:rPr>
        <w:t>.</w:t>
      </w:r>
    </w:p>
    <w:p w14:paraId="45A2A280" w14:textId="2A7DCCAF"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Zdravotnícka infraštruktúra (identifikačné číslo opatrenia: 16795)</w:t>
      </w:r>
    </w:p>
    <w:p w14:paraId="0B40DD2C" w14:textId="6C11D2E4"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obnoviť infraštruktúru</w:t>
      </w:r>
      <w:r w:rsidR="00AB26B3" w:rsidRPr="00AB26B3">
        <w:rPr>
          <w:noProof/>
          <w:spacing w:val="-6"/>
          <w:lang w:val="sk-SK"/>
        </w:rPr>
        <w:t xml:space="preserve"> a </w:t>
      </w:r>
      <w:r w:rsidRPr="00AB26B3">
        <w:rPr>
          <w:noProof/>
          <w:spacing w:val="-6"/>
          <w:lang w:val="sk-SK"/>
        </w:rPr>
        <w:t>nástroje potrebné na lepšie poskytovanie zdravotníckych služieb. Opatrenie pozostáva</w:t>
      </w:r>
      <w:r w:rsidR="00AB26B3" w:rsidRPr="00AB26B3">
        <w:rPr>
          <w:noProof/>
          <w:spacing w:val="-6"/>
          <w:lang w:val="sk-SK"/>
        </w:rPr>
        <w:t xml:space="preserve"> z </w:t>
      </w:r>
      <w:r w:rsidRPr="00AB26B3">
        <w:rPr>
          <w:noProof/>
          <w:spacing w:val="-6"/>
          <w:lang w:val="sk-SK"/>
        </w:rPr>
        <w:t>renovovaných a/alebo postavených nemocníc</w:t>
      </w:r>
      <w:r w:rsidR="00AB26B3" w:rsidRPr="00AB26B3">
        <w:rPr>
          <w:noProof/>
          <w:spacing w:val="-6"/>
          <w:lang w:val="sk-SK"/>
        </w:rPr>
        <w:t xml:space="preserve"> v </w:t>
      </w:r>
      <w:r w:rsidRPr="00AB26B3">
        <w:rPr>
          <w:noProof/>
          <w:spacing w:val="-6"/>
          <w:lang w:val="sk-SK"/>
        </w:rPr>
        <w:t>celom Grécku (vrátane prác na energetickej efektívnosti)</w:t>
      </w:r>
      <w:r w:rsidR="00AB26B3" w:rsidRPr="00AB26B3">
        <w:rPr>
          <w:noProof/>
          <w:spacing w:val="-6"/>
          <w:lang w:val="sk-SK"/>
        </w:rPr>
        <w:t xml:space="preserve"> a </w:t>
      </w:r>
      <w:r w:rsidRPr="00AB26B3">
        <w:rPr>
          <w:noProof/>
          <w:spacing w:val="-6"/>
          <w:lang w:val="sk-SK"/>
        </w:rPr>
        <w:t>dodaného zdravotníckeho vybavenia.</w:t>
      </w:r>
    </w:p>
    <w:p w14:paraId="52719E33"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zdravotníctva (DigHealth) (identifikačné číslo opatrenia: 16752)</w:t>
      </w:r>
    </w:p>
    <w:p w14:paraId="25E9FD2B" w14:textId="4201B365"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digitalizovať vnútroštátny systém zdravotnej starostlivosti. Opatrenie pozostáva</w:t>
      </w:r>
      <w:r w:rsidR="00AB26B3" w:rsidRPr="00AB26B3">
        <w:rPr>
          <w:noProof/>
          <w:spacing w:val="-6"/>
          <w:lang w:val="sk-SK"/>
        </w:rPr>
        <w:t xml:space="preserve"> z </w:t>
      </w:r>
      <w:r w:rsidRPr="00AB26B3">
        <w:rPr>
          <w:noProof/>
          <w:spacing w:val="-6"/>
          <w:lang w:val="sk-SK"/>
        </w:rPr>
        <w:t>realizácie digitálnych projektov</w:t>
      </w:r>
      <w:r w:rsidR="00AB26B3" w:rsidRPr="00AB26B3">
        <w:rPr>
          <w:noProof/>
          <w:spacing w:val="-6"/>
          <w:lang w:val="sk-SK"/>
        </w:rPr>
        <w:t xml:space="preserve"> v </w:t>
      </w:r>
      <w:r w:rsidRPr="00AB26B3">
        <w:rPr>
          <w:noProof/>
          <w:spacing w:val="-6"/>
          <w:lang w:val="sk-SK"/>
        </w:rPr>
        <w:t>sektore zdravotnej starostlivosti</w:t>
      </w:r>
      <w:r w:rsidR="00AB26B3" w:rsidRPr="00AB26B3">
        <w:rPr>
          <w:noProof/>
          <w:spacing w:val="-6"/>
          <w:lang w:val="sk-SK"/>
        </w:rPr>
        <w:t>.</w:t>
      </w:r>
    </w:p>
    <w:p w14:paraId="7D69014E" w14:textId="7987B92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Rádioterapeutické centrum</w:t>
      </w:r>
      <w:r w:rsidR="00AB26B3" w:rsidRPr="00AB26B3">
        <w:rPr>
          <w:noProof/>
          <w:spacing w:val="-6"/>
          <w:lang w:val="sk-SK"/>
        </w:rPr>
        <w:t xml:space="preserve"> v </w:t>
      </w:r>
      <w:r w:rsidRPr="00AB26B3">
        <w:rPr>
          <w:noProof/>
          <w:spacing w:val="-6"/>
          <w:lang w:val="sk-SK"/>
        </w:rPr>
        <w:t>nemocnici pre hrudníkové choroby „Sotiria“</w:t>
      </w:r>
      <w:r w:rsidR="00AB26B3" w:rsidRPr="00AB26B3">
        <w:rPr>
          <w:noProof/>
          <w:spacing w:val="-6"/>
          <w:lang w:val="sk-SK"/>
        </w:rPr>
        <w:t xml:space="preserve"> v </w:t>
      </w:r>
      <w:r w:rsidRPr="00AB26B3">
        <w:rPr>
          <w:noProof/>
          <w:spacing w:val="-6"/>
          <w:lang w:val="sk-SK"/>
        </w:rPr>
        <w:t>Aténach (opatrenie ID: 16757)</w:t>
      </w:r>
    </w:p>
    <w:p w14:paraId="111D5A15" w14:textId="3D3329F3"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zriadiť rádioterapeutické centrum</w:t>
      </w:r>
      <w:r w:rsidR="00AB26B3" w:rsidRPr="00AB26B3">
        <w:rPr>
          <w:noProof/>
          <w:spacing w:val="-6"/>
          <w:lang w:val="sk-SK"/>
        </w:rPr>
        <w:t xml:space="preserve"> v </w:t>
      </w:r>
      <w:r w:rsidRPr="00AB26B3">
        <w:rPr>
          <w:noProof/>
          <w:spacing w:val="-6"/>
          <w:lang w:val="sk-SK"/>
        </w:rPr>
        <w:t>nemocnici Sotiria</w:t>
      </w:r>
      <w:r w:rsidR="00AB26B3" w:rsidRPr="00AB26B3">
        <w:rPr>
          <w:noProof/>
          <w:spacing w:val="-6"/>
          <w:lang w:val="sk-SK"/>
        </w:rPr>
        <w:t xml:space="preserve"> s </w:t>
      </w:r>
      <w:r w:rsidRPr="00AB26B3">
        <w:rPr>
          <w:noProof/>
          <w:spacing w:val="-6"/>
          <w:lang w:val="sk-SK"/>
        </w:rPr>
        <w:t>cieľom pomôcť uspokojiť potreby onkologických pacientov</w:t>
      </w:r>
      <w:r w:rsidR="00AB26B3" w:rsidRPr="00AB26B3">
        <w:rPr>
          <w:noProof/>
          <w:spacing w:val="-6"/>
          <w:lang w:val="sk-SK"/>
        </w:rPr>
        <w:t xml:space="preserve"> v </w:t>
      </w:r>
      <w:r w:rsidRPr="00AB26B3">
        <w:rPr>
          <w:noProof/>
          <w:spacing w:val="-6"/>
          <w:lang w:val="sk-SK"/>
        </w:rPr>
        <w:t>krajine. Opatrenie pozostáva</w:t>
      </w:r>
      <w:r w:rsidR="00AB26B3" w:rsidRPr="00AB26B3">
        <w:rPr>
          <w:noProof/>
          <w:spacing w:val="-6"/>
          <w:lang w:val="sk-SK"/>
        </w:rPr>
        <w:t xml:space="preserve"> z </w:t>
      </w:r>
      <w:r w:rsidRPr="00AB26B3">
        <w:rPr>
          <w:noProof/>
          <w:spacing w:val="-6"/>
          <w:lang w:val="sk-SK"/>
        </w:rPr>
        <w:t>novej budovy postavenej</w:t>
      </w:r>
      <w:r w:rsidR="00AB26B3" w:rsidRPr="00AB26B3">
        <w:rPr>
          <w:noProof/>
          <w:spacing w:val="-6"/>
          <w:lang w:val="sk-SK"/>
        </w:rPr>
        <w:t xml:space="preserve"> v </w:t>
      </w:r>
      <w:r w:rsidRPr="00AB26B3">
        <w:rPr>
          <w:noProof/>
          <w:spacing w:val="-6"/>
          <w:lang w:val="sk-SK"/>
        </w:rPr>
        <w:t>nemocnici Sotiria,</w:t>
      </w:r>
      <w:r w:rsidR="00AB26B3" w:rsidRPr="00AB26B3">
        <w:rPr>
          <w:noProof/>
          <w:spacing w:val="-6"/>
          <w:lang w:val="sk-SK"/>
        </w:rPr>
        <w:t xml:space="preserve"> v </w:t>
      </w:r>
      <w:r w:rsidRPr="00AB26B3">
        <w:rPr>
          <w:noProof/>
          <w:spacing w:val="-6"/>
          <w:lang w:val="sk-SK"/>
        </w:rPr>
        <w:t>ktorej sa nachádza nové rádioterapeutické oddelenie, ako aj vybudovanej a/alebo renovovanej nemocničnej infraštruktúry</w:t>
      </w:r>
      <w:r w:rsidR="00AB26B3" w:rsidRPr="00AB26B3">
        <w:rPr>
          <w:noProof/>
          <w:spacing w:val="-6"/>
          <w:lang w:val="sk-SK"/>
        </w:rPr>
        <w:t>.</w:t>
      </w:r>
    </w:p>
    <w:p w14:paraId="593A3AF3" w14:textId="2A7B1E20"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Zriadenie systémov domácej zdravotnej starostlivosti</w:t>
      </w:r>
      <w:r w:rsidR="00AB26B3" w:rsidRPr="00AB26B3">
        <w:rPr>
          <w:noProof/>
          <w:spacing w:val="-6"/>
          <w:lang w:val="sk-SK"/>
        </w:rPr>
        <w:t xml:space="preserve"> a </w:t>
      </w:r>
      <w:r w:rsidRPr="00AB26B3">
        <w:rPr>
          <w:noProof/>
          <w:spacing w:val="-6"/>
          <w:lang w:val="sk-SK"/>
        </w:rPr>
        <w:t>nemocníc</w:t>
      </w:r>
      <w:r w:rsidR="00AB26B3" w:rsidRPr="00AB26B3">
        <w:rPr>
          <w:noProof/>
          <w:spacing w:val="-6"/>
          <w:lang w:val="sk-SK"/>
        </w:rPr>
        <w:t xml:space="preserve"> v </w:t>
      </w:r>
      <w:r w:rsidRPr="00AB26B3">
        <w:rPr>
          <w:noProof/>
          <w:spacing w:val="-6"/>
          <w:lang w:val="sk-SK"/>
        </w:rPr>
        <w:t>domácnosti (identifikačné číslo opatrenia: 16753)</w:t>
      </w:r>
    </w:p>
    <w:p w14:paraId="29F451D9" w14:textId="17CE50FA"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vytvoriť systém domácej starostlivosti</w:t>
      </w:r>
      <w:r w:rsidR="00AB26B3" w:rsidRPr="00AB26B3">
        <w:rPr>
          <w:noProof/>
          <w:spacing w:val="-6"/>
          <w:lang w:val="sk-SK"/>
        </w:rPr>
        <w:t xml:space="preserve"> o </w:t>
      </w:r>
      <w:r w:rsidRPr="00AB26B3">
        <w:rPr>
          <w:noProof/>
          <w:spacing w:val="-6"/>
          <w:lang w:val="sk-SK"/>
        </w:rPr>
        <w:t>pacientov</w:t>
      </w:r>
      <w:r w:rsidR="00AB26B3" w:rsidRPr="00AB26B3">
        <w:rPr>
          <w:noProof/>
          <w:spacing w:val="-6"/>
          <w:lang w:val="sk-SK"/>
        </w:rPr>
        <w:t xml:space="preserve"> s </w:t>
      </w:r>
      <w:r w:rsidRPr="00AB26B3">
        <w:rPr>
          <w:noProof/>
          <w:spacing w:val="-6"/>
          <w:lang w:val="sk-SK"/>
        </w:rPr>
        <w:t>chronickým postihnutím. Opatrenie pozostáva</w:t>
      </w:r>
      <w:r w:rsidR="00AB26B3" w:rsidRPr="00AB26B3">
        <w:rPr>
          <w:noProof/>
          <w:spacing w:val="-6"/>
          <w:lang w:val="sk-SK"/>
        </w:rPr>
        <w:t xml:space="preserve"> z </w:t>
      </w:r>
      <w:r w:rsidRPr="00AB26B3">
        <w:rPr>
          <w:noProof/>
          <w:spacing w:val="-6"/>
          <w:lang w:val="sk-SK"/>
        </w:rPr>
        <w:t>ôsmich zriadených referenčných miest domácej starostlivosti (jedno</w:t>
      </w:r>
      <w:r w:rsidR="00AB26B3" w:rsidRPr="00AB26B3">
        <w:rPr>
          <w:noProof/>
          <w:spacing w:val="-6"/>
          <w:lang w:val="sk-SK"/>
        </w:rPr>
        <w:t xml:space="preserve"> v </w:t>
      </w:r>
      <w:r w:rsidRPr="00AB26B3">
        <w:rPr>
          <w:noProof/>
          <w:spacing w:val="-6"/>
          <w:lang w:val="sk-SK"/>
        </w:rPr>
        <w:t>každom regionálnom zdravotníckom orgáne), dodaných telemedicínskych aplikácií</w:t>
      </w:r>
      <w:r w:rsidR="00AB26B3" w:rsidRPr="00AB26B3">
        <w:rPr>
          <w:noProof/>
          <w:spacing w:val="-6"/>
          <w:lang w:val="sk-SK"/>
        </w:rPr>
        <w:t xml:space="preserve"> a </w:t>
      </w:r>
      <w:r w:rsidRPr="00AB26B3">
        <w:rPr>
          <w:noProof/>
          <w:spacing w:val="-6"/>
          <w:lang w:val="sk-SK"/>
        </w:rPr>
        <w:t>vybavenia, národného registra pacientov liečených domácou starostlivosťou</w:t>
      </w:r>
      <w:r w:rsidR="00AB26B3" w:rsidRPr="00AB26B3">
        <w:rPr>
          <w:noProof/>
          <w:spacing w:val="-6"/>
          <w:lang w:val="sk-SK"/>
        </w:rPr>
        <w:t xml:space="preserve"> a </w:t>
      </w:r>
      <w:r w:rsidRPr="00AB26B3">
        <w:rPr>
          <w:noProof/>
          <w:spacing w:val="-6"/>
          <w:lang w:val="sk-SK"/>
        </w:rPr>
        <w:t>schválených štandardizovaných terapeutických protokolov, ako aj noriem kvality</w:t>
      </w:r>
      <w:r w:rsidR="00AB26B3" w:rsidRPr="00AB26B3">
        <w:rPr>
          <w:noProof/>
          <w:spacing w:val="-6"/>
          <w:lang w:val="sk-SK"/>
        </w:rPr>
        <w:t xml:space="preserve"> a </w:t>
      </w:r>
      <w:r w:rsidRPr="00AB26B3">
        <w:rPr>
          <w:noProof/>
          <w:spacing w:val="-6"/>
          <w:lang w:val="sk-SK"/>
        </w:rPr>
        <w:t>bezpečnosti.</w:t>
      </w:r>
    </w:p>
    <w:p w14:paraId="0E2CBDF7" w14:textId="28A92A13" w:rsidR="00AB26B3" w:rsidRPr="00AB26B3" w:rsidRDefault="00D64F26">
      <w:pPr>
        <w:pStyle w:val="P68B1DB1-Normal5"/>
        <w:spacing w:before="120" w:after="120" w:line="240" w:lineRule="auto"/>
        <w:jc w:val="both"/>
        <w:rPr>
          <w:noProof/>
          <w:spacing w:val="-6"/>
          <w:lang w:val="sk-SK"/>
        </w:rPr>
      </w:pPr>
      <w:r w:rsidRPr="00AB26B3">
        <w:rPr>
          <w:b/>
          <w:noProof/>
          <w:spacing w:val="-6"/>
          <w:lang w:val="sk-SK"/>
        </w:rPr>
        <w:t>Investície:</w:t>
      </w:r>
      <w:r w:rsidRPr="00AB26B3">
        <w:rPr>
          <w:noProof/>
          <w:spacing w:val="-6"/>
          <w:lang w:val="sk-SK"/>
        </w:rPr>
        <w:t xml:space="preserve"> Bunkové</w:t>
      </w:r>
      <w:r w:rsidR="00AB26B3" w:rsidRPr="00AB26B3">
        <w:rPr>
          <w:noProof/>
          <w:spacing w:val="-6"/>
          <w:lang w:val="sk-SK"/>
        </w:rPr>
        <w:t xml:space="preserve"> a </w:t>
      </w:r>
      <w:r w:rsidRPr="00AB26B3">
        <w:rPr>
          <w:noProof/>
          <w:spacing w:val="-6"/>
          <w:lang w:val="sk-SK"/>
        </w:rPr>
        <w:t>genetické terapie</w:t>
      </w:r>
      <w:r w:rsidR="00AB26B3" w:rsidRPr="00AB26B3">
        <w:rPr>
          <w:noProof/>
          <w:spacing w:val="-6"/>
          <w:lang w:val="sk-SK"/>
        </w:rPr>
        <w:t xml:space="preserve"> a </w:t>
      </w:r>
      <w:r w:rsidRPr="00AB26B3">
        <w:rPr>
          <w:noProof/>
          <w:spacing w:val="-6"/>
          <w:lang w:val="sk-SK"/>
        </w:rPr>
        <w:t>hematologické klinické laboratóriá</w:t>
      </w:r>
      <w:r w:rsidR="00AB26B3" w:rsidRPr="00AB26B3">
        <w:rPr>
          <w:noProof/>
          <w:spacing w:val="-6"/>
          <w:lang w:val="sk-SK"/>
        </w:rPr>
        <w:t xml:space="preserve"> v </w:t>
      </w:r>
      <w:r w:rsidRPr="00AB26B3">
        <w:rPr>
          <w:noProof/>
          <w:spacing w:val="-6"/>
          <w:lang w:val="sk-SK"/>
        </w:rPr>
        <w:t>rámci všeobecnej nemocnice</w:t>
      </w:r>
      <w:r w:rsidR="00AB26B3" w:rsidRPr="00AB26B3">
        <w:rPr>
          <w:noProof/>
          <w:spacing w:val="-6"/>
          <w:lang w:val="sk-SK"/>
        </w:rPr>
        <w:t xml:space="preserve"> v </w:t>
      </w:r>
      <w:r w:rsidRPr="00AB26B3">
        <w:rPr>
          <w:noProof/>
          <w:spacing w:val="-6"/>
          <w:lang w:val="sk-SK"/>
        </w:rPr>
        <w:t>Solúne „Papanikolaou“ (identifikačné číslo opatrenia: 16793)</w:t>
      </w:r>
      <w:r w:rsidR="00AB26B3" w:rsidRPr="00AB26B3">
        <w:rPr>
          <w:noProof/>
          <w:spacing w:val="-6"/>
          <w:lang w:val="sk-SK"/>
        </w:rPr>
        <w:t>.</w:t>
      </w:r>
    </w:p>
    <w:p w14:paraId="72F4BCA8" w14:textId="4B2C3CB0"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pomôcť splniť zvýšené požiadavky na starostlivosť</w:t>
      </w:r>
      <w:r w:rsidR="00AB26B3" w:rsidRPr="00AB26B3">
        <w:rPr>
          <w:noProof/>
          <w:spacing w:val="-6"/>
          <w:lang w:val="sk-SK"/>
        </w:rPr>
        <w:t xml:space="preserve"> o </w:t>
      </w:r>
      <w:r w:rsidRPr="00AB26B3">
        <w:rPr>
          <w:noProof/>
          <w:spacing w:val="-6"/>
          <w:lang w:val="sk-SK"/>
        </w:rPr>
        <w:t>pacientov</w:t>
      </w:r>
      <w:r w:rsidR="00AB26B3" w:rsidRPr="00AB26B3">
        <w:rPr>
          <w:noProof/>
          <w:spacing w:val="-6"/>
          <w:lang w:val="sk-SK"/>
        </w:rPr>
        <w:t xml:space="preserve"> s </w:t>
      </w:r>
      <w:r w:rsidRPr="00AB26B3">
        <w:rPr>
          <w:noProof/>
          <w:spacing w:val="-6"/>
          <w:lang w:val="sk-SK"/>
        </w:rPr>
        <w:t>malígnymi hematologickými ochoreniami. Opatrenie pozostáva</w:t>
      </w:r>
      <w:r w:rsidR="00AB26B3" w:rsidRPr="00AB26B3">
        <w:rPr>
          <w:noProof/>
          <w:spacing w:val="-6"/>
          <w:lang w:val="sk-SK"/>
        </w:rPr>
        <w:t xml:space="preserve"> z </w:t>
      </w:r>
      <w:r w:rsidRPr="00AB26B3">
        <w:rPr>
          <w:noProof/>
          <w:spacing w:val="-6"/>
          <w:lang w:val="sk-SK"/>
        </w:rPr>
        <w:t>novej budovy postavenej</w:t>
      </w:r>
      <w:r w:rsidR="00AB26B3" w:rsidRPr="00AB26B3">
        <w:rPr>
          <w:noProof/>
          <w:spacing w:val="-6"/>
          <w:lang w:val="sk-SK"/>
        </w:rPr>
        <w:t xml:space="preserve"> v </w:t>
      </w:r>
      <w:r w:rsidRPr="00AB26B3">
        <w:rPr>
          <w:noProof/>
          <w:spacing w:val="-6"/>
          <w:lang w:val="sk-SK"/>
        </w:rPr>
        <w:t>nemocnici</w:t>
      </w:r>
      <w:r w:rsidR="00AB26B3" w:rsidRPr="00AB26B3">
        <w:rPr>
          <w:noProof/>
          <w:spacing w:val="-6"/>
          <w:lang w:val="sk-SK"/>
        </w:rPr>
        <w:t xml:space="preserve"> v </w:t>
      </w:r>
      <w:r w:rsidRPr="00AB26B3">
        <w:rPr>
          <w:noProof/>
          <w:spacing w:val="-6"/>
          <w:lang w:val="sk-SK"/>
        </w:rPr>
        <w:t>Papanikolaou,</w:t>
      </w:r>
      <w:r w:rsidR="00AB26B3" w:rsidRPr="00AB26B3">
        <w:rPr>
          <w:noProof/>
          <w:spacing w:val="-6"/>
          <w:lang w:val="sk-SK"/>
        </w:rPr>
        <w:t xml:space="preserve"> v </w:t>
      </w:r>
      <w:r w:rsidRPr="00AB26B3">
        <w:rPr>
          <w:noProof/>
          <w:spacing w:val="-6"/>
          <w:lang w:val="sk-SK"/>
        </w:rPr>
        <w:t>ktorej sa nachádzajú laboratóriá Cell &amp; Gene Therapy and Hematology Clinic.</w:t>
      </w:r>
    </w:p>
    <w:p w14:paraId="31F67EA1"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Osobná reforma lekárov (identifikačné číslo opatrenia: 16984)</w:t>
      </w:r>
    </w:p>
    <w:p w14:paraId="5864BB3B" w14:textId="072AE0FB" w:rsidR="00302FC1" w:rsidRPr="00AB26B3" w:rsidRDefault="00D64F26">
      <w:pPr>
        <w:pStyle w:val="P68B1DB1-Default39"/>
        <w:jc w:val="both"/>
        <w:rPr>
          <w:rFonts w:cs="Times New Roman"/>
          <w:noProof/>
          <w:spacing w:val="-6"/>
          <w:lang w:val="sk-SK"/>
        </w:rPr>
        <w:sectPr w:rsidR="00302FC1" w:rsidRPr="00AB26B3" w:rsidSect="00315FC0">
          <w:headerReference w:type="even" r:id="rId172"/>
          <w:headerReference w:type="default" r:id="rId173"/>
          <w:footerReference w:type="even" r:id="rId174"/>
          <w:footerReference w:type="default" r:id="rId175"/>
          <w:headerReference w:type="first" r:id="rId176"/>
          <w:footerReference w:type="first" r:id="rId177"/>
          <w:pgSz w:w="11906" w:h="16838"/>
          <w:pgMar w:top="1417" w:right="1417" w:bottom="1417" w:left="1417" w:header="708" w:footer="708" w:gutter="0"/>
          <w:cols w:space="708"/>
          <w:docGrid w:linePitch="360"/>
        </w:sectPr>
      </w:pPr>
      <w:r w:rsidRPr="00AB26B3">
        <w:rPr>
          <w:noProof/>
          <w:spacing w:val="-6"/>
          <w:lang w:val="sk-SK"/>
        </w:rPr>
        <w:t>Cieľom opatrenia je zvýšiť počet osobných lekárov zapísaných</w:t>
      </w:r>
      <w:r w:rsidR="00AB26B3" w:rsidRPr="00AB26B3">
        <w:rPr>
          <w:noProof/>
          <w:spacing w:val="-6"/>
          <w:lang w:val="sk-SK"/>
        </w:rPr>
        <w:t xml:space="preserve"> v </w:t>
      </w:r>
      <w:r w:rsidRPr="00AB26B3">
        <w:rPr>
          <w:noProof/>
          <w:spacing w:val="-6"/>
          <w:lang w:val="sk-SK"/>
        </w:rPr>
        <w:t>osobnom lekárskom systéme</w:t>
      </w:r>
      <w:r w:rsidR="00AB26B3" w:rsidRPr="00AB26B3">
        <w:rPr>
          <w:noProof/>
          <w:spacing w:val="-6"/>
          <w:lang w:val="sk-SK"/>
        </w:rPr>
        <w:t xml:space="preserve"> s </w:t>
      </w:r>
      <w:r w:rsidRPr="00AB26B3">
        <w:rPr>
          <w:noProof/>
          <w:spacing w:val="-6"/>
          <w:lang w:val="sk-SK"/>
        </w:rPr>
        <w:t>cieľom dosiahnuť pokrytie obyvateľstva</w:t>
      </w:r>
      <w:r w:rsidR="00AB26B3" w:rsidRPr="00AB26B3">
        <w:rPr>
          <w:noProof/>
          <w:spacing w:val="-6"/>
          <w:lang w:val="sk-SK"/>
        </w:rPr>
        <w:t xml:space="preserve"> a </w:t>
      </w:r>
      <w:r w:rsidRPr="00AB26B3">
        <w:rPr>
          <w:noProof/>
          <w:spacing w:val="-6"/>
          <w:lang w:val="sk-SK"/>
        </w:rPr>
        <w:t>registráciu obyvateľstva. Opatrenie pozostáva</w:t>
      </w:r>
      <w:r w:rsidR="00AB26B3" w:rsidRPr="00AB26B3">
        <w:rPr>
          <w:noProof/>
          <w:spacing w:val="-6"/>
          <w:lang w:val="sk-SK"/>
        </w:rPr>
        <w:t xml:space="preserve"> z </w:t>
      </w:r>
      <w:r w:rsidRPr="00AB26B3">
        <w:rPr>
          <w:noProof/>
          <w:spacing w:val="-6"/>
          <w:lang w:val="sk-SK"/>
        </w:rPr>
        <w:t>nového legislatívneho rámca na registráciu súčasných vidieckych lekárov ako osobných lekárov, čím sa vytvoria nové pracovné miesta podobné pracovným miestam osobných lekárov</w:t>
      </w:r>
      <w:r w:rsidR="00AB26B3" w:rsidRPr="00AB26B3">
        <w:rPr>
          <w:noProof/>
          <w:spacing w:val="-6"/>
          <w:lang w:val="sk-SK"/>
        </w:rPr>
        <w:t xml:space="preserve"> a </w:t>
      </w:r>
      <w:r w:rsidRPr="00AB26B3">
        <w:rPr>
          <w:noProof/>
          <w:spacing w:val="-6"/>
          <w:lang w:val="sk-SK"/>
        </w:rPr>
        <w:t>zavedie sa mechanizmus na stimulovanie lekárov, aby sa stali rezidentmi vo všeobecnej/rodinnej medicíne alebo</w:t>
      </w:r>
      <w:r w:rsidR="00AB26B3" w:rsidRPr="00AB26B3">
        <w:rPr>
          <w:noProof/>
          <w:spacing w:val="-6"/>
          <w:lang w:val="sk-SK"/>
        </w:rPr>
        <w:t xml:space="preserve"> v </w:t>
      </w:r>
      <w:r w:rsidRPr="00AB26B3">
        <w:rPr>
          <w:noProof/>
          <w:spacing w:val="-6"/>
          <w:lang w:val="sk-SK"/>
        </w:rPr>
        <w:t>internej medicíne. Zahŕňa aj aktiváciu registračných</w:t>
      </w:r>
      <w:r w:rsidR="00AB26B3" w:rsidRPr="00AB26B3">
        <w:rPr>
          <w:noProof/>
          <w:spacing w:val="-6"/>
          <w:lang w:val="sk-SK"/>
        </w:rPr>
        <w:t xml:space="preserve"> a </w:t>
      </w:r>
      <w:r w:rsidRPr="00AB26B3">
        <w:rPr>
          <w:noProof/>
          <w:spacing w:val="-6"/>
          <w:lang w:val="sk-SK"/>
        </w:rPr>
        <w:t>referenčných systémov.</w:t>
      </w:r>
    </w:p>
    <w:p w14:paraId="2B6FB0FC" w14:textId="1FF2573E" w:rsidR="00302FC1" w:rsidRPr="00AB26B3" w:rsidRDefault="00D64F26">
      <w:pPr>
        <w:pStyle w:val="P68B1DB1-Normal6"/>
        <w:spacing w:before="120" w:after="120" w:line="240" w:lineRule="auto"/>
        <w:jc w:val="both"/>
        <w:rPr>
          <w:noProof/>
          <w:spacing w:val="-6"/>
          <w:lang w:val="sk-SK"/>
        </w:rPr>
      </w:pPr>
      <w:r w:rsidRPr="00AB26B3">
        <w:rPr>
          <w:noProof/>
          <w:spacing w:val="-6"/>
          <w:lang w:val="sk-SK"/>
        </w:rPr>
        <w:t>J.2.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76E57242" w14:textId="5A4E5775" w:rsidR="00302FC1" w:rsidRPr="00AB26B3" w:rsidRDefault="00D64F26">
      <w:pPr>
        <w:pStyle w:val="P68B1DB1-Normal9"/>
        <w:keepNext/>
        <w:keepLines/>
        <w:spacing w:before="40" w:after="0" w:line="240" w:lineRule="auto"/>
        <w:jc w:val="both"/>
        <w:outlineLvl w:val="4"/>
        <w:rPr>
          <w:rFonts w:ascii="Times New Roman" w:hAnsi="Times New Roman"/>
          <w:noProof/>
          <w:spacing w:val="-6"/>
          <w:lang w:val="sk-SK"/>
        </w:rPr>
      </w:pPr>
      <w:r w:rsidRPr="00AB26B3">
        <w:rPr>
          <w:rFonts w:ascii="Times New Roman" w:hAnsi="Times New Roman"/>
          <w:noProof/>
          <w:spacing w:val="-6"/>
          <w:lang w:val="sk-SK"/>
        </w:rPr>
        <w:t>Kľúčová reforma 7: Reformy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urýchlenie investícií</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sektore zdravotnej starostlivosti – Zníženie vrátenia poskytnutých prostriedkov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racionalizácia výdavkov na zdravotnú starostlivosť (ID: 16816)</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614"/>
        <w:gridCol w:w="1163"/>
        <w:gridCol w:w="1449"/>
        <w:gridCol w:w="1717"/>
        <w:gridCol w:w="1306"/>
        <w:gridCol w:w="909"/>
        <w:gridCol w:w="764"/>
        <w:gridCol w:w="1119"/>
        <w:gridCol w:w="992"/>
        <w:gridCol w:w="4501"/>
      </w:tblGrid>
      <w:tr w:rsidR="00302FC1" w:rsidRPr="00AB26B3" w14:paraId="420DAB80" w14:textId="77777777">
        <w:trPr>
          <w:trHeight w:val="759"/>
          <w:tblHeader/>
          <w:jc w:val="center"/>
        </w:trPr>
        <w:tc>
          <w:tcPr>
            <w:tcW w:w="592" w:type="dxa"/>
            <w:vMerge w:val="restart"/>
            <w:shd w:val="clear" w:color="auto" w:fill="BDD7EE"/>
            <w:vAlign w:val="center"/>
            <w:hideMark/>
          </w:tcPr>
          <w:p w14:paraId="25BDEA30" w14:textId="26986DBB"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1614" w:type="dxa"/>
            <w:vMerge w:val="restart"/>
            <w:shd w:val="clear" w:color="auto" w:fill="BDD7EE"/>
            <w:vAlign w:val="center"/>
            <w:hideMark/>
          </w:tcPr>
          <w:p w14:paraId="01CDED23"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Súvisiace opatrenie (reforma alebo investícia)</w:t>
            </w:r>
          </w:p>
        </w:tc>
        <w:tc>
          <w:tcPr>
            <w:tcW w:w="1163" w:type="dxa"/>
            <w:vMerge w:val="restart"/>
            <w:shd w:val="clear" w:color="auto" w:fill="BDD7EE"/>
            <w:vAlign w:val="center"/>
            <w:hideMark/>
          </w:tcPr>
          <w:p w14:paraId="540F05F2"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Míľnik/cieľ</w:t>
            </w:r>
          </w:p>
        </w:tc>
        <w:tc>
          <w:tcPr>
            <w:tcW w:w="1350" w:type="dxa"/>
            <w:vMerge w:val="restart"/>
            <w:shd w:val="clear" w:color="auto" w:fill="BDD7EE"/>
            <w:vAlign w:val="center"/>
            <w:hideMark/>
          </w:tcPr>
          <w:p w14:paraId="5F63F187"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Názov</w:t>
            </w:r>
          </w:p>
        </w:tc>
        <w:tc>
          <w:tcPr>
            <w:tcW w:w="1717" w:type="dxa"/>
            <w:vMerge w:val="restart"/>
            <w:shd w:val="clear" w:color="auto" w:fill="BDD7EE"/>
            <w:vAlign w:val="center"/>
            <w:hideMark/>
          </w:tcPr>
          <w:p w14:paraId="1835A601" w14:textId="5FCF431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Kvalitatívne ukazovatele (pre míľniky)</w:t>
            </w:r>
          </w:p>
        </w:tc>
        <w:tc>
          <w:tcPr>
            <w:tcW w:w="2828" w:type="dxa"/>
            <w:gridSpan w:val="3"/>
            <w:shd w:val="clear" w:color="auto" w:fill="BDD7EE"/>
            <w:vAlign w:val="center"/>
            <w:hideMark/>
          </w:tcPr>
          <w:p w14:paraId="5D2E45A9" w14:textId="2D4DABAA"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 xml:space="preserve">Kvantitatívne ukazovatele </w:t>
            </w:r>
            <w:r w:rsidRPr="00AB26B3">
              <w:rPr>
                <w:noProof/>
                <w:spacing w:val="-6"/>
                <w:lang w:val="sk-SK"/>
              </w:rPr>
              <w:br/>
              <w:t xml:space="preserve"> (pre ciele)</w:t>
            </w:r>
          </w:p>
        </w:tc>
        <w:tc>
          <w:tcPr>
            <w:tcW w:w="1965" w:type="dxa"/>
            <w:gridSpan w:val="2"/>
            <w:shd w:val="clear" w:color="auto" w:fill="BDD7EE"/>
            <w:vAlign w:val="center"/>
            <w:hideMark/>
          </w:tcPr>
          <w:p w14:paraId="5333414E"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 xml:space="preserve">Orientačný harmonogram dokončenia </w:t>
            </w:r>
          </w:p>
        </w:tc>
        <w:tc>
          <w:tcPr>
            <w:tcW w:w="4501" w:type="dxa"/>
            <w:vMerge w:val="restart"/>
            <w:shd w:val="clear" w:color="auto" w:fill="BDD7EE"/>
            <w:vAlign w:val="center"/>
            <w:hideMark/>
          </w:tcPr>
          <w:p w14:paraId="705D302A" w14:textId="1F6F9F01"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3CD57BD7" w14:textId="77777777">
        <w:trPr>
          <w:trHeight w:val="532"/>
          <w:tblHeader/>
          <w:jc w:val="center"/>
        </w:trPr>
        <w:tc>
          <w:tcPr>
            <w:tcW w:w="592" w:type="dxa"/>
            <w:vMerge/>
            <w:vAlign w:val="center"/>
            <w:hideMark/>
          </w:tcPr>
          <w:p w14:paraId="21792B3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14" w:type="dxa"/>
            <w:vMerge/>
            <w:vAlign w:val="center"/>
            <w:hideMark/>
          </w:tcPr>
          <w:p w14:paraId="407C7F8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63" w:type="dxa"/>
            <w:vMerge/>
            <w:vAlign w:val="center"/>
            <w:hideMark/>
          </w:tcPr>
          <w:p w14:paraId="03362D8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50" w:type="dxa"/>
            <w:vMerge/>
            <w:vAlign w:val="center"/>
            <w:hideMark/>
          </w:tcPr>
          <w:p w14:paraId="507C42D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17" w:type="dxa"/>
            <w:vMerge/>
            <w:vAlign w:val="center"/>
            <w:hideMark/>
          </w:tcPr>
          <w:p w14:paraId="4A1D2CE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94" w:type="dxa"/>
            <w:shd w:val="clear" w:color="auto" w:fill="BDD7EE"/>
            <w:vAlign w:val="center"/>
            <w:hideMark/>
          </w:tcPr>
          <w:p w14:paraId="5C50F2AF"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Merná jednotka</w:t>
            </w:r>
          </w:p>
        </w:tc>
        <w:tc>
          <w:tcPr>
            <w:tcW w:w="870" w:type="dxa"/>
            <w:shd w:val="clear" w:color="auto" w:fill="BDD7EE"/>
            <w:vAlign w:val="center"/>
            <w:hideMark/>
          </w:tcPr>
          <w:p w14:paraId="287B1012"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 xml:space="preserve">Základná </w:t>
            </w:r>
          </w:p>
        </w:tc>
        <w:tc>
          <w:tcPr>
            <w:tcW w:w="764" w:type="dxa"/>
            <w:shd w:val="clear" w:color="auto" w:fill="BDD7EE"/>
            <w:vAlign w:val="center"/>
            <w:hideMark/>
          </w:tcPr>
          <w:p w14:paraId="14245CFB"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 xml:space="preserve">Cieľ </w:t>
            </w:r>
          </w:p>
        </w:tc>
        <w:tc>
          <w:tcPr>
            <w:tcW w:w="973" w:type="dxa"/>
            <w:shd w:val="clear" w:color="auto" w:fill="BDD7EE"/>
            <w:vAlign w:val="center"/>
            <w:hideMark/>
          </w:tcPr>
          <w:p w14:paraId="520FC5E0"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Štvrtina</w:t>
            </w:r>
          </w:p>
        </w:tc>
        <w:tc>
          <w:tcPr>
            <w:tcW w:w="992" w:type="dxa"/>
            <w:shd w:val="clear" w:color="auto" w:fill="BDD7EE"/>
            <w:vAlign w:val="center"/>
            <w:hideMark/>
          </w:tcPr>
          <w:p w14:paraId="42270129"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Rok</w:t>
            </w:r>
          </w:p>
        </w:tc>
        <w:tc>
          <w:tcPr>
            <w:tcW w:w="4501" w:type="dxa"/>
            <w:vMerge/>
            <w:vAlign w:val="center"/>
            <w:hideMark/>
          </w:tcPr>
          <w:p w14:paraId="6D64531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6923DE0E" w14:textId="77777777">
        <w:trPr>
          <w:trHeight w:val="309"/>
          <w:jc w:val="center"/>
        </w:trPr>
        <w:tc>
          <w:tcPr>
            <w:tcW w:w="592" w:type="dxa"/>
            <w:shd w:val="clear" w:color="auto" w:fill="C6EFCE"/>
            <w:noWrap/>
          </w:tcPr>
          <w:p w14:paraId="64FCCE2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153</w:t>
            </w:r>
          </w:p>
        </w:tc>
        <w:tc>
          <w:tcPr>
            <w:tcW w:w="1614" w:type="dxa"/>
            <w:shd w:val="clear" w:color="auto" w:fill="C6EFCE"/>
            <w:noWrap/>
          </w:tcPr>
          <w:p w14:paraId="517CBED3" w14:textId="17CFA50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 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163" w:type="dxa"/>
            <w:shd w:val="clear" w:color="auto" w:fill="C6EFCE"/>
            <w:noWrap/>
          </w:tcPr>
          <w:p w14:paraId="39B181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50" w:type="dxa"/>
            <w:shd w:val="clear" w:color="auto" w:fill="C6EFCE"/>
            <w:noWrap/>
          </w:tcPr>
          <w:p w14:paraId="69C7340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Vrátenie poskytnutých prostriedkov – nadobudnutie účinnosti právnych predpisov</w:t>
            </w:r>
          </w:p>
        </w:tc>
        <w:tc>
          <w:tcPr>
            <w:tcW w:w="1717" w:type="dxa"/>
            <w:shd w:val="clear" w:color="auto" w:fill="C6EFCE"/>
            <w:noWrap/>
          </w:tcPr>
          <w:p w14:paraId="1A234337" w14:textId="3EF6E8B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revidovaných právnych predpisov, ktorými sa zavádza rozdelenie rizika</w:t>
            </w:r>
            <w:r w:rsidR="00AB26B3" w:rsidRPr="00AB26B3">
              <w:rPr>
                <w:noProof/>
                <w:spacing w:val="-6"/>
                <w:lang w:val="sk-SK"/>
              </w:rPr>
              <w:t xml:space="preserve"> a </w:t>
            </w:r>
            <w:r w:rsidRPr="00AB26B3">
              <w:rPr>
                <w:noProof/>
                <w:spacing w:val="-6"/>
                <w:lang w:val="sk-SK"/>
              </w:rPr>
              <w:t>záväzné ciele minimálneho zníženia spätného vymáhania</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harmonogramom uvedeným</w:t>
            </w:r>
            <w:r w:rsidR="00AB26B3" w:rsidRPr="00AB26B3">
              <w:rPr>
                <w:noProof/>
                <w:spacing w:val="-6"/>
                <w:lang w:val="sk-SK"/>
              </w:rPr>
              <w:t xml:space="preserve"> v </w:t>
            </w:r>
            <w:r w:rsidRPr="00AB26B3">
              <w:rPr>
                <w:noProof/>
                <w:spacing w:val="-6"/>
                <w:lang w:val="sk-SK"/>
              </w:rPr>
              <w:t xml:space="preserve">opise. </w:t>
            </w:r>
          </w:p>
        </w:tc>
        <w:tc>
          <w:tcPr>
            <w:tcW w:w="1194" w:type="dxa"/>
            <w:shd w:val="clear" w:color="auto" w:fill="C6EFCE"/>
            <w:noWrap/>
          </w:tcPr>
          <w:p w14:paraId="55D64C9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0" w:type="dxa"/>
            <w:shd w:val="clear" w:color="auto" w:fill="C6EFCE"/>
            <w:noWrap/>
          </w:tcPr>
          <w:p w14:paraId="19449B1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64" w:type="dxa"/>
            <w:shd w:val="clear" w:color="auto" w:fill="C6EFCE"/>
            <w:noWrap/>
          </w:tcPr>
          <w:p w14:paraId="77FD91B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73" w:type="dxa"/>
            <w:shd w:val="clear" w:color="auto" w:fill="C6EFCE"/>
            <w:noWrap/>
          </w:tcPr>
          <w:p w14:paraId="55CC490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992" w:type="dxa"/>
            <w:shd w:val="clear" w:color="auto" w:fill="C6EFCE"/>
            <w:noWrap/>
          </w:tcPr>
          <w:p w14:paraId="191ACE9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501" w:type="dxa"/>
            <w:shd w:val="clear" w:color="auto" w:fill="C6EFCE"/>
            <w:noWrap/>
          </w:tcPr>
          <w:p w14:paraId="3474350C" w14:textId="4F361B7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právneho rámca (primárneho práva) pre rozdelenie rizika pri výpočte vrátenia poskytnutých prostriedkov stanovením záväzného cieľa zníženia vrátenia poskytnutých prostriedkov</w:t>
            </w:r>
            <w:r w:rsidR="00AB26B3" w:rsidRPr="00AB26B3">
              <w:rPr>
                <w:noProof/>
                <w:spacing w:val="-6"/>
                <w:lang w:val="sk-SK"/>
              </w:rPr>
              <w:t xml:space="preserve"> v </w:t>
            </w:r>
            <w:r w:rsidRPr="00AB26B3">
              <w:rPr>
                <w:noProof/>
                <w:spacing w:val="-6"/>
                <w:lang w:val="sk-SK"/>
              </w:rPr>
              <w:t>nasledujúcich rokoch. Cieľom reformy je minimálne zníženie súm spätne získaných prostriedkov</w:t>
            </w:r>
            <w:r w:rsidR="00AB26B3" w:rsidRPr="00AB26B3">
              <w:rPr>
                <w:noProof/>
                <w:spacing w:val="-6"/>
                <w:lang w:val="sk-SK"/>
              </w:rPr>
              <w:t xml:space="preserve"> o </w:t>
            </w:r>
            <w:r w:rsidRPr="00AB26B3">
              <w:rPr>
                <w:noProof/>
                <w:spacing w:val="-6"/>
                <w:lang w:val="sk-SK"/>
              </w:rPr>
              <w:t>50 000 000 EUR (2022), 150 000 000 EUR (2023), 300 000 000 EUR (2024)</w:t>
            </w:r>
            <w:r w:rsidR="00AB26B3" w:rsidRPr="00AB26B3">
              <w:rPr>
                <w:noProof/>
                <w:spacing w:val="-6"/>
                <w:lang w:val="sk-SK"/>
              </w:rPr>
              <w:t xml:space="preserve"> a </w:t>
            </w:r>
            <w:r w:rsidRPr="00AB26B3">
              <w:rPr>
                <w:noProof/>
                <w:spacing w:val="-6"/>
                <w:lang w:val="sk-SK"/>
              </w:rPr>
              <w:t>400 000 000 EUR (2025)</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 Pokiaľ sa to nedosiahne, rozdiel medzi cieľovým znížením</w:t>
            </w:r>
            <w:r w:rsidR="00AB26B3" w:rsidRPr="00AB26B3">
              <w:rPr>
                <w:noProof/>
                <w:spacing w:val="-6"/>
                <w:lang w:val="sk-SK"/>
              </w:rPr>
              <w:t xml:space="preserve"> a </w:t>
            </w:r>
            <w:r w:rsidRPr="00AB26B3">
              <w:rPr>
                <w:noProof/>
                <w:spacing w:val="-6"/>
                <w:lang w:val="sk-SK"/>
              </w:rPr>
              <w:t>skutočným znížením za každý rok sa</w:t>
            </w:r>
            <w:r w:rsidR="00AB26B3" w:rsidRPr="00AB26B3">
              <w:rPr>
                <w:noProof/>
                <w:spacing w:val="-6"/>
                <w:lang w:val="sk-SK"/>
              </w:rPr>
              <w:t xml:space="preserve"> z </w:t>
            </w:r>
            <w:r w:rsidRPr="00AB26B3">
              <w:rPr>
                <w:noProof/>
                <w:spacing w:val="-6"/>
                <w:lang w:val="sk-SK"/>
              </w:rPr>
              <w:t>farmaceutického priemyslu spätne nezíska</w:t>
            </w:r>
            <w:r w:rsidR="00AB26B3" w:rsidRPr="00AB26B3">
              <w:rPr>
                <w:noProof/>
                <w:spacing w:val="-6"/>
                <w:lang w:val="sk-SK"/>
              </w:rPr>
              <w:t xml:space="preserve"> a </w:t>
            </w:r>
            <w:r w:rsidRPr="00AB26B3">
              <w:rPr>
                <w:noProof/>
                <w:spacing w:val="-6"/>
                <w:lang w:val="sk-SK"/>
              </w:rPr>
              <w:t>príslušná suma sa uhradí zo štátneho rozpočtu až do cieleného zníženia súm spätne získaných prostriedkov.</w:t>
            </w:r>
          </w:p>
        </w:tc>
      </w:tr>
      <w:tr w:rsidR="00302FC1" w:rsidRPr="00AB26B3" w14:paraId="756DCB51" w14:textId="77777777">
        <w:trPr>
          <w:trHeight w:val="309"/>
          <w:jc w:val="center"/>
        </w:trPr>
        <w:tc>
          <w:tcPr>
            <w:tcW w:w="592" w:type="dxa"/>
            <w:shd w:val="clear" w:color="auto" w:fill="C6EFCE"/>
            <w:noWrap/>
          </w:tcPr>
          <w:p w14:paraId="200AB0F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154</w:t>
            </w:r>
          </w:p>
        </w:tc>
        <w:tc>
          <w:tcPr>
            <w:tcW w:w="1614" w:type="dxa"/>
            <w:shd w:val="clear" w:color="auto" w:fill="C6EFCE"/>
            <w:noWrap/>
          </w:tcPr>
          <w:p w14:paraId="55344441" w14:textId="6465EF1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 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163" w:type="dxa"/>
            <w:shd w:val="clear" w:color="auto" w:fill="C6EFCE"/>
            <w:noWrap/>
          </w:tcPr>
          <w:p w14:paraId="512B5ED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50" w:type="dxa"/>
            <w:shd w:val="clear" w:color="auto" w:fill="C6EFCE"/>
            <w:noWrap/>
          </w:tcPr>
          <w:p w14:paraId="07E2F15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spätne získaných prostriedkov 50000000 – krok 1</w:t>
            </w:r>
          </w:p>
        </w:tc>
        <w:tc>
          <w:tcPr>
            <w:tcW w:w="1717" w:type="dxa"/>
            <w:shd w:val="clear" w:color="auto" w:fill="C6EFCE"/>
            <w:noWrap/>
          </w:tcPr>
          <w:p w14:paraId="285090A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4" w:type="dxa"/>
            <w:shd w:val="clear" w:color="auto" w:fill="C6EFCE"/>
            <w:noWrap/>
          </w:tcPr>
          <w:p w14:paraId="35C97962" w14:textId="602F7E5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sumy spätného vymáhania</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 (v miliónoch EUR)</w:t>
            </w:r>
          </w:p>
        </w:tc>
        <w:tc>
          <w:tcPr>
            <w:tcW w:w="870" w:type="dxa"/>
            <w:shd w:val="clear" w:color="auto" w:fill="C6EFCE"/>
            <w:noWrap/>
          </w:tcPr>
          <w:p w14:paraId="0D4278F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64" w:type="dxa"/>
            <w:shd w:val="clear" w:color="auto" w:fill="C6EFCE"/>
            <w:noWrap/>
          </w:tcPr>
          <w:p w14:paraId="4A27B02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50</w:t>
            </w:r>
          </w:p>
        </w:tc>
        <w:tc>
          <w:tcPr>
            <w:tcW w:w="973" w:type="dxa"/>
            <w:shd w:val="clear" w:color="auto" w:fill="C6EFCE"/>
            <w:noWrap/>
          </w:tcPr>
          <w:p w14:paraId="6F9E0E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92" w:type="dxa"/>
            <w:shd w:val="clear" w:color="auto" w:fill="C6EFCE"/>
            <w:noWrap/>
          </w:tcPr>
          <w:p w14:paraId="1DA21D0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501" w:type="dxa"/>
            <w:shd w:val="clear" w:color="auto" w:fill="C6EFCE"/>
            <w:noWrap/>
          </w:tcPr>
          <w:p w14:paraId="6F3F9616" w14:textId="619B92D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Presadzovať predtým prijaté opatrenia na zvýšenie efektívnosti</w:t>
            </w:r>
            <w:r w:rsidR="00AB26B3" w:rsidRPr="00AB26B3">
              <w:rPr>
                <w:noProof/>
                <w:spacing w:val="-6"/>
                <w:lang w:val="sk-SK"/>
              </w:rPr>
              <w:t xml:space="preserve"> s </w:t>
            </w:r>
            <w:r w:rsidRPr="00AB26B3">
              <w:rPr>
                <w:noProof/>
                <w:spacing w:val="-6"/>
                <w:lang w:val="sk-SK"/>
              </w:rPr>
              <w:t>cieľom dosiahnuť zníženie spätného vrátenia liekov za rok 2022</w:t>
            </w:r>
            <w:r w:rsidR="00AB26B3" w:rsidRPr="00AB26B3">
              <w:rPr>
                <w:noProof/>
                <w:spacing w:val="-6"/>
                <w:lang w:val="sk-SK"/>
              </w:rPr>
              <w:t xml:space="preserve"> v </w:t>
            </w:r>
            <w:r w:rsidRPr="00AB26B3">
              <w:rPr>
                <w:noProof/>
                <w:spacing w:val="-6"/>
                <w:lang w:val="sk-SK"/>
              </w:rPr>
              <w:t>prípade ambulantných aj nemocničných liekov</w:t>
            </w:r>
            <w:r w:rsidR="00AB26B3" w:rsidRPr="00AB26B3">
              <w:rPr>
                <w:noProof/>
                <w:spacing w:val="-6"/>
                <w:lang w:val="sk-SK"/>
              </w:rPr>
              <w:t xml:space="preserve"> o </w:t>
            </w:r>
            <w:r w:rsidRPr="00AB26B3">
              <w:rPr>
                <w:noProof/>
                <w:spacing w:val="-6"/>
                <w:lang w:val="sk-SK"/>
              </w:rPr>
              <w:t>50 000 000 EUR</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 Pokiaľ sa to nedosiahne, rozdiel medzi cieľovým znížením</w:t>
            </w:r>
            <w:r w:rsidR="00AB26B3" w:rsidRPr="00AB26B3">
              <w:rPr>
                <w:noProof/>
                <w:spacing w:val="-6"/>
                <w:lang w:val="sk-SK"/>
              </w:rPr>
              <w:t xml:space="preserve"> a </w:t>
            </w:r>
            <w:r w:rsidRPr="00AB26B3">
              <w:rPr>
                <w:noProof/>
                <w:spacing w:val="-6"/>
                <w:lang w:val="sk-SK"/>
              </w:rPr>
              <w:t>skutočným znížením za každý rok sa</w:t>
            </w:r>
            <w:r w:rsidR="00AB26B3" w:rsidRPr="00AB26B3">
              <w:rPr>
                <w:noProof/>
                <w:spacing w:val="-6"/>
                <w:lang w:val="sk-SK"/>
              </w:rPr>
              <w:t xml:space="preserve"> z </w:t>
            </w:r>
            <w:r w:rsidRPr="00AB26B3">
              <w:rPr>
                <w:noProof/>
                <w:spacing w:val="-6"/>
                <w:lang w:val="sk-SK"/>
              </w:rPr>
              <w:t>farmaceutického priemyslu nevracia</w:t>
            </w:r>
            <w:r w:rsidR="00AB26B3" w:rsidRPr="00AB26B3">
              <w:rPr>
                <w:noProof/>
                <w:spacing w:val="-6"/>
                <w:lang w:val="sk-SK"/>
              </w:rPr>
              <w:t xml:space="preserve"> a </w:t>
            </w:r>
            <w:r w:rsidRPr="00AB26B3">
              <w:rPr>
                <w:noProof/>
                <w:spacing w:val="-6"/>
                <w:lang w:val="sk-SK"/>
              </w:rPr>
              <w:t xml:space="preserve">príslušná suma sa hradí zo štátneho rozpočtu až do výšky 50 000 000 EUR. </w:t>
            </w:r>
          </w:p>
        </w:tc>
      </w:tr>
      <w:tr w:rsidR="00302FC1" w:rsidRPr="00AB26B3" w14:paraId="6304B6F1" w14:textId="77777777">
        <w:trPr>
          <w:trHeight w:val="309"/>
          <w:jc w:val="center"/>
        </w:trPr>
        <w:tc>
          <w:tcPr>
            <w:tcW w:w="592" w:type="dxa"/>
            <w:shd w:val="clear" w:color="auto" w:fill="C6EFCE"/>
            <w:noWrap/>
          </w:tcPr>
          <w:p w14:paraId="101DD00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155</w:t>
            </w:r>
          </w:p>
        </w:tc>
        <w:tc>
          <w:tcPr>
            <w:tcW w:w="1614" w:type="dxa"/>
            <w:shd w:val="clear" w:color="auto" w:fill="C6EFCE"/>
            <w:noWrap/>
          </w:tcPr>
          <w:p w14:paraId="62C32C4E" w14:textId="3354E7F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 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163" w:type="dxa"/>
            <w:shd w:val="clear" w:color="auto" w:fill="C6EFCE"/>
            <w:noWrap/>
          </w:tcPr>
          <w:p w14:paraId="7487A54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50" w:type="dxa"/>
            <w:shd w:val="clear" w:color="auto" w:fill="C6EFCE"/>
            <w:noWrap/>
          </w:tcPr>
          <w:p w14:paraId="12DC285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spätne získaných prostriedkov 150000000 – 2. krok</w:t>
            </w:r>
          </w:p>
        </w:tc>
        <w:tc>
          <w:tcPr>
            <w:tcW w:w="1717" w:type="dxa"/>
            <w:shd w:val="clear" w:color="auto" w:fill="C6EFCE"/>
            <w:noWrap/>
          </w:tcPr>
          <w:p w14:paraId="2304C7E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4" w:type="dxa"/>
            <w:shd w:val="clear" w:color="auto" w:fill="C6EFCE"/>
            <w:noWrap/>
          </w:tcPr>
          <w:p w14:paraId="0975E680" w14:textId="79635E6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sumy spätného vymáhania</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 (v miliónoch EUR)</w:t>
            </w:r>
          </w:p>
        </w:tc>
        <w:tc>
          <w:tcPr>
            <w:tcW w:w="870" w:type="dxa"/>
            <w:shd w:val="clear" w:color="auto" w:fill="C6EFCE"/>
            <w:noWrap/>
          </w:tcPr>
          <w:p w14:paraId="0B18807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64" w:type="dxa"/>
            <w:shd w:val="clear" w:color="auto" w:fill="C6EFCE"/>
            <w:noWrap/>
          </w:tcPr>
          <w:p w14:paraId="4604FF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150</w:t>
            </w:r>
          </w:p>
        </w:tc>
        <w:tc>
          <w:tcPr>
            <w:tcW w:w="973" w:type="dxa"/>
            <w:shd w:val="clear" w:color="auto" w:fill="C6EFCE"/>
            <w:noWrap/>
          </w:tcPr>
          <w:p w14:paraId="48B90A1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92" w:type="dxa"/>
            <w:shd w:val="clear" w:color="auto" w:fill="C6EFCE"/>
            <w:noWrap/>
          </w:tcPr>
          <w:p w14:paraId="7DC5A81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501" w:type="dxa"/>
            <w:shd w:val="clear" w:color="auto" w:fill="C6EFCE"/>
            <w:noWrap/>
          </w:tcPr>
          <w:p w14:paraId="22CE64FB" w14:textId="0131E65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Presadzovať predtým prijaté opatrenia na zvýšenie efektívnosti</w:t>
            </w:r>
            <w:r w:rsidR="00AB26B3" w:rsidRPr="00AB26B3">
              <w:rPr>
                <w:noProof/>
                <w:spacing w:val="-6"/>
                <w:lang w:val="sk-SK"/>
              </w:rPr>
              <w:t xml:space="preserve"> s </w:t>
            </w:r>
            <w:r w:rsidRPr="00AB26B3">
              <w:rPr>
                <w:noProof/>
                <w:spacing w:val="-6"/>
                <w:lang w:val="sk-SK"/>
              </w:rPr>
              <w:t>cieľom dosiahnuť zníženie spätného vrátenia liekov za rok 2023</w:t>
            </w:r>
            <w:r w:rsidR="00AB26B3" w:rsidRPr="00AB26B3">
              <w:rPr>
                <w:noProof/>
                <w:spacing w:val="-6"/>
                <w:lang w:val="sk-SK"/>
              </w:rPr>
              <w:t xml:space="preserve"> v </w:t>
            </w:r>
            <w:r w:rsidRPr="00AB26B3">
              <w:rPr>
                <w:noProof/>
                <w:spacing w:val="-6"/>
                <w:lang w:val="sk-SK"/>
              </w:rPr>
              <w:t>prípade ambulantných aj nemocničných liekov</w:t>
            </w:r>
            <w:r w:rsidR="00AB26B3" w:rsidRPr="00AB26B3">
              <w:rPr>
                <w:noProof/>
                <w:spacing w:val="-6"/>
                <w:lang w:val="sk-SK"/>
              </w:rPr>
              <w:t xml:space="preserve"> o </w:t>
            </w:r>
            <w:r w:rsidRPr="00AB26B3">
              <w:rPr>
                <w:noProof/>
                <w:spacing w:val="-6"/>
                <w:lang w:val="sk-SK"/>
              </w:rPr>
              <w:t>150 000 000 EUR</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 čím sa podporí odolnosť systému zdravotnej starostlivosti. Pokiaľ sa to nedosiahne, rozdiel medzi cieľovým znížením</w:t>
            </w:r>
            <w:r w:rsidR="00AB26B3" w:rsidRPr="00AB26B3">
              <w:rPr>
                <w:noProof/>
                <w:spacing w:val="-6"/>
                <w:lang w:val="sk-SK"/>
              </w:rPr>
              <w:t xml:space="preserve"> a </w:t>
            </w:r>
            <w:r w:rsidRPr="00AB26B3">
              <w:rPr>
                <w:noProof/>
                <w:spacing w:val="-6"/>
                <w:lang w:val="sk-SK"/>
              </w:rPr>
              <w:t>skutočným znížením za každý rok sa</w:t>
            </w:r>
            <w:r w:rsidR="00AB26B3" w:rsidRPr="00AB26B3">
              <w:rPr>
                <w:noProof/>
                <w:spacing w:val="-6"/>
                <w:lang w:val="sk-SK"/>
              </w:rPr>
              <w:t xml:space="preserve"> z </w:t>
            </w:r>
            <w:r w:rsidRPr="00AB26B3">
              <w:rPr>
                <w:noProof/>
                <w:spacing w:val="-6"/>
                <w:lang w:val="sk-SK"/>
              </w:rPr>
              <w:t>farmaceutického priemyslu nevracia</w:t>
            </w:r>
            <w:r w:rsidR="00AB26B3" w:rsidRPr="00AB26B3">
              <w:rPr>
                <w:noProof/>
                <w:spacing w:val="-6"/>
                <w:lang w:val="sk-SK"/>
              </w:rPr>
              <w:t xml:space="preserve"> a </w:t>
            </w:r>
            <w:r w:rsidRPr="00AB26B3">
              <w:rPr>
                <w:noProof/>
                <w:spacing w:val="-6"/>
                <w:lang w:val="sk-SK"/>
              </w:rPr>
              <w:t>príslušná suma sa hradí zo štátneho rozpočtu až do výšky 150 000 000 EUR.</w:t>
            </w:r>
          </w:p>
        </w:tc>
      </w:tr>
      <w:tr w:rsidR="00302FC1" w:rsidRPr="00AB26B3" w14:paraId="7E084714" w14:textId="77777777">
        <w:trPr>
          <w:trHeight w:val="309"/>
          <w:jc w:val="center"/>
        </w:trPr>
        <w:tc>
          <w:tcPr>
            <w:tcW w:w="592" w:type="dxa"/>
            <w:shd w:val="clear" w:color="auto" w:fill="C6EFCE"/>
            <w:noWrap/>
          </w:tcPr>
          <w:p w14:paraId="46EB198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156</w:t>
            </w:r>
          </w:p>
        </w:tc>
        <w:tc>
          <w:tcPr>
            <w:tcW w:w="1614" w:type="dxa"/>
            <w:shd w:val="clear" w:color="auto" w:fill="C6EFCE"/>
            <w:noWrap/>
          </w:tcPr>
          <w:p w14:paraId="443E87E3" w14:textId="167C0A6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 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163" w:type="dxa"/>
            <w:shd w:val="clear" w:color="auto" w:fill="C6EFCE"/>
            <w:noWrap/>
          </w:tcPr>
          <w:p w14:paraId="2DEFEC6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50" w:type="dxa"/>
            <w:shd w:val="clear" w:color="auto" w:fill="C6EFCE"/>
            <w:noWrap/>
          </w:tcPr>
          <w:p w14:paraId="46EA46A2" w14:textId="60BB2FC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Dôkaz</w:t>
            </w:r>
            <w:r w:rsidR="00AB26B3" w:rsidRPr="00AB26B3">
              <w:rPr>
                <w:noProof/>
                <w:spacing w:val="-6"/>
                <w:lang w:val="sk-SK"/>
              </w:rPr>
              <w:t xml:space="preserve"> o </w:t>
            </w:r>
            <w:r w:rsidRPr="00AB26B3">
              <w:rPr>
                <w:noProof/>
                <w:spacing w:val="-6"/>
                <w:lang w:val="sk-SK"/>
              </w:rPr>
              <w:t>farmaceutických investíciách do výskumu</w:t>
            </w:r>
            <w:r w:rsidR="00AB26B3" w:rsidRPr="00AB26B3">
              <w:rPr>
                <w:noProof/>
                <w:spacing w:val="-6"/>
                <w:lang w:val="sk-SK"/>
              </w:rPr>
              <w:t xml:space="preserve"> a </w:t>
            </w:r>
            <w:r w:rsidRPr="00AB26B3">
              <w:rPr>
                <w:noProof/>
                <w:spacing w:val="-6"/>
                <w:lang w:val="sk-SK"/>
              </w:rPr>
              <w:t>vývoja – 1. krok</w:t>
            </w:r>
          </w:p>
        </w:tc>
        <w:tc>
          <w:tcPr>
            <w:tcW w:w="1717" w:type="dxa"/>
            <w:shd w:val="clear" w:color="auto" w:fill="C6EFCE"/>
            <w:noWrap/>
          </w:tcPr>
          <w:p w14:paraId="24A4927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4" w:type="dxa"/>
            <w:shd w:val="clear" w:color="auto" w:fill="C6EFCE"/>
            <w:noWrap/>
          </w:tcPr>
          <w:p w14:paraId="5892A781" w14:textId="2AFB320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Investície (v mil. EUR) uplatnené prostredníctvom kompenzácií</w:t>
            </w:r>
            <w:r w:rsidR="00AB26B3" w:rsidRPr="00AB26B3">
              <w:rPr>
                <w:noProof/>
                <w:spacing w:val="-6"/>
                <w:lang w:val="sk-SK"/>
              </w:rPr>
              <w:t xml:space="preserve"> v </w:t>
            </w:r>
            <w:r w:rsidRPr="00AB26B3">
              <w:rPr>
                <w:noProof/>
                <w:spacing w:val="-6"/>
                <w:lang w:val="sk-SK"/>
              </w:rPr>
              <w:t>rovnakej výške spätne získanými sumami</w:t>
            </w:r>
          </w:p>
        </w:tc>
        <w:tc>
          <w:tcPr>
            <w:tcW w:w="870" w:type="dxa"/>
            <w:shd w:val="clear" w:color="auto" w:fill="C6EFCE"/>
            <w:noWrap/>
          </w:tcPr>
          <w:p w14:paraId="0D30F16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64" w:type="dxa"/>
            <w:shd w:val="clear" w:color="auto" w:fill="C6EFCE"/>
            <w:noWrap/>
          </w:tcPr>
          <w:p w14:paraId="29A8F7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117</w:t>
            </w:r>
          </w:p>
        </w:tc>
        <w:tc>
          <w:tcPr>
            <w:tcW w:w="973" w:type="dxa"/>
            <w:shd w:val="clear" w:color="auto" w:fill="C6EFCE"/>
            <w:noWrap/>
          </w:tcPr>
          <w:p w14:paraId="522014A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92" w:type="dxa"/>
            <w:shd w:val="clear" w:color="auto" w:fill="C6EFCE"/>
            <w:noWrap/>
          </w:tcPr>
          <w:p w14:paraId="33C51C3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501" w:type="dxa"/>
            <w:shd w:val="clear" w:color="auto" w:fill="C6EFCE"/>
            <w:noWrap/>
          </w:tcPr>
          <w:p w14:paraId="2BD74F41" w14:textId="002AC20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Realizovať investície do výskumu</w:t>
            </w:r>
            <w:r w:rsidR="00AB26B3" w:rsidRPr="00AB26B3">
              <w:rPr>
                <w:noProof/>
                <w:spacing w:val="-6"/>
                <w:lang w:val="sk-SK"/>
              </w:rPr>
              <w:t xml:space="preserve"> a </w:t>
            </w:r>
            <w:r w:rsidRPr="00AB26B3">
              <w:rPr>
                <w:noProof/>
                <w:spacing w:val="-6"/>
                <w:lang w:val="sk-SK"/>
              </w:rPr>
              <w:t>vývoja liekov vo výške 117 000 000 EUR. Investície sa potvrdia vydaním kompenzačných certifikátov príslušným orgánom vo výške 117 000 000 EUR.</w:t>
            </w:r>
          </w:p>
        </w:tc>
      </w:tr>
      <w:tr w:rsidR="00302FC1" w:rsidRPr="00AB26B3" w14:paraId="7984667C" w14:textId="77777777">
        <w:trPr>
          <w:trHeight w:val="309"/>
          <w:jc w:val="center"/>
        </w:trPr>
        <w:tc>
          <w:tcPr>
            <w:tcW w:w="592" w:type="dxa"/>
            <w:shd w:val="clear" w:color="auto" w:fill="C6EFCE"/>
            <w:noWrap/>
          </w:tcPr>
          <w:p w14:paraId="1E9BBBA2" w14:textId="77777777" w:rsidR="00302FC1" w:rsidRPr="00AB26B3" w:rsidRDefault="00D64F26">
            <w:pPr>
              <w:pStyle w:val="P68B1DB1-Normal12"/>
              <w:spacing w:line="240" w:lineRule="auto"/>
              <w:rPr>
                <w:noProof/>
                <w:spacing w:val="-6"/>
                <w:lang w:val="sk-SK"/>
              </w:rPr>
            </w:pPr>
            <w:r w:rsidRPr="00AB26B3">
              <w:rPr>
                <w:noProof/>
                <w:spacing w:val="-6"/>
                <w:lang w:val="sk-SK"/>
              </w:rPr>
              <w:t>156a</w:t>
            </w:r>
          </w:p>
        </w:tc>
        <w:tc>
          <w:tcPr>
            <w:tcW w:w="1614" w:type="dxa"/>
            <w:shd w:val="clear" w:color="auto" w:fill="C6EFCE"/>
            <w:noWrap/>
          </w:tcPr>
          <w:p w14:paraId="577A08F2" w14:textId="7D3A150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 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163" w:type="dxa"/>
            <w:shd w:val="clear" w:color="auto" w:fill="C6EFCE"/>
            <w:noWrap/>
          </w:tcPr>
          <w:p w14:paraId="7FB6169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50" w:type="dxa"/>
            <w:shd w:val="clear" w:color="auto" w:fill="C6EFCE"/>
            <w:noWrap/>
          </w:tcPr>
          <w:p w14:paraId="79E09FE1" w14:textId="618DD80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Dôkaz</w:t>
            </w:r>
            <w:r w:rsidR="00AB26B3" w:rsidRPr="00AB26B3">
              <w:rPr>
                <w:noProof/>
                <w:spacing w:val="-6"/>
                <w:lang w:val="sk-SK"/>
              </w:rPr>
              <w:t xml:space="preserve"> o </w:t>
            </w:r>
            <w:r w:rsidRPr="00AB26B3">
              <w:rPr>
                <w:noProof/>
                <w:spacing w:val="-6"/>
                <w:lang w:val="sk-SK"/>
              </w:rPr>
              <w:t>farmaceutických investíciách do výskumu</w:t>
            </w:r>
            <w:r w:rsidR="00AB26B3" w:rsidRPr="00AB26B3">
              <w:rPr>
                <w:noProof/>
                <w:spacing w:val="-6"/>
                <w:lang w:val="sk-SK"/>
              </w:rPr>
              <w:t xml:space="preserve"> a </w:t>
            </w:r>
            <w:r w:rsidRPr="00AB26B3">
              <w:rPr>
                <w:noProof/>
                <w:spacing w:val="-6"/>
                <w:lang w:val="sk-SK"/>
              </w:rPr>
              <w:t>vývoja – 2. krok</w:t>
            </w:r>
          </w:p>
        </w:tc>
        <w:tc>
          <w:tcPr>
            <w:tcW w:w="1717" w:type="dxa"/>
            <w:shd w:val="clear" w:color="auto" w:fill="C6EFCE"/>
            <w:noWrap/>
          </w:tcPr>
          <w:p w14:paraId="39627DD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4" w:type="dxa"/>
            <w:shd w:val="clear" w:color="auto" w:fill="C6EFCE"/>
            <w:noWrap/>
          </w:tcPr>
          <w:p w14:paraId="12835C55" w14:textId="71927C8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Investície (v mil. EUR) uplatnené prostredníctvom kompenzácií</w:t>
            </w:r>
            <w:r w:rsidR="00AB26B3" w:rsidRPr="00AB26B3">
              <w:rPr>
                <w:noProof/>
                <w:spacing w:val="-6"/>
                <w:lang w:val="sk-SK"/>
              </w:rPr>
              <w:t xml:space="preserve"> v </w:t>
            </w:r>
            <w:r w:rsidRPr="00AB26B3">
              <w:rPr>
                <w:noProof/>
                <w:spacing w:val="-6"/>
                <w:lang w:val="sk-SK"/>
              </w:rPr>
              <w:t>rovnakej výške spätne získanými sumami</w:t>
            </w:r>
          </w:p>
        </w:tc>
        <w:tc>
          <w:tcPr>
            <w:tcW w:w="870" w:type="dxa"/>
            <w:shd w:val="clear" w:color="auto" w:fill="C6EFCE"/>
            <w:noWrap/>
          </w:tcPr>
          <w:p w14:paraId="5479E2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117</w:t>
            </w:r>
          </w:p>
        </w:tc>
        <w:tc>
          <w:tcPr>
            <w:tcW w:w="764" w:type="dxa"/>
            <w:shd w:val="clear" w:color="auto" w:fill="C6EFCE"/>
            <w:noWrap/>
          </w:tcPr>
          <w:p w14:paraId="62F5F5F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250</w:t>
            </w:r>
          </w:p>
        </w:tc>
        <w:tc>
          <w:tcPr>
            <w:tcW w:w="973" w:type="dxa"/>
            <w:shd w:val="clear" w:color="auto" w:fill="C6EFCE"/>
            <w:noWrap/>
          </w:tcPr>
          <w:p w14:paraId="10EB144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92" w:type="dxa"/>
            <w:shd w:val="clear" w:color="auto" w:fill="C6EFCE"/>
            <w:noWrap/>
          </w:tcPr>
          <w:p w14:paraId="2574A23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501" w:type="dxa"/>
            <w:shd w:val="clear" w:color="auto" w:fill="C6EFCE"/>
            <w:noWrap/>
          </w:tcPr>
          <w:p w14:paraId="7F153EEB" w14:textId="431EFDAD" w:rsidR="00AB26B3" w:rsidRPr="00AB26B3" w:rsidRDefault="00D64F26">
            <w:pPr>
              <w:pStyle w:val="P68B1DB1-Normal12"/>
              <w:spacing w:after="0" w:line="240" w:lineRule="auto"/>
              <w:rPr>
                <w:noProof/>
                <w:spacing w:val="-6"/>
                <w:lang w:val="sk-SK"/>
              </w:rPr>
            </w:pPr>
            <w:r w:rsidRPr="00AB26B3">
              <w:rPr>
                <w:noProof/>
                <w:spacing w:val="-6"/>
                <w:lang w:val="sk-SK"/>
              </w:rPr>
              <w:t>Realizácia investícií do liekov, výskumu</w:t>
            </w:r>
            <w:r w:rsidR="00AB26B3" w:rsidRPr="00AB26B3">
              <w:rPr>
                <w:noProof/>
                <w:spacing w:val="-6"/>
                <w:lang w:val="sk-SK"/>
              </w:rPr>
              <w:t xml:space="preserve"> a </w:t>
            </w:r>
            <w:r w:rsidRPr="00AB26B3">
              <w:rPr>
                <w:noProof/>
                <w:spacing w:val="-6"/>
                <w:lang w:val="sk-SK"/>
              </w:rPr>
              <w:t>vývoja alebo iných oprávnených investícií</w:t>
            </w:r>
            <w:r w:rsidR="00AB26B3" w:rsidRPr="00AB26B3">
              <w:rPr>
                <w:noProof/>
                <w:spacing w:val="-6"/>
                <w:lang w:val="sk-SK"/>
              </w:rPr>
              <w:t xml:space="preserve"> s </w:t>
            </w:r>
            <w:r w:rsidRPr="00AB26B3">
              <w:rPr>
                <w:noProof/>
                <w:spacing w:val="-6"/>
                <w:lang w:val="sk-SK"/>
              </w:rPr>
              <w:t>dodatočnou sumou 133 000 000 EUR</w:t>
            </w:r>
            <w:r w:rsidR="00AB26B3" w:rsidRPr="00AB26B3">
              <w:rPr>
                <w:noProof/>
                <w:spacing w:val="-6"/>
                <w:lang w:val="sk-SK"/>
              </w:rPr>
              <w:t xml:space="preserve"> s </w:t>
            </w:r>
            <w:r w:rsidRPr="00AB26B3">
              <w:rPr>
                <w:noProof/>
                <w:spacing w:val="-6"/>
                <w:lang w:val="sk-SK"/>
              </w:rPr>
              <w:t>cieľom dosiahnuť celkovú sumu investícií vo výške 250 000 000 EUR (kumulatívny krok 1</w:t>
            </w:r>
            <w:r w:rsidR="00AB26B3" w:rsidRPr="00AB26B3">
              <w:rPr>
                <w:noProof/>
                <w:spacing w:val="-6"/>
                <w:lang w:val="sk-SK"/>
              </w:rPr>
              <w:t xml:space="preserve"> a </w:t>
            </w:r>
            <w:r w:rsidRPr="00AB26B3">
              <w:rPr>
                <w:noProof/>
                <w:spacing w:val="-6"/>
                <w:lang w:val="sk-SK"/>
              </w:rPr>
              <w:t>krok 2)</w:t>
            </w:r>
            <w:r w:rsidR="00AB26B3" w:rsidRPr="00AB26B3">
              <w:rPr>
                <w:noProof/>
                <w:spacing w:val="-6"/>
                <w:lang w:val="sk-SK"/>
              </w:rPr>
              <w:t>.</w:t>
            </w:r>
          </w:p>
          <w:p w14:paraId="6A017A7C" w14:textId="000947D4"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55C4C9F4" w14:textId="7B530100" w:rsidR="00302FC1" w:rsidRPr="00AB26B3" w:rsidRDefault="00D64F26">
            <w:pPr>
              <w:pStyle w:val="P68B1DB1-Normal12"/>
              <w:spacing w:after="0" w:line="240" w:lineRule="auto"/>
              <w:rPr>
                <w:noProof/>
                <w:spacing w:val="-6"/>
                <w:lang w:val="sk-SK"/>
              </w:rPr>
            </w:pPr>
            <w:r w:rsidRPr="00AB26B3">
              <w:rPr>
                <w:noProof/>
                <w:spacing w:val="-6"/>
                <w:lang w:val="sk-SK"/>
              </w:rPr>
              <w:t>Investície sa potvrdia vydaním kompenzačných certifikátov príslušným orgánom vo výške 133 000 000 EUR.</w:t>
            </w:r>
          </w:p>
        </w:tc>
      </w:tr>
      <w:tr w:rsidR="00302FC1" w:rsidRPr="00AB26B3" w14:paraId="520DB233" w14:textId="77777777">
        <w:trPr>
          <w:trHeight w:val="309"/>
          <w:jc w:val="center"/>
        </w:trPr>
        <w:tc>
          <w:tcPr>
            <w:tcW w:w="592" w:type="dxa"/>
            <w:shd w:val="clear" w:color="auto" w:fill="C6EFCE"/>
            <w:noWrap/>
          </w:tcPr>
          <w:p w14:paraId="675CA2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157</w:t>
            </w:r>
          </w:p>
        </w:tc>
        <w:tc>
          <w:tcPr>
            <w:tcW w:w="1614" w:type="dxa"/>
            <w:shd w:val="clear" w:color="auto" w:fill="C6EFCE"/>
            <w:noWrap/>
          </w:tcPr>
          <w:p w14:paraId="67E140B7" w14:textId="2831CC0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 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163" w:type="dxa"/>
            <w:shd w:val="clear" w:color="auto" w:fill="C6EFCE"/>
            <w:noWrap/>
          </w:tcPr>
          <w:p w14:paraId="477CA8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50" w:type="dxa"/>
            <w:shd w:val="clear" w:color="auto" w:fill="C6EFCE"/>
            <w:noWrap/>
          </w:tcPr>
          <w:p w14:paraId="1455AE9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spätne získaných prostriedkov 300000000 – krok 3</w:t>
            </w:r>
          </w:p>
        </w:tc>
        <w:tc>
          <w:tcPr>
            <w:tcW w:w="1717" w:type="dxa"/>
            <w:shd w:val="clear" w:color="auto" w:fill="C6EFCE"/>
            <w:noWrap/>
          </w:tcPr>
          <w:p w14:paraId="3618C18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4" w:type="dxa"/>
            <w:shd w:val="clear" w:color="auto" w:fill="C6EFCE"/>
            <w:noWrap/>
          </w:tcPr>
          <w:p w14:paraId="6EC47775" w14:textId="08899CC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sumy spätného vymáhania</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 (v miliónoch EUR)</w:t>
            </w:r>
          </w:p>
        </w:tc>
        <w:tc>
          <w:tcPr>
            <w:tcW w:w="870" w:type="dxa"/>
            <w:shd w:val="clear" w:color="auto" w:fill="C6EFCE"/>
            <w:noWrap/>
          </w:tcPr>
          <w:p w14:paraId="0227BE8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64" w:type="dxa"/>
            <w:shd w:val="clear" w:color="auto" w:fill="C6EFCE"/>
            <w:noWrap/>
          </w:tcPr>
          <w:p w14:paraId="49C5718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300</w:t>
            </w:r>
          </w:p>
        </w:tc>
        <w:tc>
          <w:tcPr>
            <w:tcW w:w="973" w:type="dxa"/>
            <w:shd w:val="clear" w:color="auto" w:fill="C6EFCE"/>
            <w:noWrap/>
          </w:tcPr>
          <w:p w14:paraId="36A00C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92" w:type="dxa"/>
            <w:shd w:val="clear" w:color="auto" w:fill="C6EFCE"/>
            <w:noWrap/>
          </w:tcPr>
          <w:p w14:paraId="3503C2E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501" w:type="dxa"/>
            <w:shd w:val="clear" w:color="auto" w:fill="C6EFCE"/>
            <w:noWrap/>
          </w:tcPr>
          <w:p w14:paraId="6C59F4B5" w14:textId="7F53EE3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vracania farmaceutických výdavkov</w:t>
            </w:r>
            <w:r w:rsidR="00AB26B3" w:rsidRPr="00AB26B3">
              <w:rPr>
                <w:noProof/>
                <w:spacing w:val="-6"/>
                <w:lang w:val="sk-SK"/>
              </w:rPr>
              <w:t xml:space="preserve"> o </w:t>
            </w:r>
            <w:r w:rsidRPr="00AB26B3">
              <w:rPr>
                <w:noProof/>
                <w:spacing w:val="-6"/>
                <w:lang w:val="sk-SK"/>
              </w:rPr>
              <w:t>300 000 000 EUR</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 Ak sa to nedosiahne, rozdiel medzi cieľovým znížením</w:t>
            </w:r>
            <w:r w:rsidR="00AB26B3" w:rsidRPr="00AB26B3">
              <w:rPr>
                <w:noProof/>
                <w:spacing w:val="-6"/>
                <w:lang w:val="sk-SK"/>
              </w:rPr>
              <w:t xml:space="preserve"> a </w:t>
            </w:r>
            <w:r w:rsidRPr="00AB26B3">
              <w:rPr>
                <w:noProof/>
                <w:spacing w:val="-6"/>
                <w:lang w:val="sk-SK"/>
              </w:rPr>
              <w:t>skutočným znížením sa</w:t>
            </w:r>
            <w:r w:rsidR="00AB26B3" w:rsidRPr="00AB26B3">
              <w:rPr>
                <w:noProof/>
                <w:spacing w:val="-6"/>
                <w:lang w:val="sk-SK"/>
              </w:rPr>
              <w:t xml:space="preserve"> z </w:t>
            </w:r>
            <w:r w:rsidRPr="00AB26B3">
              <w:rPr>
                <w:noProof/>
                <w:spacing w:val="-6"/>
                <w:lang w:val="sk-SK"/>
              </w:rPr>
              <w:t>farmaceutického priemyslu nevracia</w:t>
            </w:r>
            <w:r w:rsidR="00AB26B3" w:rsidRPr="00AB26B3">
              <w:rPr>
                <w:noProof/>
                <w:spacing w:val="-6"/>
                <w:lang w:val="sk-SK"/>
              </w:rPr>
              <w:t xml:space="preserve"> a </w:t>
            </w:r>
            <w:r w:rsidRPr="00AB26B3">
              <w:rPr>
                <w:noProof/>
                <w:spacing w:val="-6"/>
                <w:lang w:val="sk-SK"/>
              </w:rPr>
              <w:t>príslušná suma sa hradí zo štátneho rozpočtu až do výšky 300 000 000 EUR.</w:t>
            </w:r>
          </w:p>
        </w:tc>
      </w:tr>
      <w:tr w:rsidR="00302FC1" w:rsidRPr="00AB26B3" w14:paraId="01700E03" w14:textId="77777777">
        <w:trPr>
          <w:trHeight w:val="309"/>
          <w:jc w:val="center"/>
        </w:trPr>
        <w:tc>
          <w:tcPr>
            <w:tcW w:w="592" w:type="dxa"/>
            <w:shd w:val="clear" w:color="auto" w:fill="C6EFCE"/>
            <w:noWrap/>
          </w:tcPr>
          <w:p w14:paraId="727A1E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158</w:t>
            </w:r>
          </w:p>
        </w:tc>
        <w:tc>
          <w:tcPr>
            <w:tcW w:w="1614" w:type="dxa"/>
            <w:shd w:val="clear" w:color="auto" w:fill="C6EFCE"/>
            <w:noWrap/>
          </w:tcPr>
          <w:p w14:paraId="51F000E4" w14:textId="3BBFAEB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 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163" w:type="dxa"/>
            <w:shd w:val="clear" w:color="auto" w:fill="C6EFCE"/>
            <w:noWrap/>
          </w:tcPr>
          <w:p w14:paraId="7F5F0B4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50" w:type="dxa"/>
            <w:shd w:val="clear" w:color="auto" w:fill="C6EFCE"/>
            <w:noWrap/>
          </w:tcPr>
          <w:p w14:paraId="7C3FDA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spätne získaných prostriedkov 400000000 – krok 4</w:t>
            </w:r>
          </w:p>
        </w:tc>
        <w:tc>
          <w:tcPr>
            <w:tcW w:w="1717" w:type="dxa"/>
            <w:shd w:val="clear" w:color="auto" w:fill="C6EFCE"/>
            <w:noWrap/>
          </w:tcPr>
          <w:p w14:paraId="38AADCA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4" w:type="dxa"/>
            <w:shd w:val="clear" w:color="auto" w:fill="C6EFCE"/>
            <w:noWrap/>
          </w:tcPr>
          <w:p w14:paraId="0DE03C9A" w14:textId="71158B8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sumy spätného vymáhania</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 (v miliónoch EUR)</w:t>
            </w:r>
          </w:p>
        </w:tc>
        <w:tc>
          <w:tcPr>
            <w:tcW w:w="870" w:type="dxa"/>
            <w:shd w:val="clear" w:color="auto" w:fill="C6EFCE"/>
            <w:noWrap/>
          </w:tcPr>
          <w:p w14:paraId="6E81A76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64" w:type="dxa"/>
            <w:shd w:val="clear" w:color="auto" w:fill="C6EFCE"/>
            <w:noWrap/>
          </w:tcPr>
          <w:p w14:paraId="7F00E55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400</w:t>
            </w:r>
          </w:p>
        </w:tc>
        <w:tc>
          <w:tcPr>
            <w:tcW w:w="973" w:type="dxa"/>
            <w:shd w:val="clear" w:color="auto" w:fill="C6EFCE"/>
            <w:noWrap/>
          </w:tcPr>
          <w:p w14:paraId="606C79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92" w:type="dxa"/>
            <w:shd w:val="clear" w:color="auto" w:fill="C6EFCE"/>
            <w:noWrap/>
          </w:tcPr>
          <w:p w14:paraId="3C8002C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2026</w:t>
            </w:r>
          </w:p>
        </w:tc>
        <w:tc>
          <w:tcPr>
            <w:tcW w:w="4501" w:type="dxa"/>
            <w:shd w:val="clear" w:color="auto" w:fill="C6EFCE"/>
            <w:noWrap/>
          </w:tcPr>
          <w:p w14:paraId="4DEFBE9B" w14:textId="436BA53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Zníženie vracania farmaceutických výdavkov</w:t>
            </w:r>
            <w:r w:rsidR="00AB26B3" w:rsidRPr="00AB26B3">
              <w:rPr>
                <w:noProof/>
                <w:spacing w:val="-6"/>
                <w:lang w:val="sk-SK"/>
              </w:rPr>
              <w:t xml:space="preserve"> o </w:t>
            </w:r>
            <w:r w:rsidRPr="00AB26B3">
              <w:rPr>
                <w:noProof/>
                <w:spacing w:val="-6"/>
                <w:lang w:val="sk-SK"/>
              </w:rPr>
              <w:t>400 000 000 EUR</w:t>
            </w:r>
            <w:r w:rsidR="00AB26B3" w:rsidRPr="00AB26B3">
              <w:rPr>
                <w:noProof/>
                <w:spacing w:val="-6"/>
                <w:lang w:val="sk-SK"/>
              </w:rPr>
              <w:t xml:space="preserve"> v </w:t>
            </w:r>
            <w:r w:rsidRPr="00AB26B3">
              <w:rPr>
                <w:noProof/>
                <w:spacing w:val="-6"/>
                <w:lang w:val="sk-SK"/>
              </w:rPr>
              <w:t>porovnaní</w:t>
            </w:r>
            <w:r w:rsidR="00AB26B3" w:rsidRPr="00AB26B3">
              <w:rPr>
                <w:noProof/>
                <w:spacing w:val="-6"/>
                <w:lang w:val="sk-SK"/>
              </w:rPr>
              <w:t xml:space="preserve"> s </w:t>
            </w:r>
            <w:r w:rsidRPr="00AB26B3">
              <w:rPr>
                <w:noProof/>
                <w:spacing w:val="-6"/>
                <w:lang w:val="sk-SK"/>
              </w:rPr>
              <w:t>úrovňami</w:t>
            </w:r>
            <w:r w:rsidR="00AB26B3" w:rsidRPr="00AB26B3">
              <w:rPr>
                <w:noProof/>
                <w:spacing w:val="-6"/>
                <w:lang w:val="sk-SK"/>
              </w:rPr>
              <w:t xml:space="preserve"> z </w:t>
            </w:r>
            <w:r w:rsidRPr="00AB26B3">
              <w:rPr>
                <w:noProof/>
                <w:spacing w:val="-6"/>
                <w:lang w:val="sk-SK"/>
              </w:rPr>
              <w:t>roku 2020.</w:t>
            </w:r>
            <w:r w:rsidR="00AB26B3" w:rsidRPr="00AB26B3">
              <w:rPr>
                <w:noProof/>
                <w:spacing w:val="-6"/>
                <w:lang w:val="sk-SK"/>
              </w:rPr>
              <w:t xml:space="preserve"> V </w:t>
            </w:r>
            <w:r w:rsidRPr="00AB26B3">
              <w:rPr>
                <w:noProof/>
                <w:spacing w:val="-6"/>
                <w:lang w:val="sk-SK"/>
              </w:rPr>
              <w:t>prípade, že sa nedosiahne, rozdiel medzi cieľovým znížením</w:t>
            </w:r>
            <w:r w:rsidR="00AB26B3" w:rsidRPr="00AB26B3">
              <w:rPr>
                <w:noProof/>
                <w:spacing w:val="-6"/>
                <w:lang w:val="sk-SK"/>
              </w:rPr>
              <w:t xml:space="preserve"> a </w:t>
            </w:r>
            <w:r w:rsidRPr="00AB26B3">
              <w:rPr>
                <w:noProof/>
                <w:spacing w:val="-6"/>
                <w:lang w:val="sk-SK"/>
              </w:rPr>
              <w:t>skutočným znížením sa</w:t>
            </w:r>
            <w:r w:rsidR="00AB26B3" w:rsidRPr="00AB26B3">
              <w:rPr>
                <w:noProof/>
                <w:spacing w:val="-6"/>
                <w:lang w:val="sk-SK"/>
              </w:rPr>
              <w:t xml:space="preserve"> z </w:t>
            </w:r>
            <w:r w:rsidRPr="00AB26B3">
              <w:rPr>
                <w:noProof/>
                <w:spacing w:val="-6"/>
                <w:lang w:val="sk-SK"/>
              </w:rPr>
              <w:t>farmaceutického priemyslu nevracia</w:t>
            </w:r>
            <w:r w:rsidR="00AB26B3" w:rsidRPr="00AB26B3">
              <w:rPr>
                <w:noProof/>
                <w:spacing w:val="-6"/>
                <w:lang w:val="sk-SK"/>
              </w:rPr>
              <w:t xml:space="preserve"> a </w:t>
            </w:r>
            <w:r w:rsidRPr="00AB26B3">
              <w:rPr>
                <w:noProof/>
                <w:spacing w:val="-6"/>
                <w:lang w:val="sk-SK"/>
              </w:rPr>
              <w:t>príslušná suma sa hradí zo štátneho rozpočtu až do výšky 400 000 000 EUR.</w:t>
            </w:r>
          </w:p>
        </w:tc>
      </w:tr>
    </w:tbl>
    <w:p w14:paraId="42D64A6D"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sectPr w:rsidR="00302FC1" w:rsidRPr="00AB26B3" w:rsidSect="00315FC0">
          <w:headerReference w:type="even" r:id="rId178"/>
          <w:headerReference w:type="default" r:id="rId179"/>
          <w:footerReference w:type="even" r:id="rId180"/>
          <w:footerReference w:type="default" r:id="rId181"/>
          <w:headerReference w:type="first" r:id="rId182"/>
          <w:footerReference w:type="first" r:id="rId183"/>
          <w:pgSz w:w="16839" w:h="11907" w:orient="landscape"/>
          <w:pgMar w:top="720" w:right="720" w:bottom="720" w:left="720" w:header="709" w:footer="217" w:gutter="0"/>
          <w:cols w:space="720"/>
          <w:docGrid w:linePitch="360"/>
        </w:sectPr>
      </w:pPr>
    </w:p>
    <w:p w14:paraId="31F2206D" w14:textId="3ABD93B3"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13: Zlepšenie odolnosti, dostupnosti</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udržateľnosti zdravotnej starostlivosti</w:t>
      </w:r>
    </w:p>
    <w:p w14:paraId="30D2B8F6" w14:textId="6ED3E5C1" w:rsidR="00302FC1" w:rsidRPr="00AB26B3" w:rsidRDefault="00D64F26">
      <w:pPr>
        <w:pStyle w:val="P68B1DB1-Normal5"/>
        <w:numPr>
          <w:ilvl w:val="0"/>
          <w:numId w:val="27"/>
        </w:numPr>
        <w:tabs>
          <w:tab w:val="left" w:pos="8364"/>
        </w:tabs>
        <w:spacing w:before="120" w:after="0" w:line="240" w:lineRule="auto"/>
        <w:jc w:val="both"/>
        <w:rPr>
          <w:rFonts w:cs="Times New Roman"/>
          <w:noProof/>
          <w:spacing w:val="-6"/>
          <w:lang w:val="sk-SK"/>
        </w:rPr>
      </w:pPr>
      <w:r w:rsidRPr="00AB26B3">
        <w:rPr>
          <w:noProof/>
          <w:spacing w:val="-6"/>
          <w:lang w:val="sk-SK"/>
        </w:rPr>
        <w:t>Organizačné reformy systému zdravotnej starostlivosti (ID: 16756)</w:t>
      </w:r>
    </w:p>
    <w:p w14:paraId="1F0E7429" w14:textId="1DE9588A" w:rsidR="00302FC1" w:rsidRPr="00AB26B3" w:rsidRDefault="00D64F26">
      <w:pPr>
        <w:pStyle w:val="P68B1DB1-Normal5"/>
        <w:numPr>
          <w:ilvl w:val="0"/>
          <w:numId w:val="27"/>
        </w:numPr>
        <w:tabs>
          <w:tab w:val="left" w:pos="8364"/>
        </w:tabs>
        <w:spacing w:before="120" w:after="0" w:line="240" w:lineRule="auto"/>
        <w:jc w:val="both"/>
        <w:rPr>
          <w:rFonts w:cs="Times New Roman"/>
          <w:noProof/>
          <w:spacing w:val="-6"/>
          <w:lang w:val="sk-SK"/>
        </w:rPr>
      </w:pPr>
      <w:r w:rsidRPr="00AB26B3">
        <w:rPr>
          <w:noProof/>
          <w:spacing w:val="-6"/>
          <w:lang w:val="sk-SK"/>
        </w:rPr>
        <w:t>Reforma</w:t>
      </w:r>
      <w:r w:rsidR="00AB26B3" w:rsidRPr="00AB26B3">
        <w:rPr>
          <w:noProof/>
          <w:spacing w:val="-6"/>
          <w:lang w:val="sk-SK"/>
        </w:rPr>
        <w:t xml:space="preserve"> v </w:t>
      </w:r>
      <w:r w:rsidRPr="00AB26B3">
        <w:rPr>
          <w:noProof/>
          <w:spacing w:val="-6"/>
          <w:lang w:val="sk-SK"/>
        </w:rPr>
        <w:t>oblasti duševného zdravia</w:t>
      </w:r>
      <w:r w:rsidR="00AB26B3" w:rsidRPr="00AB26B3">
        <w:rPr>
          <w:noProof/>
          <w:spacing w:val="-6"/>
          <w:lang w:val="sk-SK"/>
        </w:rPr>
        <w:t xml:space="preserve"> a </w:t>
      </w:r>
      <w:r w:rsidRPr="00AB26B3">
        <w:rPr>
          <w:noProof/>
          <w:spacing w:val="-6"/>
          <w:lang w:val="sk-SK"/>
        </w:rPr>
        <w:t>závislostí (ID: 16820)</w:t>
      </w:r>
    </w:p>
    <w:p w14:paraId="088B049E" w14:textId="77777777" w:rsidR="00302FC1" w:rsidRPr="00AB26B3" w:rsidRDefault="00D64F26">
      <w:pPr>
        <w:pStyle w:val="P68B1DB1-Normal5"/>
        <w:numPr>
          <w:ilvl w:val="0"/>
          <w:numId w:val="27"/>
        </w:numPr>
        <w:tabs>
          <w:tab w:val="left" w:pos="8364"/>
        </w:tabs>
        <w:spacing w:before="120" w:after="0" w:line="240" w:lineRule="auto"/>
        <w:jc w:val="both"/>
        <w:rPr>
          <w:rFonts w:cs="Times New Roman"/>
          <w:noProof/>
          <w:spacing w:val="-6"/>
          <w:lang w:val="sk-SK"/>
        </w:rPr>
      </w:pPr>
      <w:r w:rsidRPr="00AB26B3">
        <w:rPr>
          <w:noProof/>
          <w:spacing w:val="-6"/>
          <w:lang w:val="sk-SK"/>
        </w:rPr>
        <w:t>Reforma systému primárnej zdravotnej starostlivosti (ID: 16755)</w:t>
      </w:r>
    </w:p>
    <w:p w14:paraId="583CCBF5" w14:textId="77777777" w:rsidR="00302FC1" w:rsidRPr="00AB26B3" w:rsidRDefault="00D64F26">
      <w:pPr>
        <w:pStyle w:val="P68B1DB1-Normal5"/>
        <w:numPr>
          <w:ilvl w:val="0"/>
          <w:numId w:val="27"/>
        </w:numPr>
        <w:tabs>
          <w:tab w:val="left" w:pos="8364"/>
        </w:tabs>
        <w:spacing w:before="120" w:after="120" w:line="240" w:lineRule="auto"/>
        <w:jc w:val="both"/>
        <w:rPr>
          <w:rFonts w:cs="Times New Roman"/>
          <w:noProof/>
          <w:spacing w:val="-6"/>
          <w:lang w:val="sk-SK"/>
        </w:rPr>
      </w:pPr>
      <w:r w:rsidRPr="00AB26B3">
        <w:rPr>
          <w:noProof/>
          <w:spacing w:val="-6"/>
          <w:lang w:val="sk-SK"/>
        </w:rPr>
        <w:t>Vykonávanie národného programu prevencie verejného zdravia „Spiros Doxiadis“ (ID: 16783)</w:t>
      </w:r>
    </w:p>
    <w:p w14:paraId="7725D7C2" w14:textId="78B87936" w:rsidR="00302FC1" w:rsidRPr="00AB26B3" w:rsidRDefault="00D64F26">
      <w:pPr>
        <w:pStyle w:val="P68B1DB1-Normal5"/>
        <w:numPr>
          <w:ilvl w:val="0"/>
          <w:numId w:val="27"/>
        </w:numPr>
        <w:tabs>
          <w:tab w:val="left" w:pos="8364"/>
        </w:tabs>
        <w:spacing w:before="120" w:after="120" w:line="240" w:lineRule="auto"/>
        <w:jc w:val="both"/>
        <w:rPr>
          <w:rFonts w:cs="Times New Roman"/>
          <w:noProof/>
          <w:spacing w:val="-6"/>
          <w:lang w:val="sk-SK"/>
        </w:rPr>
      </w:pPr>
      <w:r w:rsidRPr="00AB26B3">
        <w:rPr>
          <w:noProof/>
          <w:spacing w:val="-6"/>
          <w:lang w:val="sk-SK"/>
        </w:rPr>
        <w:t>Osobná reforma lekárov (ID: 16984)</w:t>
      </w:r>
    </w:p>
    <w:tbl>
      <w:tblPr>
        <w:tblpPr w:leftFromText="180" w:rightFromText="180" w:vertAnchor="text" w:tblpXSpec="center" w:tblpY="1"/>
        <w:tblOverlap w:val="never"/>
        <w:tblW w:w="16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036"/>
        <w:gridCol w:w="1027"/>
        <w:gridCol w:w="1293"/>
        <w:gridCol w:w="1707"/>
        <w:gridCol w:w="1784"/>
        <w:gridCol w:w="974"/>
        <w:gridCol w:w="785"/>
        <w:gridCol w:w="1040"/>
        <w:gridCol w:w="945"/>
        <w:gridCol w:w="3989"/>
      </w:tblGrid>
      <w:tr w:rsidR="00302FC1" w:rsidRPr="00AB26B3" w14:paraId="3F17E93C" w14:textId="77777777">
        <w:trPr>
          <w:trHeight w:val="631"/>
          <w:tblHeader/>
        </w:trPr>
        <w:tc>
          <w:tcPr>
            <w:tcW w:w="708" w:type="dxa"/>
            <w:vMerge w:val="restart"/>
            <w:shd w:val="clear" w:color="auto" w:fill="BDD7EE"/>
            <w:vAlign w:val="center"/>
            <w:hideMark/>
          </w:tcPr>
          <w:p w14:paraId="01D31BDA" w14:textId="52635D85" w:rsidR="00302FC1" w:rsidRPr="00AB26B3" w:rsidRDefault="00D64F26">
            <w:pPr>
              <w:pStyle w:val="P68B1DB1-Normal10"/>
              <w:spacing w:after="0" w:line="240" w:lineRule="auto"/>
              <w:ind w:right="-670"/>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2036" w:type="dxa"/>
            <w:vMerge w:val="restart"/>
            <w:shd w:val="clear" w:color="auto" w:fill="BDD7EE"/>
            <w:vAlign w:val="center"/>
            <w:hideMark/>
          </w:tcPr>
          <w:p w14:paraId="22BB4E63" w14:textId="4771DE5C" w:rsidR="00302FC1" w:rsidRPr="00AB26B3" w:rsidRDefault="00D64F26">
            <w:pPr>
              <w:pStyle w:val="P68B1DB1-Normal14"/>
              <w:spacing w:after="0" w:line="240" w:lineRule="auto"/>
              <w:ind w:right="-670"/>
              <w:rPr>
                <w:noProof/>
                <w:spacing w:val="-6"/>
                <w:lang w:val="sk-SK"/>
              </w:rPr>
            </w:pPr>
            <w:r w:rsidRPr="00AB26B3">
              <w:rPr>
                <w:noProof/>
                <w:spacing w:val="-6"/>
                <w:lang w:val="sk-SK"/>
              </w:rPr>
              <w:t>Súvisiace opatrenie</w:t>
            </w:r>
          </w:p>
          <w:p w14:paraId="06BB00A3" w14:textId="77777777" w:rsidR="00302FC1" w:rsidRPr="00AB26B3" w:rsidRDefault="00D64F26">
            <w:pPr>
              <w:pStyle w:val="P68B1DB1-Normal14"/>
              <w:spacing w:after="0" w:line="240" w:lineRule="auto"/>
              <w:ind w:right="-670"/>
              <w:rPr>
                <w:rFonts w:eastAsia="Times New Roman"/>
                <w:bCs/>
                <w:noProof/>
                <w:spacing w:val="-6"/>
                <w:lang w:val="sk-SK"/>
              </w:rPr>
            </w:pPr>
            <w:r w:rsidRPr="00AB26B3">
              <w:rPr>
                <w:noProof/>
                <w:spacing w:val="-6"/>
                <w:lang w:val="sk-SK"/>
              </w:rPr>
              <w:t>(Reforma alebo investícia)</w:t>
            </w:r>
          </w:p>
        </w:tc>
        <w:tc>
          <w:tcPr>
            <w:tcW w:w="1027" w:type="dxa"/>
            <w:vMerge w:val="restart"/>
            <w:shd w:val="clear" w:color="auto" w:fill="BDD7EE"/>
            <w:vAlign w:val="center"/>
            <w:hideMark/>
          </w:tcPr>
          <w:p w14:paraId="4F142A6E" w14:textId="11BBBACA" w:rsidR="00302FC1" w:rsidRPr="00AB26B3" w:rsidRDefault="00D64F26">
            <w:pPr>
              <w:pStyle w:val="P68B1DB1-Normal14"/>
              <w:spacing w:after="0" w:line="240" w:lineRule="auto"/>
              <w:ind w:right="-670"/>
              <w:rPr>
                <w:noProof/>
                <w:spacing w:val="-6"/>
                <w:lang w:val="sk-SK"/>
              </w:rPr>
            </w:pPr>
            <w:r w:rsidRPr="00AB26B3">
              <w:rPr>
                <w:noProof/>
                <w:spacing w:val="-6"/>
                <w:lang w:val="sk-SK"/>
              </w:rPr>
              <w:t>Míľnik/</w:t>
            </w:r>
          </w:p>
          <w:p w14:paraId="53ACA729" w14:textId="77777777" w:rsidR="00302FC1" w:rsidRPr="00AB26B3" w:rsidRDefault="00D64F26">
            <w:pPr>
              <w:pStyle w:val="P68B1DB1-Normal14"/>
              <w:spacing w:after="0" w:line="240" w:lineRule="auto"/>
              <w:ind w:right="-670"/>
              <w:rPr>
                <w:rFonts w:eastAsia="Times New Roman"/>
                <w:bCs/>
                <w:noProof/>
                <w:spacing w:val="-6"/>
                <w:lang w:val="sk-SK"/>
              </w:rPr>
            </w:pPr>
            <w:r w:rsidRPr="00AB26B3">
              <w:rPr>
                <w:noProof/>
                <w:spacing w:val="-6"/>
                <w:lang w:val="sk-SK"/>
              </w:rPr>
              <w:t>Cieľ</w:t>
            </w:r>
          </w:p>
        </w:tc>
        <w:tc>
          <w:tcPr>
            <w:tcW w:w="1293" w:type="dxa"/>
            <w:vMerge w:val="restart"/>
            <w:shd w:val="clear" w:color="auto" w:fill="BDD7EE"/>
            <w:vAlign w:val="center"/>
            <w:hideMark/>
          </w:tcPr>
          <w:p w14:paraId="2195AAA3" w14:textId="77777777" w:rsidR="00302FC1" w:rsidRPr="00AB26B3" w:rsidRDefault="00D64F26">
            <w:pPr>
              <w:pStyle w:val="P68B1DB1-Normal14"/>
              <w:spacing w:after="0" w:line="240" w:lineRule="auto"/>
              <w:ind w:left="447" w:right="-670" w:hanging="447"/>
              <w:rPr>
                <w:rFonts w:eastAsia="Times New Roman"/>
                <w:bCs/>
                <w:noProof/>
                <w:spacing w:val="-6"/>
                <w:lang w:val="sk-SK"/>
              </w:rPr>
            </w:pPr>
            <w:r w:rsidRPr="00AB26B3">
              <w:rPr>
                <w:noProof/>
                <w:spacing w:val="-6"/>
                <w:lang w:val="sk-SK"/>
              </w:rPr>
              <w:t>Názov</w:t>
            </w:r>
          </w:p>
        </w:tc>
        <w:tc>
          <w:tcPr>
            <w:tcW w:w="1707" w:type="dxa"/>
            <w:vMerge w:val="restart"/>
            <w:shd w:val="clear" w:color="auto" w:fill="BDD7EE"/>
            <w:vAlign w:val="center"/>
            <w:hideMark/>
          </w:tcPr>
          <w:p w14:paraId="05BFE16C" w14:textId="69F9926D" w:rsidR="00302FC1" w:rsidRPr="00AB26B3" w:rsidRDefault="00D64F26">
            <w:pPr>
              <w:pStyle w:val="P68B1DB1-Normal14"/>
              <w:spacing w:after="0" w:line="240" w:lineRule="auto"/>
              <w:ind w:left="447" w:right="-670" w:hanging="447"/>
              <w:rPr>
                <w:noProof/>
                <w:spacing w:val="-6"/>
                <w:lang w:val="sk-SK"/>
              </w:rPr>
            </w:pPr>
            <w:r w:rsidRPr="00AB26B3">
              <w:rPr>
                <w:noProof/>
                <w:spacing w:val="-6"/>
                <w:lang w:val="sk-SK"/>
              </w:rPr>
              <w:t>Kvalitatívne ukazovatele</w:t>
            </w:r>
          </w:p>
          <w:p w14:paraId="2D37942C" w14:textId="77777777" w:rsidR="00302FC1" w:rsidRPr="00AB26B3" w:rsidRDefault="00D64F26">
            <w:pPr>
              <w:pStyle w:val="P68B1DB1-Normal14"/>
              <w:spacing w:after="0" w:line="240" w:lineRule="auto"/>
              <w:ind w:left="447" w:right="-670" w:hanging="447"/>
              <w:rPr>
                <w:rFonts w:eastAsia="Times New Roman"/>
                <w:bCs/>
                <w:noProof/>
                <w:spacing w:val="-6"/>
                <w:lang w:val="sk-SK"/>
              </w:rPr>
            </w:pPr>
            <w:r w:rsidRPr="00AB26B3">
              <w:rPr>
                <w:noProof/>
                <w:spacing w:val="-6"/>
                <w:lang w:val="sk-SK"/>
              </w:rPr>
              <w:t>(pre míľniky)</w:t>
            </w:r>
          </w:p>
        </w:tc>
        <w:tc>
          <w:tcPr>
            <w:tcW w:w="3543" w:type="dxa"/>
            <w:gridSpan w:val="3"/>
            <w:shd w:val="clear" w:color="auto" w:fill="BDD7EE"/>
            <w:vAlign w:val="center"/>
            <w:hideMark/>
          </w:tcPr>
          <w:p w14:paraId="483C2EB4" w14:textId="77777777" w:rsidR="00302FC1" w:rsidRPr="00AB26B3" w:rsidRDefault="00D64F26">
            <w:pPr>
              <w:pStyle w:val="P68B1DB1-Normal14"/>
              <w:tabs>
                <w:tab w:val="left" w:pos="176"/>
                <w:tab w:val="left" w:pos="582"/>
              </w:tabs>
              <w:spacing w:after="0" w:line="240" w:lineRule="auto"/>
              <w:ind w:left="-108" w:right="-670" w:firstLine="108"/>
              <w:jc w:val="center"/>
              <w:rPr>
                <w:noProof/>
                <w:spacing w:val="-6"/>
                <w:lang w:val="sk-SK"/>
              </w:rPr>
            </w:pPr>
            <w:r w:rsidRPr="00AB26B3">
              <w:rPr>
                <w:noProof/>
                <w:spacing w:val="-6"/>
                <w:lang w:val="sk-SK"/>
              </w:rPr>
              <w:t>Kvantitatívne ukazovatele</w:t>
            </w:r>
          </w:p>
          <w:p w14:paraId="47D89D9C" w14:textId="77777777" w:rsidR="00302FC1" w:rsidRPr="00AB26B3" w:rsidRDefault="00D64F26">
            <w:pPr>
              <w:pStyle w:val="P68B1DB1-Normal14"/>
              <w:spacing w:after="0" w:line="240" w:lineRule="auto"/>
              <w:ind w:right="-670"/>
              <w:jc w:val="center"/>
              <w:rPr>
                <w:rFonts w:eastAsia="Times New Roman"/>
                <w:bCs/>
                <w:noProof/>
                <w:spacing w:val="-6"/>
                <w:lang w:val="sk-SK"/>
              </w:rPr>
            </w:pPr>
            <w:r w:rsidRPr="00AB26B3">
              <w:rPr>
                <w:noProof/>
                <w:spacing w:val="-6"/>
                <w:lang w:val="sk-SK"/>
              </w:rPr>
              <w:t>(pre ciele)</w:t>
            </w:r>
          </w:p>
        </w:tc>
        <w:tc>
          <w:tcPr>
            <w:tcW w:w="1985" w:type="dxa"/>
            <w:gridSpan w:val="2"/>
            <w:shd w:val="clear" w:color="auto" w:fill="BDD7EE"/>
            <w:vAlign w:val="center"/>
            <w:hideMark/>
          </w:tcPr>
          <w:p w14:paraId="50FE5D75" w14:textId="318B94CD" w:rsidR="00302FC1" w:rsidRPr="00AB26B3" w:rsidRDefault="00D64F26">
            <w:pPr>
              <w:pStyle w:val="P68B1DB1-Normal14"/>
              <w:spacing w:after="0" w:line="240" w:lineRule="auto"/>
              <w:ind w:right="-670"/>
              <w:rPr>
                <w:rFonts w:eastAsia="Times New Roman"/>
                <w:bCs/>
                <w:noProof/>
                <w:spacing w:val="-6"/>
                <w:lang w:val="sk-SK"/>
              </w:rPr>
            </w:pPr>
            <w:r w:rsidRPr="00AB26B3">
              <w:rPr>
                <w:noProof/>
                <w:spacing w:val="-6"/>
                <w:lang w:val="sk-SK"/>
              </w:rPr>
              <w:t>Orientačný harmonogram dokončenia</w:t>
            </w:r>
          </w:p>
        </w:tc>
        <w:tc>
          <w:tcPr>
            <w:tcW w:w="3989" w:type="dxa"/>
            <w:vMerge w:val="restart"/>
            <w:shd w:val="clear" w:color="auto" w:fill="BDD7EE"/>
            <w:vAlign w:val="center"/>
            <w:hideMark/>
          </w:tcPr>
          <w:p w14:paraId="495438E8" w14:textId="54ECA670" w:rsidR="00302FC1" w:rsidRPr="00AB26B3" w:rsidRDefault="00D64F26">
            <w:pPr>
              <w:pStyle w:val="P68B1DB1-Normal14"/>
              <w:spacing w:after="0" w:line="240" w:lineRule="auto"/>
              <w:ind w:left="253" w:right="-670"/>
              <w:rPr>
                <w:rFonts w:eastAsia="Times New Roman"/>
                <w:bCs/>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3D67CFC" w14:textId="77777777">
        <w:trPr>
          <w:trHeight w:val="532"/>
          <w:tblHeader/>
        </w:trPr>
        <w:tc>
          <w:tcPr>
            <w:tcW w:w="708" w:type="dxa"/>
            <w:vMerge/>
            <w:vAlign w:val="center"/>
            <w:hideMark/>
          </w:tcPr>
          <w:p w14:paraId="135B6B2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36" w:type="dxa"/>
            <w:vMerge/>
            <w:vAlign w:val="center"/>
            <w:hideMark/>
          </w:tcPr>
          <w:p w14:paraId="352B890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27" w:type="dxa"/>
            <w:vMerge/>
            <w:vAlign w:val="center"/>
            <w:hideMark/>
          </w:tcPr>
          <w:p w14:paraId="62345F5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93" w:type="dxa"/>
            <w:vMerge/>
            <w:vAlign w:val="center"/>
            <w:hideMark/>
          </w:tcPr>
          <w:p w14:paraId="0E3A038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07" w:type="dxa"/>
            <w:vMerge/>
            <w:vAlign w:val="center"/>
            <w:hideMark/>
          </w:tcPr>
          <w:p w14:paraId="62A69FC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84" w:type="dxa"/>
            <w:shd w:val="clear" w:color="auto" w:fill="BDD7EE"/>
            <w:vAlign w:val="center"/>
            <w:hideMark/>
          </w:tcPr>
          <w:p w14:paraId="2D4D26B5"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Merná jednotka</w:t>
            </w:r>
          </w:p>
        </w:tc>
        <w:tc>
          <w:tcPr>
            <w:tcW w:w="974" w:type="dxa"/>
            <w:shd w:val="clear" w:color="auto" w:fill="BDD7EE"/>
            <w:vAlign w:val="center"/>
            <w:hideMark/>
          </w:tcPr>
          <w:p w14:paraId="03D2C02E"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Základná </w:t>
            </w:r>
          </w:p>
        </w:tc>
        <w:tc>
          <w:tcPr>
            <w:tcW w:w="785" w:type="dxa"/>
            <w:shd w:val="clear" w:color="auto" w:fill="BDD7EE"/>
            <w:vAlign w:val="center"/>
            <w:hideMark/>
          </w:tcPr>
          <w:p w14:paraId="472350B2"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Cieľ </w:t>
            </w:r>
          </w:p>
        </w:tc>
        <w:tc>
          <w:tcPr>
            <w:tcW w:w="1040" w:type="dxa"/>
            <w:shd w:val="clear" w:color="auto" w:fill="BDD7EE"/>
            <w:vAlign w:val="center"/>
            <w:hideMark/>
          </w:tcPr>
          <w:p w14:paraId="30DB880B"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Štvrtina</w:t>
            </w:r>
          </w:p>
        </w:tc>
        <w:tc>
          <w:tcPr>
            <w:tcW w:w="945" w:type="dxa"/>
            <w:shd w:val="clear" w:color="auto" w:fill="BDD7EE"/>
            <w:vAlign w:val="center"/>
            <w:hideMark/>
          </w:tcPr>
          <w:p w14:paraId="70FEDD7E"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Rok</w:t>
            </w:r>
          </w:p>
        </w:tc>
        <w:tc>
          <w:tcPr>
            <w:tcW w:w="3989" w:type="dxa"/>
            <w:vMerge/>
            <w:vAlign w:val="center"/>
            <w:hideMark/>
          </w:tcPr>
          <w:p w14:paraId="7C84204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700CA79D" w14:textId="77777777">
        <w:trPr>
          <w:trHeight w:val="313"/>
        </w:trPr>
        <w:tc>
          <w:tcPr>
            <w:tcW w:w="708" w:type="dxa"/>
            <w:shd w:val="clear" w:color="auto" w:fill="C6EFCE"/>
            <w:noWrap/>
          </w:tcPr>
          <w:p w14:paraId="0685B6E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159</w:t>
            </w:r>
          </w:p>
        </w:tc>
        <w:tc>
          <w:tcPr>
            <w:tcW w:w="2036" w:type="dxa"/>
            <w:shd w:val="clear" w:color="auto" w:fill="C6EFCE"/>
            <w:noWrap/>
          </w:tcPr>
          <w:p w14:paraId="52C5756F" w14:textId="1AA90D1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16755_Reforma systému primárnej zdravotnej starostlivosti</w:t>
            </w:r>
          </w:p>
        </w:tc>
        <w:tc>
          <w:tcPr>
            <w:tcW w:w="1027" w:type="dxa"/>
            <w:shd w:val="clear" w:color="auto" w:fill="C6EFCE"/>
            <w:noWrap/>
          </w:tcPr>
          <w:p w14:paraId="7C36F6C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93" w:type="dxa"/>
            <w:shd w:val="clear" w:color="auto" w:fill="C6EFCE"/>
            <w:noWrap/>
          </w:tcPr>
          <w:p w14:paraId="63A6B0EC" w14:textId="27C8AF9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Aktivácia učebných plánov rodinnej medicíny</w:t>
            </w:r>
            <w:r w:rsidR="00AB26B3" w:rsidRPr="00AB26B3">
              <w:rPr>
                <w:noProof/>
                <w:spacing w:val="-6"/>
                <w:lang w:val="sk-SK"/>
              </w:rPr>
              <w:t xml:space="preserve"> v </w:t>
            </w:r>
            <w:r w:rsidRPr="00AB26B3">
              <w:rPr>
                <w:noProof/>
                <w:spacing w:val="-6"/>
                <w:lang w:val="sk-SK"/>
              </w:rPr>
              <w:t xml:space="preserve">oblasti primárnej zdravotnej starostlivosti </w:t>
            </w:r>
          </w:p>
        </w:tc>
        <w:tc>
          <w:tcPr>
            <w:tcW w:w="1707" w:type="dxa"/>
            <w:shd w:val="clear" w:color="auto" w:fill="C6EFCE"/>
            <w:noWrap/>
          </w:tcPr>
          <w:p w14:paraId="42533C0E" w14:textId="290F4EC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Doklad</w:t>
            </w:r>
            <w:r w:rsidR="00AB26B3" w:rsidRPr="00AB26B3">
              <w:rPr>
                <w:noProof/>
                <w:spacing w:val="-6"/>
                <w:lang w:val="sk-SK"/>
              </w:rPr>
              <w:t xml:space="preserve"> o </w:t>
            </w:r>
            <w:r w:rsidRPr="00AB26B3">
              <w:rPr>
                <w:noProof/>
                <w:spacing w:val="-6"/>
                <w:lang w:val="sk-SK"/>
              </w:rPr>
              <w:t>začatí kurzov pre všetky novo aktivované akademické študijné programy</w:t>
            </w:r>
            <w:r w:rsidR="00AB26B3" w:rsidRPr="00AB26B3">
              <w:rPr>
                <w:noProof/>
                <w:spacing w:val="-6"/>
                <w:lang w:val="sk-SK"/>
              </w:rPr>
              <w:t xml:space="preserve"> v </w:t>
            </w:r>
            <w:r w:rsidRPr="00AB26B3">
              <w:rPr>
                <w:noProof/>
                <w:spacing w:val="-6"/>
                <w:lang w:val="sk-SK"/>
              </w:rPr>
              <w:t>oblasti rodinnej medicíny</w:t>
            </w:r>
            <w:r w:rsidR="00AB26B3" w:rsidRPr="00AB26B3">
              <w:rPr>
                <w:noProof/>
                <w:spacing w:val="-6"/>
                <w:lang w:val="sk-SK"/>
              </w:rPr>
              <w:t xml:space="preserve"> a o </w:t>
            </w:r>
            <w:r w:rsidRPr="00AB26B3">
              <w:rPr>
                <w:noProof/>
                <w:spacing w:val="-6"/>
                <w:lang w:val="sk-SK"/>
              </w:rPr>
              <w:t>začlenení modulu rodinnej medicíny do všetkých študijných programov</w:t>
            </w:r>
            <w:r w:rsidR="00AB26B3" w:rsidRPr="00AB26B3">
              <w:rPr>
                <w:noProof/>
                <w:spacing w:val="-6"/>
                <w:lang w:val="sk-SK"/>
              </w:rPr>
              <w:t xml:space="preserve"> v </w:t>
            </w:r>
            <w:r w:rsidRPr="00AB26B3">
              <w:rPr>
                <w:noProof/>
                <w:spacing w:val="-6"/>
                <w:lang w:val="sk-SK"/>
              </w:rPr>
              <w:t>oblasti medicíny.</w:t>
            </w:r>
          </w:p>
        </w:tc>
        <w:tc>
          <w:tcPr>
            <w:tcW w:w="1784" w:type="dxa"/>
            <w:shd w:val="clear" w:color="auto" w:fill="C6EFCE"/>
            <w:noWrap/>
          </w:tcPr>
          <w:p w14:paraId="0E33CB8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74" w:type="dxa"/>
            <w:shd w:val="clear" w:color="auto" w:fill="C6EFCE"/>
            <w:noWrap/>
          </w:tcPr>
          <w:p w14:paraId="7413460A" w14:textId="77777777" w:rsidR="00302FC1" w:rsidRPr="00AB26B3" w:rsidRDefault="00302FC1">
            <w:pPr>
              <w:spacing w:after="0" w:line="240" w:lineRule="auto"/>
              <w:ind w:left="-692" w:right="631"/>
              <w:rPr>
                <w:rFonts w:ascii="Times New Roman" w:eastAsia="Times New Roman" w:hAnsi="Times New Roman" w:cs="Times New Roman"/>
                <w:noProof/>
                <w:color w:val="006100"/>
                <w:spacing w:val="-6"/>
                <w:sz w:val="18"/>
                <w:szCs w:val="18"/>
                <w:lang w:val="sk-SK"/>
              </w:rPr>
            </w:pPr>
          </w:p>
        </w:tc>
        <w:tc>
          <w:tcPr>
            <w:tcW w:w="785" w:type="dxa"/>
            <w:shd w:val="clear" w:color="auto" w:fill="C6EFCE"/>
            <w:noWrap/>
          </w:tcPr>
          <w:p w14:paraId="2272EB9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40" w:type="dxa"/>
            <w:shd w:val="clear" w:color="auto" w:fill="C6EFCE"/>
            <w:noWrap/>
          </w:tcPr>
          <w:p w14:paraId="2DC4C05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45" w:type="dxa"/>
            <w:shd w:val="clear" w:color="auto" w:fill="C6EFCE"/>
            <w:noWrap/>
          </w:tcPr>
          <w:p w14:paraId="7014BF0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989" w:type="dxa"/>
            <w:shd w:val="clear" w:color="auto" w:fill="C6EFCE"/>
            <w:noWrap/>
          </w:tcPr>
          <w:p w14:paraId="66F21496" w14:textId="155C235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Rozšíriť počet aktívnych akademických učebných plánov</w:t>
            </w:r>
            <w:r w:rsidR="00AB26B3" w:rsidRPr="00AB26B3">
              <w:rPr>
                <w:noProof/>
                <w:spacing w:val="-6"/>
                <w:lang w:val="sk-SK"/>
              </w:rPr>
              <w:t xml:space="preserve"> v </w:t>
            </w:r>
            <w:r w:rsidRPr="00AB26B3">
              <w:rPr>
                <w:noProof/>
                <w:spacing w:val="-6"/>
                <w:lang w:val="sk-SK"/>
              </w:rPr>
              <w:t>oblasti rodinnej medicíny aspoň na 75</w:t>
            </w:r>
            <w:r w:rsidR="00AB26B3" w:rsidRPr="00AB26B3">
              <w:rPr>
                <w:noProof/>
                <w:spacing w:val="-6"/>
                <w:lang w:val="sk-SK"/>
              </w:rPr>
              <w:t> %</w:t>
            </w:r>
            <w:r w:rsidRPr="00AB26B3">
              <w:rPr>
                <w:noProof/>
                <w:spacing w:val="-6"/>
                <w:lang w:val="sk-SK"/>
              </w:rPr>
              <w:t xml:space="preserve"> zdravotníckych škôl</w:t>
            </w:r>
            <w:r w:rsidR="00AB26B3" w:rsidRPr="00AB26B3">
              <w:rPr>
                <w:noProof/>
                <w:spacing w:val="-6"/>
                <w:lang w:val="sk-SK"/>
              </w:rPr>
              <w:t xml:space="preserve"> v </w:t>
            </w:r>
            <w:r w:rsidRPr="00AB26B3">
              <w:rPr>
                <w:noProof/>
                <w:spacing w:val="-6"/>
                <w:lang w:val="sk-SK"/>
              </w:rPr>
              <w:t>Grécku</w:t>
            </w:r>
            <w:r w:rsidR="00AB26B3" w:rsidRPr="00AB26B3">
              <w:rPr>
                <w:noProof/>
                <w:spacing w:val="-6"/>
                <w:lang w:val="sk-SK"/>
              </w:rPr>
              <w:t xml:space="preserve"> a </w:t>
            </w:r>
            <w:r w:rsidRPr="00AB26B3">
              <w:rPr>
                <w:noProof/>
                <w:spacing w:val="-6"/>
                <w:lang w:val="sk-SK"/>
              </w:rPr>
              <w:t>zahrnúť povinný modul</w:t>
            </w:r>
            <w:r w:rsidR="00AB26B3" w:rsidRPr="00AB26B3">
              <w:rPr>
                <w:noProof/>
                <w:spacing w:val="-6"/>
                <w:lang w:val="sk-SK"/>
              </w:rPr>
              <w:t xml:space="preserve"> v </w:t>
            </w:r>
            <w:r w:rsidRPr="00AB26B3">
              <w:rPr>
                <w:noProof/>
                <w:spacing w:val="-6"/>
                <w:lang w:val="sk-SK"/>
              </w:rPr>
              <w:t>oblasti rodinnej medicíny do všetkých učebných plánov</w:t>
            </w:r>
            <w:r w:rsidR="00AB26B3" w:rsidRPr="00AB26B3">
              <w:rPr>
                <w:noProof/>
                <w:spacing w:val="-6"/>
                <w:lang w:val="sk-SK"/>
              </w:rPr>
              <w:t xml:space="preserve"> v </w:t>
            </w:r>
            <w:r w:rsidRPr="00AB26B3">
              <w:rPr>
                <w:noProof/>
                <w:spacing w:val="-6"/>
                <w:lang w:val="sk-SK"/>
              </w:rPr>
              <w:t>oblasti medicíny. To zahŕňa dokumentáciu pre dotknuté univerzity,</w:t>
            </w:r>
            <w:r w:rsidR="00AB26B3" w:rsidRPr="00AB26B3">
              <w:rPr>
                <w:noProof/>
                <w:spacing w:val="-6"/>
                <w:lang w:val="sk-SK"/>
              </w:rPr>
              <w:t xml:space="preserve"> v </w:t>
            </w:r>
            <w:r w:rsidRPr="00AB26B3">
              <w:rPr>
                <w:noProof/>
                <w:spacing w:val="-6"/>
                <w:lang w:val="sk-SK"/>
              </w:rPr>
              <w:t>ktorej sa zdôrazňuje nová architektúra titulov: 1. novovytvorené učebné osnovy</w:t>
            </w:r>
            <w:r w:rsidR="00AB26B3" w:rsidRPr="00AB26B3">
              <w:rPr>
                <w:noProof/>
                <w:spacing w:val="-6"/>
                <w:lang w:val="sk-SK"/>
              </w:rPr>
              <w:t xml:space="preserve"> a </w:t>
            </w:r>
            <w:r w:rsidRPr="00AB26B3">
              <w:rPr>
                <w:noProof/>
                <w:spacing w:val="-6"/>
                <w:lang w:val="sk-SK"/>
              </w:rPr>
              <w:t>2. začlenenie povinného modulu do rodinnej medicíny do existujúcich učebných osnov).</w:t>
            </w:r>
          </w:p>
        </w:tc>
      </w:tr>
      <w:tr w:rsidR="00302FC1" w:rsidRPr="00AB26B3" w14:paraId="6F543E18" w14:textId="77777777">
        <w:trPr>
          <w:trHeight w:val="313"/>
        </w:trPr>
        <w:tc>
          <w:tcPr>
            <w:tcW w:w="708" w:type="dxa"/>
            <w:shd w:val="clear" w:color="auto" w:fill="C6EFCE"/>
            <w:noWrap/>
          </w:tcPr>
          <w:p w14:paraId="30872C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160</w:t>
            </w:r>
          </w:p>
        </w:tc>
        <w:tc>
          <w:tcPr>
            <w:tcW w:w="2036" w:type="dxa"/>
            <w:shd w:val="clear" w:color="auto" w:fill="C6EFCE"/>
            <w:noWrap/>
          </w:tcPr>
          <w:p w14:paraId="759EB936" w14:textId="324DC95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16820_Reforma</w:t>
            </w:r>
            <w:r w:rsidR="00AB26B3" w:rsidRPr="00AB26B3">
              <w:rPr>
                <w:noProof/>
                <w:spacing w:val="-6"/>
                <w:lang w:val="sk-SK"/>
              </w:rPr>
              <w:t xml:space="preserve"> v </w:t>
            </w:r>
            <w:r w:rsidRPr="00AB26B3">
              <w:rPr>
                <w:noProof/>
                <w:spacing w:val="-6"/>
                <w:lang w:val="sk-SK"/>
              </w:rPr>
              <w:t>oblasti duševného zdravia</w:t>
            </w:r>
            <w:r w:rsidR="00AB26B3" w:rsidRPr="00AB26B3">
              <w:rPr>
                <w:noProof/>
                <w:spacing w:val="-6"/>
                <w:lang w:val="sk-SK"/>
              </w:rPr>
              <w:t xml:space="preserve"> a </w:t>
            </w:r>
            <w:r w:rsidRPr="00AB26B3">
              <w:rPr>
                <w:noProof/>
                <w:spacing w:val="-6"/>
                <w:lang w:val="sk-SK"/>
              </w:rPr>
              <w:t>závislostí</w:t>
            </w:r>
          </w:p>
          <w:p w14:paraId="0853465F" w14:textId="22A856C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27" w:type="dxa"/>
            <w:shd w:val="clear" w:color="auto" w:fill="C6EFCE"/>
            <w:noWrap/>
          </w:tcPr>
          <w:p w14:paraId="7DBF522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293" w:type="dxa"/>
            <w:shd w:val="clear" w:color="auto" w:fill="C6EFCE"/>
            <w:noWrap/>
          </w:tcPr>
          <w:p w14:paraId="2FBF5904" w14:textId="34EDB0B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Duševné zdravie – 50 otvorených jednotiek – krok 1</w:t>
            </w:r>
            <w:r w:rsidR="00AB26B3" w:rsidRPr="00AB26B3">
              <w:rPr>
                <w:noProof/>
                <w:spacing w:val="-6"/>
                <w:lang w:val="sk-SK"/>
              </w:rPr>
              <w:t xml:space="preserve"> z </w:t>
            </w:r>
            <w:r w:rsidRPr="00AB26B3">
              <w:rPr>
                <w:noProof/>
                <w:spacing w:val="-6"/>
                <w:lang w:val="sk-SK"/>
              </w:rPr>
              <w:t>2</w:t>
            </w:r>
          </w:p>
        </w:tc>
        <w:tc>
          <w:tcPr>
            <w:tcW w:w="1707" w:type="dxa"/>
            <w:shd w:val="clear" w:color="auto" w:fill="C6EFCE"/>
            <w:noWrap/>
          </w:tcPr>
          <w:p w14:paraId="5AC6C6C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84" w:type="dxa"/>
            <w:shd w:val="clear" w:color="auto" w:fill="C6EFCE"/>
            <w:noWrap/>
          </w:tcPr>
          <w:p w14:paraId="16C53982" w14:textId="0DB4CAE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dokončených</w:t>
            </w:r>
            <w:r w:rsidR="00AB26B3" w:rsidRPr="00AB26B3">
              <w:rPr>
                <w:noProof/>
                <w:spacing w:val="-6"/>
                <w:lang w:val="sk-SK"/>
              </w:rPr>
              <w:t xml:space="preserve"> a </w:t>
            </w:r>
            <w:r w:rsidRPr="00AB26B3">
              <w:rPr>
                <w:noProof/>
                <w:spacing w:val="-6"/>
                <w:lang w:val="sk-SK"/>
              </w:rPr>
              <w:t>funkčných jednotiek duševného zdravia</w:t>
            </w:r>
          </w:p>
        </w:tc>
        <w:tc>
          <w:tcPr>
            <w:tcW w:w="974" w:type="dxa"/>
            <w:shd w:val="clear" w:color="auto" w:fill="C6EFCE"/>
            <w:noWrap/>
          </w:tcPr>
          <w:p w14:paraId="273BE8F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85" w:type="dxa"/>
            <w:shd w:val="clear" w:color="auto" w:fill="C6EFCE"/>
            <w:noWrap/>
          </w:tcPr>
          <w:p w14:paraId="4064790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50</w:t>
            </w:r>
          </w:p>
        </w:tc>
        <w:tc>
          <w:tcPr>
            <w:tcW w:w="1040" w:type="dxa"/>
            <w:shd w:val="clear" w:color="auto" w:fill="C6EFCE"/>
            <w:noWrap/>
          </w:tcPr>
          <w:p w14:paraId="69832D8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45" w:type="dxa"/>
            <w:shd w:val="clear" w:color="auto" w:fill="C6EFCE"/>
            <w:noWrap/>
          </w:tcPr>
          <w:p w14:paraId="68773C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989" w:type="dxa"/>
            <w:shd w:val="clear" w:color="auto" w:fill="C6EFCE"/>
            <w:noWrap/>
          </w:tcPr>
          <w:p w14:paraId="4151847B" w14:textId="0D34922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Zriadenie</w:t>
            </w:r>
            <w:r w:rsidR="00AB26B3" w:rsidRPr="00AB26B3">
              <w:rPr>
                <w:noProof/>
                <w:spacing w:val="-6"/>
                <w:lang w:val="sk-SK"/>
              </w:rPr>
              <w:t xml:space="preserve"> a </w:t>
            </w:r>
            <w:r w:rsidRPr="00AB26B3">
              <w:rPr>
                <w:noProof/>
                <w:spacing w:val="-6"/>
                <w:lang w:val="sk-SK"/>
              </w:rPr>
              <w:t>úplná prevádzka 50 jednotiek duševného zdravia (realizovaných prostredníctvom renovácie existujúcich jednotiek) podporovaných</w:t>
            </w:r>
            <w:r w:rsidR="00AB26B3" w:rsidRPr="00AB26B3">
              <w:rPr>
                <w:noProof/>
                <w:spacing w:val="-6"/>
                <w:lang w:val="sk-SK"/>
              </w:rPr>
              <w:t xml:space="preserve"> v </w:t>
            </w:r>
            <w:r w:rsidRPr="00AB26B3">
              <w:rPr>
                <w:noProof/>
                <w:spacing w:val="-6"/>
                <w:lang w:val="sk-SK"/>
              </w:rPr>
              <w:t>rámci národného strategického plánu na podporu duševného zdravia (z celkového počtu 106 jednotiek duševného zdravia)</w:t>
            </w:r>
          </w:p>
        </w:tc>
      </w:tr>
      <w:tr w:rsidR="00302FC1" w:rsidRPr="00AB26B3" w14:paraId="46ADAE3A" w14:textId="77777777">
        <w:trPr>
          <w:trHeight w:val="313"/>
        </w:trPr>
        <w:tc>
          <w:tcPr>
            <w:tcW w:w="708" w:type="dxa"/>
            <w:shd w:val="clear" w:color="auto" w:fill="C6EFCE"/>
            <w:noWrap/>
          </w:tcPr>
          <w:p w14:paraId="0DDF0F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162</w:t>
            </w:r>
          </w:p>
        </w:tc>
        <w:tc>
          <w:tcPr>
            <w:tcW w:w="2036" w:type="dxa"/>
            <w:shd w:val="clear" w:color="auto" w:fill="C6EFCE"/>
            <w:noWrap/>
          </w:tcPr>
          <w:p w14:paraId="4167AFDD" w14:textId="5252CC9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16820_Reforma</w:t>
            </w:r>
            <w:r w:rsidR="00AB26B3" w:rsidRPr="00AB26B3">
              <w:rPr>
                <w:noProof/>
                <w:spacing w:val="-6"/>
                <w:lang w:val="sk-SK"/>
              </w:rPr>
              <w:t xml:space="preserve"> v </w:t>
            </w:r>
            <w:r w:rsidRPr="00AB26B3">
              <w:rPr>
                <w:noProof/>
                <w:spacing w:val="-6"/>
                <w:lang w:val="sk-SK"/>
              </w:rPr>
              <w:t>oblasti duševného zdravia</w:t>
            </w:r>
            <w:r w:rsidR="00AB26B3" w:rsidRPr="00AB26B3">
              <w:rPr>
                <w:noProof/>
                <w:spacing w:val="-6"/>
                <w:lang w:val="sk-SK"/>
              </w:rPr>
              <w:t xml:space="preserve"> a </w:t>
            </w:r>
            <w:r w:rsidRPr="00AB26B3">
              <w:rPr>
                <w:noProof/>
                <w:spacing w:val="-6"/>
                <w:lang w:val="sk-SK"/>
              </w:rPr>
              <w:t>závislostí</w:t>
            </w:r>
          </w:p>
        </w:tc>
        <w:tc>
          <w:tcPr>
            <w:tcW w:w="1027" w:type="dxa"/>
            <w:shd w:val="clear" w:color="auto" w:fill="C6EFCE"/>
            <w:noWrap/>
          </w:tcPr>
          <w:p w14:paraId="41D28E5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293" w:type="dxa"/>
            <w:shd w:val="clear" w:color="auto" w:fill="C6EFCE"/>
            <w:noWrap/>
          </w:tcPr>
          <w:p w14:paraId="45ABB6BC" w14:textId="67F99F1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Duševné zdravie – 106 otvorených jednotiek – 2. krok</w:t>
            </w:r>
            <w:r w:rsidR="00AB26B3" w:rsidRPr="00AB26B3">
              <w:rPr>
                <w:noProof/>
                <w:spacing w:val="-6"/>
                <w:lang w:val="sk-SK"/>
              </w:rPr>
              <w:t xml:space="preserve"> z </w:t>
            </w:r>
            <w:r w:rsidRPr="00AB26B3">
              <w:rPr>
                <w:noProof/>
                <w:spacing w:val="-6"/>
                <w:lang w:val="sk-SK"/>
              </w:rPr>
              <w:t>2</w:t>
            </w:r>
          </w:p>
        </w:tc>
        <w:tc>
          <w:tcPr>
            <w:tcW w:w="1707" w:type="dxa"/>
            <w:shd w:val="clear" w:color="auto" w:fill="C6EFCE"/>
            <w:noWrap/>
          </w:tcPr>
          <w:p w14:paraId="678E324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84" w:type="dxa"/>
            <w:shd w:val="clear" w:color="auto" w:fill="C6EFCE"/>
            <w:noWrap/>
          </w:tcPr>
          <w:p w14:paraId="552C6BF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zriadených alebo zrenovovaných jednotiek duševného zdravia</w:t>
            </w:r>
          </w:p>
        </w:tc>
        <w:tc>
          <w:tcPr>
            <w:tcW w:w="974" w:type="dxa"/>
            <w:shd w:val="clear" w:color="auto" w:fill="C6EFCE"/>
            <w:noWrap/>
          </w:tcPr>
          <w:p w14:paraId="2435F0B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50</w:t>
            </w:r>
          </w:p>
        </w:tc>
        <w:tc>
          <w:tcPr>
            <w:tcW w:w="785" w:type="dxa"/>
            <w:shd w:val="clear" w:color="auto" w:fill="C6EFCE"/>
            <w:noWrap/>
          </w:tcPr>
          <w:p w14:paraId="445F7E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106</w:t>
            </w:r>
          </w:p>
          <w:p w14:paraId="1E88E5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40" w:type="dxa"/>
            <w:shd w:val="clear" w:color="auto" w:fill="C6EFCE"/>
            <w:noWrap/>
          </w:tcPr>
          <w:p w14:paraId="04C682B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45" w:type="dxa"/>
            <w:shd w:val="clear" w:color="auto" w:fill="C6EFCE"/>
            <w:noWrap/>
          </w:tcPr>
          <w:p w14:paraId="4E91DCD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989" w:type="dxa"/>
            <w:shd w:val="clear" w:color="auto" w:fill="C6EFCE"/>
            <w:noWrap/>
          </w:tcPr>
          <w:p w14:paraId="4CD29BBE" w14:textId="65355E3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Zriadenie</w:t>
            </w:r>
            <w:r w:rsidR="00AB26B3" w:rsidRPr="00AB26B3">
              <w:rPr>
                <w:noProof/>
                <w:spacing w:val="-6"/>
                <w:lang w:val="sk-SK"/>
              </w:rPr>
              <w:t xml:space="preserve"> a </w:t>
            </w:r>
            <w:r w:rsidRPr="00AB26B3">
              <w:rPr>
                <w:noProof/>
                <w:spacing w:val="-6"/>
                <w:lang w:val="sk-SK"/>
              </w:rPr>
              <w:t>začatie prevádzky 25 nových jednotiek duševného zdravia</w:t>
            </w:r>
            <w:r w:rsidR="00AB26B3" w:rsidRPr="00AB26B3">
              <w:rPr>
                <w:noProof/>
                <w:spacing w:val="-6"/>
                <w:lang w:val="sk-SK"/>
              </w:rPr>
              <w:t xml:space="preserve"> a </w:t>
            </w:r>
            <w:r w:rsidRPr="00AB26B3">
              <w:rPr>
                <w:noProof/>
                <w:spacing w:val="-6"/>
                <w:lang w:val="sk-SK"/>
              </w:rPr>
              <w:t>obnova 31 existujúcich jednotiek duševného zdravia podporovaných</w:t>
            </w:r>
            <w:r w:rsidR="00AB26B3" w:rsidRPr="00AB26B3">
              <w:rPr>
                <w:noProof/>
                <w:spacing w:val="-6"/>
                <w:lang w:val="sk-SK"/>
              </w:rPr>
              <w:t xml:space="preserve"> z </w:t>
            </w:r>
            <w:r w:rsidRPr="00AB26B3">
              <w:rPr>
                <w:noProof/>
                <w:spacing w:val="-6"/>
                <w:lang w:val="sk-SK"/>
              </w:rPr>
              <w:t>národného strategického plánu na podporu duševného zdravia, ako aj vývoj webových aplikácií</w:t>
            </w:r>
            <w:r w:rsidR="00AB26B3" w:rsidRPr="00AB26B3">
              <w:rPr>
                <w:noProof/>
                <w:spacing w:val="-6"/>
                <w:lang w:val="sk-SK"/>
              </w:rPr>
              <w:t xml:space="preserve"> a </w:t>
            </w:r>
            <w:r w:rsidRPr="00AB26B3">
              <w:rPr>
                <w:noProof/>
                <w:spacing w:val="-6"/>
                <w:lang w:val="sk-SK"/>
              </w:rPr>
              <w:t>digitalizácia služieb</w:t>
            </w:r>
            <w:r w:rsidR="00AB26B3" w:rsidRPr="00AB26B3">
              <w:rPr>
                <w:noProof/>
                <w:spacing w:val="-6"/>
                <w:lang w:val="sk-SK"/>
              </w:rPr>
              <w:t xml:space="preserve"> v </w:t>
            </w:r>
            <w:r w:rsidRPr="00AB26B3">
              <w:rPr>
                <w:noProof/>
                <w:spacing w:val="-6"/>
                <w:lang w:val="sk-SK"/>
              </w:rPr>
              <w:t>oblasti duševného zdravia (pozostávajúca</w:t>
            </w:r>
            <w:r w:rsidR="00AB26B3" w:rsidRPr="00AB26B3">
              <w:rPr>
                <w:noProof/>
                <w:spacing w:val="-6"/>
                <w:lang w:val="sk-SK"/>
              </w:rPr>
              <w:t xml:space="preserve"> z </w:t>
            </w:r>
            <w:r w:rsidRPr="00AB26B3">
              <w:rPr>
                <w:noProof/>
                <w:spacing w:val="-6"/>
                <w:lang w:val="sk-SK"/>
              </w:rPr>
              <w:t>digitálnej mapy jednotiek duševného zdravia</w:t>
            </w:r>
            <w:r w:rsidR="00AB26B3" w:rsidRPr="00AB26B3">
              <w:rPr>
                <w:noProof/>
                <w:spacing w:val="-6"/>
                <w:lang w:val="sk-SK"/>
              </w:rPr>
              <w:t xml:space="preserve"> a </w:t>
            </w:r>
            <w:r w:rsidRPr="00AB26B3">
              <w:rPr>
                <w:noProof/>
                <w:spacing w:val="-6"/>
                <w:lang w:val="sk-SK"/>
              </w:rPr>
              <w:t>digitálnej platformy pre dohľad nad neziskovými subjektmi poskytujúcimi služby</w:t>
            </w:r>
            <w:r w:rsidR="00AB26B3" w:rsidRPr="00AB26B3">
              <w:rPr>
                <w:noProof/>
                <w:spacing w:val="-6"/>
                <w:lang w:val="sk-SK"/>
              </w:rPr>
              <w:t xml:space="preserve"> v </w:t>
            </w:r>
            <w:r w:rsidRPr="00AB26B3">
              <w:rPr>
                <w:noProof/>
                <w:spacing w:val="-6"/>
                <w:lang w:val="sk-SK"/>
              </w:rPr>
              <w:t xml:space="preserve">oblasti duševného zdravia) </w:t>
            </w:r>
          </w:p>
        </w:tc>
      </w:tr>
      <w:tr w:rsidR="00302FC1" w:rsidRPr="00AB26B3" w14:paraId="7B2C200E" w14:textId="77777777">
        <w:trPr>
          <w:trHeight w:val="313"/>
        </w:trPr>
        <w:tc>
          <w:tcPr>
            <w:tcW w:w="708" w:type="dxa"/>
            <w:shd w:val="clear" w:color="auto" w:fill="C6EFCE"/>
            <w:noWrap/>
          </w:tcPr>
          <w:p w14:paraId="1001B79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163</w:t>
            </w:r>
          </w:p>
        </w:tc>
        <w:tc>
          <w:tcPr>
            <w:tcW w:w="2036" w:type="dxa"/>
            <w:shd w:val="clear" w:color="auto" w:fill="C6EFCE"/>
            <w:noWrap/>
          </w:tcPr>
          <w:p w14:paraId="2CEE0C5B" w14:textId="158BF06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16756_Organizačné reformy</w:t>
            </w:r>
            <w:r w:rsidR="00AB26B3" w:rsidRPr="00AB26B3">
              <w:rPr>
                <w:noProof/>
                <w:spacing w:val="-6"/>
                <w:lang w:val="sk-SK"/>
              </w:rPr>
              <w:t xml:space="preserve"> v </w:t>
            </w:r>
            <w:r w:rsidRPr="00AB26B3">
              <w:rPr>
                <w:noProof/>
                <w:spacing w:val="-6"/>
                <w:lang w:val="sk-SK"/>
              </w:rPr>
              <w:t xml:space="preserve">systéme zdravotnej starostlivosti </w:t>
            </w:r>
          </w:p>
        </w:tc>
        <w:tc>
          <w:tcPr>
            <w:tcW w:w="1027" w:type="dxa"/>
            <w:shd w:val="clear" w:color="auto" w:fill="C6EFCE"/>
            <w:noWrap/>
          </w:tcPr>
          <w:p w14:paraId="435CBE6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93" w:type="dxa"/>
            <w:shd w:val="clear" w:color="auto" w:fill="C6EFCE"/>
            <w:noWrap/>
          </w:tcPr>
          <w:p w14:paraId="58002F02" w14:textId="1C4426D8"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Grécky DRG inštitút KETEKNY</w:t>
            </w:r>
            <w:r w:rsidR="00AB26B3" w:rsidRPr="00AB26B3">
              <w:rPr>
                <w:noProof/>
                <w:color w:val="006100"/>
                <w:spacing w:val="-6"/>
                <w:lang w:val="sk-SK"/>
              </w:rPr>
              <w:t xml:space="preserve"> a </w:t>
            </w:r>
            <w:r w:rsidRPr="00AB26B3">
              <w:rPr>
                <w:noProof/>
                <w:color w:val="006100"/>
                <w:spacing w:val="-6"/>
                <w:lang w:val="sk-SK"/>
              </w:rPr>
              <w:t>nová</w:t>
            </w:r>
            <w:r w:rsidRPr="00AB26B3">
              <w:rPr>
                <w:noProof/>
                <w:spacing w:val="-6"/>
                <w:lang w:val="sk-SK"/>
              </w:rPr>
              <w:t xml:space="preserve"> </w:t>
            </w:r>
            <w:r w:rsidRPr="00AB26B3">
              <w:rPr>
                <w:noProof/>
                <w:color w:val="006100"/>
                <w:spacing w:val="-6"/>
                <w:lang w:val="sk-SK"/>
              </w:rPr>
              <w:t xml:space="preserve">Agentúra pre zabezpečenie kvality zdravotnej starostlivosti ODIPY </w:t>
            </w:r>
          </w:p>
        </w:tc>
        <w:tc>
          <w:tcPr>
            <w:tcW w:w="1707" w:type="dxa"/>
            <w:shd w:val="clear" w:color="auto" w:fill="C6EFCE"/>
            <w:noWrap/>
          </w:tcPr>
          <w:p w14:paraId="1A183A2B" w14:textId="77BDC75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Platformy, stratégia</w:t>
            </w:r>
            <w:r w:rsidR="00AB26B3" w:rsidRPr="00AB26B3">
              <w:rPr>
                <w:noProof/>
                <w:spacing w:val="-6"/>
                <w:lang w:val="sk-SK"/>
              </w:rPr>
              <w:t xml:space="preserve"> a </w:t>
            </w:r>
            <w:r w:rsidRPr="00AB26B3">
              <w:rPr>
                <w:noProof/>
                <w:spacing w:val="-6"/>
                <w:lang w:val="sk-SK"/>
              </w:rPr>
              <w:t>legislatívny rámec</w:t>
            </w:r>
            <w:r w:rsidR="00AB26B3" w:rsidRPr="00AB26B3">
              <w:rPr>
                <w:noProof/>
                <w:spacing w:val="-6"/>
                <w:lang w:val="sk-SK"/>
              </w:rPr>
              <w:t xml:space="preserve"> a </w:t>
            </w:r>
            <w:r w:rsidRPr="00AB26B3">
              <w:rPr>
                <w:noProof/>
                <w:spacing w:val="-6"/>
                <w:lang w:val="sk-SK"/>
              </w:rPr>
              <w:t>politiky, normy</w:t>
            </w:r>
            <w:r w:rsidR="00AB26B3" w:rsidRPr="00AB26B3">
              <w:rPr>
                <w:noProof/>
                <w:spacing w:val="-6"/>
                <w:lang w:val="sk-SK"/>
              </w:rPr>
              <w:t xml:space="preserve"> a </w:t>
            </w:r>
            <w:r w:rsidRPr="00AB26B3">
              <w:rPr>
                <w:noProof/>
                <w:spacing w:val="-6"/>
                <w:lang w:val="sk-SK"/>
              </w:rPr>
              <w:t xml:space="preserve">postupy. </w:t>
            </w:r>
          </w:p>
        </w:tc>
        <w:tc>
          <w:tcPr>
            <w:tcW w:w="1784" w:type="dxa"/>
            <w:shd w:val="clear" w:color="auto" w:fill="C6EFCE"/>
            <w:noWrap/>
          </w:tcPr>
          <w:p w14:paraId="2E7C405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74" w:type="dxa"/>
            <w:shd w:val="clear" w:color="auto" w:fill="C6EFCE"/>
            <w:noWrap/>
          </w:tcPr>
          <w:p w14:paraId="6FBC1BD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85" w:type="dxa"/>
            <w:shd w:val="clear" w:color="auto" w:fill="C6EFCE"/>
            <w:noWrap/>
          </w:tcPr>
          <w:p w14:paraId="1E85250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40" w:type="dxa"/>
            <w:shd w:val="clear" w:color="auto" w:fill="C6EFCE"/>
            <w:noWrap/>
          </w:tcPr>
          <w:p w14:paraId="74EB60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45" w:type="dxa"/>
            <w:shd w:val="clear" w:color="auto" w:fill="C6EFCE"/>
            <w:noWrap/>
          </w:tcPr>
          <w:p w14:paraId="04CFD38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89" w:type="dxa"/>
            <w:shd w:val="clear" w:color="auto" w:fill="C6EFCE"/>
            <w:noWrap/>
          </w:tcPr>
          <w:p w14:paraId="7E8869FE" w14:textId="77777777" w:rsidR="00AB26B3" w:rsidRPr="00AB26B3" w:rsidRDefault="00D64F26">
            <w:pPr>
              <w:pStyle w:val="P68B1DB1-Normal24"/>
              <w:spacing w:after="0" w:line="240" w:lineRule="auto"/>
              <w:rPr>
                <w:noProof/>
                <w:spacing w:val="-6"/>
                <w:lang w:val="sk-SK"/>
              </w:rPr>
            </w:pPr>
            <w:r w:rsidRPr="00AB26B3">
              <w:rPr>
                <w:noProof/>
                <w:spacing w:val="-6"/>
                <w:lang w:val="sk-SK"/>
              </w:rPr>
              <w:t xml:space="preserve"> Splnenie tohto míľnika si vyžaduje, aby</w:t>
            </w:r>
            <w:r w:rsidR="00AB26B3" w:rsidRPr="00AB26B3">
              <w:rPr>
                <w:noProof/>
                <w:spacing w:val="-6"/>
                <w:lang w:val="sk-SK"/>
              </w:rPr>
              <w:t>:</w:t>
            </w:r>
          </w:p>
          <w:p w14:paraId="51B3CC6D" w14:textId="1E35519B"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79B652C7" w14:textId="765FCB22" w:rsidR="00302FC1" w:rsidRPr="00AB26B3" w:rsidRDefault="00D64F26">
            <w:pPr>
              <w:pStyle w:val="P68B1DB1-ListParagraph19"/>
              <w:numPr>
                <w:ilvl w:val="0"/>
                <w:numId w:val="28"/>
              </w:numPr>
              <w:spacing w:after="0" w:line="240" w:lineRule="auto"/>
              <w:ind w:left="343" w:hanging="343"/>
              <w:rPr>
                <w:rFonts w:eastAsia="Times New Roman"/>
                <w:noProof/>
                <w:spacing w:val="-6"/>
                <w:lang w:val="sk-SK"/>
              </w:rPr>
            </w:pPr>
            <w:r w:rsidRPr="00AB26B3">
              <w:rPr>
                <w:noProof/>
                <w:spacing w:val="-6"/>
                <w:lang w:val="sk-SK"/>
              </w:rPr>
              <w:t>Rozšírenie interoperability – aplikačné programovacie rozhrania (API) DRG kódovania je online</w:t>
            </w:r>
            <w:r w:rsidR="00AB26B3" w:rsidRPr="00AB26B3">
              <w:rPr>
                <w:noProof/>
                <w:spacing w:val="-6"/>
                <w:lang w:val="sk-SK"/>
              </w:rPr>
              <w:t xml:space="preserve"> a </w:t>
            </w:r>
            <w:r w:rsidRPr="00AB26B3">
              <w:rPr>
                <w:noProof/>
                <w:spacing w:val="-6"/>
                <w:lang w:val="sk-SK"/>
              </w:rPr>
              <w:t>prístupné</w:t>
            </w:r>
          </w:p>
          <w:p w14:paraId="62928CAF" w14:textId="72F5C7C0" w:rsidR="00302FC1" w:rsidRPr="00AB26B3" w:rsidRDefault="00D64F26">
            <w:pPr>
              <w:pStyle w:val="P68B1DB1-ListParagraph41"/>
              <w:numPr>
                <w:ilvl w:val="0"/>
                <w:numId w:val="28"/>
              </w:numPr>
              <w:spacing w:after="0" w:line="240" w:lineRule="auto"/>
              <w:ind w:left="343" w:hanging="343"/>
              <w:rPr>
                <w:rFonts w:eastAsia="Times New Roman"/>
                <w:noProof/>
                <w:color w:val="006100"/>
                <w:spacing w:val="-6"/>
                <w:lang w:val="sk-SK"/>
              </w:rPr>
            </w:pPr>
            <w:r w:rsidRPr="00AB26B3">
              <w:rPr>
                <w:noProof/>
                <w:color w:val="006100"/>
                <w:spacing w:val="-6"/>
                <w:lang w:val="sk-SK"/>
              </w:rPr>
              <w:t>konzultačná platforma Medzinárodnej klasifikácie chorôb (ICD)</w:t>
            </w:r>
            <w:r w:rsidR="00AB26B3" w:rsidRPr="00AB26B3">
              <w:rPr>
                <w:noProof/>
                <w:color w:val="006100"/>
                <w:spacing w:val="-6"/>
                <w:lang w:val="sk-SK"/>
              </w:rPr>
              <w:t xml:space="preserve"> a </w:t>
            </w:r>
            <w:r w:rsidRPr="00AB26B3">
              <w:rPr>
                <w:noProof/>
                <w:color w:val="006100"/>
                <w:spacing w:val="-6"/>
                <w:lang w:val="sk-SK"/>
              </w:rPr>
              <w:t>gréckej klasifikácie lekárskych postupov (ETIP) pre lekárske kódovanie je online</w:t>
            </w:r>
            <w:r w:rsidR="00AB26B3" w:rsidRPr="00AB26B3">
              <w:rPr>
                <w:noProof/>
                <w:color w:val="006100"/>
                <w:spacing w:val="-6"/>
                <w:lang w:val="sk-SK"/>
              </w:rPr>
              <w:t xml:space="preserve"> a </w:t>
            </w:r>
            <w:r w:rsidRPr="00AB26B3">
              <w:rPr>
                <w:noProof/>
                <w:color w:val="006100"/>
                <w:spacing w:val="-6"/>
                <w:lang w:val="sk-SK"/>
              </w:rPr>
              <w:t>prístupná</w:t>
            </w:r>
            <w:r w:rsidRPr="00AB26B3">
              <w:rPr>
                <w:noProof/>
                <w:spacing w:val="-6"/>
                <w:lang w:val="sk-SK"/>
              </w:rPr>
              <w:t>.</w:t>
            </w:r>
          </w:p>
          <w:p w14:paraId="6F03B545" w14:textId="77777777" w:rsidR="00AB26B3" w:rsidRPr="00AB26B3" w:rsidRDefault="00D64F26">
            <w:pPr>
              <w:pStyle w:val="P68B1DB1-ListParagraph19"/>
              <w:numPr>
                <w:ilvl w:val="0"/>
                <w:numId w:val="28"/>
              </w:numPr>
              <w:spacing w:after="0" w:line="240" w:lineRule="auto"/>
              <w:ind w:left="343" w:hanging="343"/>
              <w:rPr>
                <w:noProof/>
                <w:spacing w:val="-6"/>
                <w:lang w:val="sk-SK"/>
              </w:rPr>
            </w:pPr>
            <w:r w:rsidRPr="00AB26B3">
              <w:rPr>
                <w:noProof/>
                <w:spacing w:val="-6"/>
                <w:lang w:val="sk-SK"/>
              </w:rPr>
              <w:t>platforma na zber finančných</w:t>
            </w:r>
            <w:r w:rsidR="00AB26B3" w:rsidRPr="00AB26B3">
              <w:rPr>
                <w:noProof/>
                <w:spacing w:val="-6"/>
                <w:lang w:val="sk-SK"/>
              </w:rPr>
              <w:t xml:space="preserve"> a </w:t>
            </w:r>
            <w:r w:rsidRPr="00AB26B3">
              <w:rPr>
                <w:noProof/>
                <w:spacing w:val="-6"/>
                <w:lang w:val="sk-SK"/>
              </w:rPr>
              <w:t>účtovných údajov je online</w:t>
            </w:r>
            <w:r w:rsidR="00AB26B3" w:rsidRPr="00AB26B3">
              <w:rPr>
                <w:noProof/>
                <w:spacing w:val="-6"/>
                <w:lang w:val="sk-SK"/>
              </w:rPr>
              <w:t xml:space="preserve"> a </w:t>
            </w:r>
            <w:r w:rsidRPr="00AB26B3">
              <w:rPr>
                <w:noProof/>
                <w:spacing w:val="-6"/>
                <w:lang w:val="sk-SK"/>
              </w:rPr>
              <w:t>prístupná</w:t>
            </w:r>
          </w:p>
          <w:p w14:paraId="566217D8" w14:textId="5E9E03C6" w:rsidR="00302FC1" w:rsidRPr="00AB26B3" w:rsidRDefault="00D64F26">
            <w:pPr>
              <w:pStyle w:val="P68B1DB1-ListParagraph19"/>
              <w:numPr>
                <w:ilvl w:val="0"/>
                <w:numId w:val="28"/>
              </w:numPr>
              <w:spacing w:after="0" w:line="240" w:lineRule="auto"/>
              <w:ind w:left="343" w:hanging="343"/>
              <w:rPr>
                <w:rFonts w:eastAsia="Times New Roman"/>
                <w:noProof/>
                <w:spacing w:val="-6"/>
                <w:lang w:val="sk-SK"/>
              </w:rPr>
            </w:pPr>
            <w:r w:rsidRPr="00AB26B3">
              <w:rPr>
                <w:noProof/>
                <w:spacing w:val="-6"/>
                <w:lang w:val="sk-SK"/>
              </w:rPr>
              <w:t>národná mapa zdravia (pre dopyt</w:t>
            </w:r>
            <w:r w:rsidR="00AB26B3" w:rsidRPr="00AB26B3">
              <w:rPr>
                <w:noProof/>
                <w:spacing w:val="-6"/>
                <w:lang w:val="sk-SK"/>
              </w:rPr>
              <w:t xml:space="preserve"> a </w:t>
            </w:r>
            <w:r w:rsidRPr="00AB26B3">
              <w:rPr>
                <w:noProof/>
                <w:spacing w:val="-6"/>
                <w:lang w:val="sk-SK"/>
              </w:rPr>
              <w:t>ponuku služieb</w:t>
            </w:r>
            <w:r w:rsidR="00AB26B3" w:rsidRPr="00AB26B3">
              <w:rPr>
                <w:noProof/>
                <w:spacing w:val="-6"/>
                <w:lang w:val="sk-SK"/>
              </w:rPr>
              <w:t xml:space="preserve"> v </w:t>
            </w:r>
            <w:r w:rsidRPr="00AB26B3">
              <w:rPr>
                <w:noProof/>
                <w:spacing w:val="-6"/>
                <w:lang w:val="sk-SK"/>
              </w:rPr>
              <w:t>systéme zdravotnej starostlivosti) je online</w:t>
            </w:r>
            <w:r w:rsidR="00AB26B3" w:rsidRPr="00AB26B3">
              <w:rPr>
                <w:noProof/>
                <w:spacing w:val="-6"/>
                <w:lang w:val="sk-SK"/>
              </w:rPr>
              <w:t xml:space="preserve"> a </w:t>
            </w:r>
            <w:r w:rsidRPr="00AB26B3">
              <w:rPr>
                <w:noProof/>
                <w:spacing w:val="-6"/>
                <w:lang w:val="sk-SK"/>
              </w:rPr>
              <w:t>prístupná</w:t>
            </w:r>
          </w:p>
          <w:p w14:paraId="3B0CF552" w14:textId="157759BE" w:rsidR="00302FC1" w:rsidRPr="00AB26B3" w:rsidRDefault="00D64F26">
            <w:pPr>
              <w:pStyle w:val="P68B1DB1-ListParagraph19"/>
              <w:numPr>
                <w:ilvl w:val="0"/>
                <w:numId w:val="28"/>
              </w:numPr>
              <w:spacing w:after="0" w:line="240" w:lineRule="auto"/>
              <w:ind w:left="343" w:hanging="343"/>
              <w:rPr>
                <w:rFonts w:eastAsia="Times New Roman"/>
                <w:noProof/>
                <w:spacing w:val="-6"/>
                <w:lang w:val="sk-SK"/>
              </w:rPr>
            </w:pPr>
            <w:r w:rsidRPr="00AB26B3">
              <w:rPr>
                <w:noProof/>
                <w:spacing w:val="-6"/>
                <w:lang w:val="sk-SK"/>
              </w:rPr>
              <w:t>nadobudnutie účinnosti legislatívneho rámca pre zabezpečenie kvality, bezpečnosť pacientov</w:t>
            </w:r>
            <w:r w:rsidR="00AB26B3" w:rsidRPr="00AB26B3">
              <w:rPr>
                <w:noProof/>
                <w:spacing w:val="-6"/>
                <w:lang w:val="sk-SK"/>
              </w:rPr>
              <w:t xml:space="preserve"> a </w:t>
            </w:r>
            <w:r w:rsidRPr="00AB26B3">
              <w:rPr>
                <w:noProof/>
                <w:spacing w:val="-6"/>
                <w:lang w:val="sk-SK"/>
              </w:rPr>
              <w:t>zapojenie pacientov, politiky</w:t>
            </w:r>
            <w:r w:rsidR="00AB26B3" w:rsidRPr="00AB26B3">
              <w:rPr>
                <w:noProof/>
                <w:spacing w:val="-6"/>
                <w:lang w:val="sk-SK"/>
              </w:rPr>
              <w:t xml:space="preserve"> v </w:t>
            </w:r>
            <w:r w:rsidRPr="00AB26B3">
              <w:rPr>
                <w:noProof/>
                <w:spacing w:val="-6"/>
                <w:lang w:val="sk-SK"/>
              </w:rPr>
              <w:t>oblasti starostlivosti</w:t>
            </w:r>
            <w:r w:rsidR="00AB26B3" w:rsidRPr="00AB26B3">
              <w:rPr>
                <w:noProof/>
                <w:spacing w:val="-6"/>
                <w:lang w:val="sk-SK"/>
              </w:rPr>
              <w:t xml:space="preserve"> a </w:t>
            </w:r>
            <w:r w:rsidRPr="00AB26B3">
              <w:rPr>
                <w:noProof/>
                <w:spacing w:val="-6"/>
                <w:lang w:val="sk-SK"/>
              </w:rPr>
              <w:t xml:space="preserve">bezpečnosti, ktorého prílohou je súvisiaca národná stratégia. </w:t>
            </w:r>
          </w:p>
        </w:tc>
      </w:tr>
      <w:tr w:rsidR="00302FC1" w:rsidRPr="00AB26B3" w14:paraId="6F83AC76" w14:textId="77777777">
        <w:trPr>
          <w:trHeight w:val="313"/>
        </w:trPr>
        <w:tc>
          <w:tcPr>
            <w:tcW w:w="708" w:type="dxa"/>
            <w:shd w:val="clear" w:color="auto" w:fill="C6EFCE"/>
            <w:noWrap/>
          </w:tcPr>
          <w:p w14:paraId="66D6AE0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164</w:t>
            </w:r>
          </w:p>
        </w:tc>
        <w:tc>
          <w:tcPr>
            <w:tcW w:w="2036" w:type="dxa"/>
            <w:shd w:val="clear" w:color="auto" w:fill="C6EFCE"/>
            <w:noWrap/>
          </w:tcPr>
          <w:p w14:paraId="54DFF107" w14:textId="73B380E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16756_Organizačné reformy</w:t>
            </w:r>
            <w:r w:rsidR="00AB26B3" w:rsidRPr="00AB26B3">
              <w:rPr>
                <w:noProof/>
                <w:spacing w:val="-6"/>
                <w:lang w:val="sk-SK"/>
              </w:rPr>
              <w:t xml:space="preserve"> v </w:t>
            </w:r>
            <w:r w:rsidRPr="00AB26B3">
              <w:rPr>
                <w:noProof/>
                <w:spacing w:val="-6"/>
                <w:lang w:val="sk-SK"/>
              </w:rPr>
              <w:t xml:space="preserve">systéme zdravotnej starostlivosti </w:t>
            </w:r>
          </w:p>
        </w:tc>
        <w:tc>
          <w:tcPr>
            <w:tcW w:w="1027" w:type="dxa"/>
            <w:shd w:val="clear" w:color="auto" w:fill="C6EFCE"/>
            <w:noWrap/>
          </w:tcPr>
          <w:p w14:paraId="2E2E7E3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293" w:type="dxa"/>
            <w:shd w:val="clear" w:color="auto" w:fill="C6EFCE"/>
            <w:noWrap/>
          </w:tcPr>
          <w:p w14:paraId="48AE1585" w14:textId="5ACA308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Systém zdravotnej starostlivosti – odborná príprava</w:t>
            </w:r>
            <w:r w:rsidR="00AB26B3" w:rsidRPr="00AB26B3">
              <w:rPr>
                <w:noProof/>
                <w:spacing w:val="-6"/>
                <w:lang w:val="sk-SK"/>
              </w:rPr>
              <w:t xml:space="preserve"> v </w:t>
            </w:r>
            <w:r w:rsidRPr="00AB26B3">
              <w:rPr>
                <w:noProof/>
                <w:spacing w:val="-6"/>
                <w:lang w:val="sk-SK"/>
              </w:rPr>
              <w:t xml:space="preserve">oblasti KETEKNY </w:t>
            </w:r>
          </w:p>
        </w:tc>
        <w:tc>
          <w:tcPr>
            <w:tcW w:w="1707" w:type="dxa"/>
            <w:shd w:val="clear" w:color="auto" w:fill="C6EFCE"/>
            <w:noWrap/>
          </w:tcPr>
          <w:p w14:paraId="597C78F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84" w:type="dxa"/>
            <w:shd w:val="clear" w:color="auto" w:fill="C6EFCE"/>
            <w:noWrap/>
          </w:tcPr>
          <w:p w14:paraId="173979EB" w14:textId="01D8AD3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zdravotníckych pracovníkov certifikovaných na odbornú prípravu</w:t>
            </w:r>
            <w:r w:rsidR="00AB26B3" w:rsidRPr="00AB26B3">
              <w:rPr>
                <w:noProof/>
                <w:spacing w:val="-6"/>
                <w:lang w:val="sk-SK"/>
              </w:rPr>
              <w:t xml:space="preserve"> v </w:t>
            </w:r>
            <w:r w:rsidRPr="00AB26B3">
              <w:rPr>
                <w:noProof/>
                <w:spacing w:val="-6"/>
                <w:lang w:val="sk-SK"/>
              </w:rPr>
              <w:t>oblasti klinického kódovania</w:t>
            </w:r>
            <w:r w:rsidR="00AB26B3" w:rsidRPr="00AB26B3">
              <w:rPr>
                <w:noProof/>
                <w:spacing w:val="-6"/>
                <w:lang w:val="sk-SK"/>
              </w:rPr>
              <w:t xml:space="preserve"> a </w:t>
            </w:r>
            <w:r w:rsidRPr="00AB26B3">
              <w:rPr>
                <w:noProof/>
                <w:spacing w:val="-6"/>
                <w:lang w:val="sk-SK"/>
              </w:rPr>
              <w:t xml:space="preserve">fakturácie </w:t>
            </w:r>
          </w:p>
        </w:tc>
        <w:tc>
          <w:tcPr>
            <w:tcW w:w="974" w:type="dxa"/>
            <w:shd w:val="clear" w:color="auto" w:fill="C6EFCE"/>
            <w:noWrap/>
          </w:tcPr>
          <w:p w14:paraId="1306EC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85" w:type="dxa"/>
            <w:shd w:val="clear" w:color="auto" w:fill="C6EFCE"/>
            <w:noWrap/>
          </w:tcPr>
          <w:p w14:paraId="0BA0A4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3462 </w:t>
            </w:r>
          </w:p>
        </w:tc>
        <w:tc>
          <w:tcPr>
            <w:tcW w:w="1040" w:type="dxa"/>
            <w:shd w:val="clear" w:color="auto" w:fill="C6EFCE"/>
            <w:noWrap/>
          </w:tcPr>
          <w:p w14:paraId="2CC6C3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45" w:type="dxa"/>
            <w:shd w:val="clear" w:color="auto" w:fill="C6EFCE"/>
            <w:noWrap/>
          </w:tcPr>
          <w:p w14:paraId="603BD44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89" w:type="dxa"/>
            <w:shd w:val="clear" w:color="auto" w:fill="C6EFCE"/>
            <w:noWrap/>
          </w:tcPr>
          <w:p w14:paraId="724C2DBD" w14:textId="188A443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Certifikácia 3462 zdravotníckych pracovníkov na odbornú prípravu</w:t>
            </w:r>
            <w:r w:rsidR="00AB26B3" w:rsidRPr="00AB26B3">
              <w:rPr>
                <w:noProof/>
                <w:spacing w:val="-6"/>
                <w:lang w:val="sk-SK"/>
              </w:rPr>
              <w:t xml:space="preserve"> v </w:t>
            </w:r>
            <w:r w:rsidRPr="00AB26B3">
              <w:rPr>
                <w:noProof/>
                <w:spacing w:val="-6"/>
                <w:lang w:val="sk-SK"/>
              </w:rPr>
              <w:t>oblasti klinického kódovania</w:t>
            </w:r>
            <w:r w:rsidR="00AB26B3" w:rsidRPr="00AB26B3">
              <w:rPr>
                <w:noProof/>
                <w:spacing w:val="-6"/>
                <w:lang w:val="sk-SK"/>
              </w:rPr>
              <w:t xml:space="preserve"> a </w:t>
            </w:r>
            <w:r w:rsidRPr="00AB26B3">
              <w:rPr>
                <w:noProof/>
                <w:spacing w:val="-6"/>
                <w:lang w:val="sk-SK"/>
              </w:rPr>
              <w:t>fakturácie.</w:t>
            </w:r>
          </w:p>
        </w:tc>
      </w:tr>
      <w:tr w:rsidR="00302FC1" w:rsidRPr="00AB26B3" w14:paraId="533E9BB4" w14:textId="77777777">
        <w:trPr>
          <w:trHeight w:val="313"/>
        </w:trPr>
        <w:tc>
          <w:tcPr>
            <w:tcW w:w="708" w:type="dxa"/>
            <w:shd w:val="clear" w:color="auto" w:fill="C6EFCE"/>
            <w:noWrap/>
          </w:tcPr>
          <w:p w14:paraId="297C0E00" w14:textId="77777777" w:rsidR="00302FC1" w:rsidRPr="00AB26B3" w:rsidRDefault="00D64F26">
            <w:pPr>
              <w:pStyle w:val="P68B1DB1-Normal12"/>
              <w:spacing w:after="0" w:line="240" w:lineRule="auto"/>
              <w:rPr>
                <w:noProof/>
                <w:spacing w:val="-6"/>
                <w:lang w:val="sk-SK"/>
              </w:rPr>
            </w:pPr>
            <w:r w:rsidRPr="00AB26B3">
              <w:rPr>
                <w:noProof/>
                <w:spacing w:val="-6"/>
                <w:lang w:val="sk-SK"/>
              </w:rPr>
              <w:t>164a</w:t>
            </w:r>
          </w:p>
        </w:tc>
        <w:tc>
          <w:tcPr>
            <w:tcW w:w="2036" w:type="dxa"/>
            <w:shd w:val="clear" w:color="auto" w:fill="C6EFCE"/>
            <w:noWrap/>
          </w:tcPr>
          <w:p w14:paraId="1731D578" w14:textId="2FDF2E6F" w:rsidR="00302FC1" w:rsidRPr="00AB26B3" w:rsidRDefault="00D64F26">
            <w:pPr>
              <w:pStyle w:val="P68B1DB1-Normal12"/>
              <w:spacing w:after="0" w:line="240" w:lineRule="auto"/>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16 756_Organizačné reformy</w:t>
            </w:r>
            <w:r w:rsidR="00AB26B3" w:rsidRPr="00AB26B3">
              <w:rPr>
                <w:noProof/>
                <w:spacing w:val="-6"/>
                <w:lang w:val="sk-SK"/>
              </w:rPr>
              <w:t xml:space="preserve"> v </w:t>
            </w:r>
            <w:r w:rsidRPr="00AB26B3">
              <w:rPr>
                <w:noProof/>
                <w:spacing w:val="-6"/>
                <w:lang w:val="sk-SK"/>
              </w:rPr>
              <w:t>systéme zdravotnej starostlivosti</w:t>
            </w:r>
          </w:p>
        </w:tc>
        <w:tc>
          <w:tcPr>
            <w:tcW w:w="1027" w:type="dxa"/>
            <w:shd w:val="clear" w:color="auto" w:fill="C6EFCE"/>
            <w:noWrap/>
          </w:tcPr>
          <w:p w14:paraId="6DD70A4C"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293" w:type="dxa"/>
            <w:shd w:val="clear" w:color="auto" w:fill="C6EFCE"/>
            <w:noWrap/>
          </w:tcPr>
          <w:p w14:paraId="6DB2FE2B" w14:textId="77777777" w:rsidR="00302FC1" w:rsidRPr="00AB26B3" w:rsidRDefault="00D64F26">
            <w:pPr>
              <w:pStyle w:val="P68B1DB1-Normal12"/>
              <w:spacing w:after="0" w:line="240" w:lineRule="auto"/>
              <w:rPr>
                <w:noProof/>
                <w:spacing w:val="-6"/>
                <w:lang w:val="sk-SK"/>
              </w:rPr>
            </w:pPr>
            <w:r w:rsidRPr="00AB26B3">
              <w:rPr>
                <w:noProof/>
                <w:spacing w:val="-6"/>
                <w:lang w:val="sk-SK"/>
              </w:rPr>
              <w:t>Skrátenie čakacieho zoznamu operácií</w:t>
            </w:r>
          </w:p>
        </w:tc>
        <w:tc>
          <w:tcPr>
            <w:tcW w:w="1707" w:type="dxa"/>
            <w:shd w:val="clear" w:color="auto" w:fill="C6EFCE"/>
            <w:noWrap/>
          </w:tcPr>
          <w:p w14:paraId="06CD9B8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84" w:type="dxa"/>
            <w:shd w:val="clear" w:color="auto" w:fill="C6EFCE"/>
            <w:noWrap/>
          </w:tcPr>
          <w:p w14:paraId="18D35C49" w14:textId="5F252952" w:rsidR="00302FC1" w:rsidRPr="00AB26B3" w:rsidRDefault="00D64F26">
            <w:pPr>
              <w:pStyle w:val="P68B1DB1-Normal12"/>
              <w:spacing w:after="0" w:line="240" w:lineRule="auto"/>
              <w:rPr>
                <w:noProof/>
                <w:spacing w:val="-6"/>
                <w:lang w:val="sk-SK"/>
              </w:rPr>
            </w:pPr>
            <w:r w:rsidRPr="00AB26B3">
              <w:rPr>
                <w:noProof/>
                <w:spacing w:val="-6"/>
                <w:lang w:val="sk-SK"/>
              </w:rPr>
              <w:t>Počet operácií vykonaných</w:t>
            </w:r>
            <w:r w:rsidR="00AB26B3" w:rsidRPr="00AB26B3">
              <w:rPr>
                <w:noProof/>
                <w:spacing w:val="-6"/>
                <w:lang w:val="sk-SK"/>
              </w:rPr>
              <w:t xml:space="preserve"> u </w:t>
            </w:r>
            <w:r w:rsidRPr="00AB26B3">
              <w:rPr>
                <w:noProof/>
                <w:spacing w:val="-6"/>
                <w:lang w:val="sk-SK"/>
              </w:rPr>
              <w:t>pacientov, ktorí čakali dlhšie ako štyri mesiace.</w:t>
            </w:r>
          </w:p>
        </w:tc>
        <w:tc>
          <w:tcPr>
            <w:tcW w:w="974" w:type="dxa"/>
            <w:shd w:val="clear" w:color="auto" w:fill="C6EFCE"/>
            <w:noWrap/>
          </w:tcPr>
          <w:p w14:paraId="7F882DBD" w14:textId="77777777" w:rsidR="00302FC1" w:rsidRPr="00AB26B3" w:rsidRDefault="00D64F26">
            <w:pPr>
              <w:pStyle w:val="P68B1DB1-Normal12"/>
              <w:spacing w:after="0" w:line="240" w:lineRule="auto"/>
              <w:rPr>
                <w:noProof/>
                <w:spacing w:val="-6"/>
                <w:lang w:val="sk-SK"/>
              </w:rPr>
            </w:pPr>
            <w:r w:rsidRPr="00AB26B3">
              <w:rPr>
                <w:noProof/>
                <w:spacing w:val="-6"/>
                <w:lang w:val="sk-SK"/>
              </w:rPr>
              <w:t>0</w:t>
            </w:r>
          </w:p>
        </w:tc>
        <w:tc>
          <w:tcPr>
            <w:tcW w:w="785" w:type="dxa"/>
            <w:shd w:val="clear" w:color="auto" w:fill="C6EFCE"/>
            <w:noWrap/>
          </w:tcPr>
          <w:p w14:paraId="264FA7F8" w14:textId="77777777" w:rsidR="00302FC1" w:rsidRPr="00AB26B3" w:rsidRDefault="00D64F26">
            <w:pPr>
              <w:pStyle w:val="P68B1DB1-Normal12"/>
              <w:spacing w:after="0" w:line="240" w:lineRule="auto"/>
              <w:rPr>
                <w:noProof/>
                <w:spacing w:val="-6"/>
                <w:lang w:val="sk-SK"/>
              </w:rPr>
            </w:pPr>
            <w:r w:rsidRPr="00AB26B3">
              <w:rPr>
                <w:noProof/>
                <w:spacing w:val="-6"/>
                <w:lang w:val="sk-SK"/>
              </w:rPr>
              <w:t>20 000</w:t>
            </w:r>
          </w:p>
        </w:tc>
        <w:tc>
          <w:tcPr>
            <w:tcW w:w="1040" w:type="dxa"/>
            <w:shd w:val="clear" w:color="auto" w:fill="C6EFCE"/>
            <w:noWrap/>
          </w:tcPr>
          <w:p w14:paraId="58EB95C1"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945" w:type="dxa"/>
            <w:shd w:val="clear" w:color="auto" w:fill="C6EFCE"/>
            <w:noWrap/>
          </w:tcPr>
          <w:p w14:paraId="60DD03F3"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3989" w:type="dxa"/>
            <w:shd w:val="clear" w:color="auto" w:fill="C6EFCE"/>
            <w:noWrap/>
          </w:tcPr>
          <w:p w14:paraId="2D9D5AEB" w14:textId="2E9D502E" w:rsidR="00AB26B3" w:rsidRPr="00AB26B3" w:rsidRDefault="00D64F26">
            <w:pPr>
              <w:pStyle w:val="P68B1DB1-Normal12"/>
              <w:spacing w:after="0" w:line="240" w:lineRule="auto"/>
              <w:rPr>
                <w:noProof/>
                <w:spacing w:val="-6"/>
                <w:lang w:val="sk-SK"/>
              </w:rPr>
            </w:pPr>
            <w:r w:rsidRPr="00AB26B3">
              <w:rPr>
                <w:noProof/>
                <w:spacing w:val="-6"/>
                <w:lang w:val="sk-SK"/>
              </w:rPr>
              <w:t>Zníženie počtu nevybavených prípadov aspoň</w:t>
            </w:r>
            <w:r w:rsidR="00AB26B3" w:rsidRPr="00AB26B3">
              <w:rPr>
                <w:noProof/>
                <w:spacing w:val="-6"/>
                <w:lang w:val="sk-SK"/>
              </w:rPr>
              <w:t xml:space="preserve"> o </w:t>
            </w:r>
            <w:r w:rsidRPr="00AB26B3">
              <w:rPr>
                <w:noProof/>
                <w:spacing w:val="-6"/>
                <w:lang w:val="sk-SK"/>
              </w:rPr>
              <w:t>90</w:t>
            </w:r>
            <w:r w:rsidR="00AB26B3" w:rsidRPr="00AB26B3">
              <w:rPr>
                <w:noProof/>
                <w:spacing w:val="-6"/>
                <w:lang w:val="sk-SK"/>
              </w:rPr>
              <w:t> %</w:t>
            </w:r>
            <w:r w:rsidRPr="00AB26B3">
              <w:rPr>
                <w:noProof/>
                <w:spacing w:val="-6"/>
                <w:lang w:val="sk-SK"/>
              </w:rPr>
              <w:t xml:space="preserve"> celkového počtu prebiehajúcich operácií</w:t>
            </w:r>
            <w:r w:rsidR="00AB26B3" w:rsidRPr="00AB26B3">
              <w:rPr>
                <w:noProof/>
                <w:spacing w:val="-6"/>
                <w:lang w:val="sk-SK"/>
              </w:rPr>
              <w:t xml:space="preserve"> v </w:t>
            </w:r>
            <w:r w:rsidRPr="00AB26B3">
              <w:rPr>
                <w:noProof/>
                <w:spacing w:val="-6"/>
                <w:lang w:val="sk-SK"/>
              </w:rPr>
              <w:t>prípade pacientov, ktorí čakali dlhšie ako štyri mesiace na jednotnom digitálnom zozname chirurgických zákrokov (na základe stavu zoznamu</w:t>
            </w:r>
            <w:r w:rsidR="00AB26B3" w:rsidRPr="00AB26B3">
              <w:rPr>
                <w:noProof/>
                <w:spacing w:val="-6"/>
                <w:lang w:val="sk-SK"/>
              </w:rPr>
              <w:t xml:space="preserve"> k </w:t>
            </w:r>
            <w:r w:rsidRPr="00AB26B3">
              <w:rPr>
                <w:noProof/>
                <w:spacing w:val="-6"/>
                <w:lang w:val="sk-SK"/>
              </w:rPr>
              <w:t>16. októbru 2024)</w:t>
            </w:r>
            <w:r w:rsidR="00AB26B3" w:rsidRPr="00AB26B3">
              <w:rPr>
                <w:noProof/>
                <w:spacing w:val="-6"/>
                <w:lang w:val="sk-SK"/>
              </w:rPr>
              <w:t>.</w:t>
            </w:r>
          </w:p>
          <w:p w14:paraId="42461A24" w14:textId="300AE91A"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16659CD7" w14:textId="7581E1A6" w:rsidR="00302FC1" w:rsidRPr="00AB26B3" w:rsidRDefault="00D64F26">
            <w:pPr>
              <w:pStyle w:val="P68B1DB1-Normal15"/>
              <w:spacing w:after="0" w:line="240" w:lineRule="auto"/>
              <w:rPr>
                <w:noProof/>
                <w:color w:val="006100"/>
                <w:spacing w:val="-6"/>
                <w:lang w:val="sk-SK"/>
              </w:rPr>
            </w:pPr>
            <w:r w:rsidRPr="00AB26B3">
              <w:rPr>
                <w:noProof/>
                <w:color w:val="006100"/>
                <w:spacing w:val="-6"/>
                <w:lang w:val="sk-SK"/>
              </w:rPr>
              <w:t>Vykonať najmenej 20000 operácií</w:t>
            </w:r>
            <w:r w:rsidR="00AB26B3" w:rsidRPr="00AB26B3">
              <w:rPr>
                <w:noProof/>
                <w:color w:val="006100"/>
                <w:spacing w:val="-6"/>
                <w:lang w:val="sk-SK"/>
              </w:rPr>
              <w:t xml:space="preserve"> u </w:t>
            </w:r>
            <w:r w:rsidRPr="00AB26B3">
              <w:rPr>
                <w:noProof/>
                <w:color w:val="006100"/>
                <w:spacing w:val="-6"/>
                <w:lang w:val="sk-SK"/>
              </w:rPr>
              <w:t>pacientov, ktorí čakali dlhšie ako štyri mesiace, vrátane najmenej 8000 operácií</w:t>
            </w:r>
            <w:r w:rsidR="00AB26B3" w:rsidRPr="00AB26B3">
              <w:rPr>
                <w:noProof/>
                <w:color w:val="006100"/>
                <w:spacing w:val="-6"/>
                <w:lang w:val="sk-SK"/>
              </w:rPr>
              <w:t xml:space="preserve"> u </w:t>
            </w:r>
            <w:r w:rsidRPr="00AB26B3">
              <w:rPr>
                <w:noProof/>
                <w:color w:val="006100"/>
                <w:spacing w:val="-6"/>
                <w:lang w:val="sk-SK"/>
              </w:rPr>
              <w:t>pacientov, ktorí čakali dlhšie ako osem mesiacov.</w:t>
            </w:r>
            <w:r w:rsidRPr="00AB26B3">
              <w:rPr>
                <w:noProof/>
                <w:spacing w:val="-6"/>
                <w:lang w:val="sk-SK"/>
              </w:rPr>
              <w:t xml:space="preserve"> </w:t>
            </w:r>
            <w:r w:rsidRPr="00AB26B3">
              <w:rPr>
                <w:noProof/>
                <w:color w:val="006100"/>
                <w:spacing w:val="-6"/>
                <w:lang w:val="sk-SK"/>
              </w:rPr>
              <w:t>Do týchto operácií sú zapojení prijímatelia zo zoznamu so statusom zo 16</w:t>
            </w:r>
            <w:r w:rsidR="00AB26B3" w:rsidRPr="00AB26B3">
              <w:rPr>
                <w:noProof/>
                <w:color w:val="006100"/>
                <w:spacing w:val="-6"/>
                <w:lang w:val="sk-SK"/>
              </w:rPr>
              <w:t>. októbra</w:t>
            </w:r>
            <w:r w:rsidRPr="00AB26B3">
              <w:rPr>
                <w:noProof/>
                <w:color w:val="006100"/>
                <w:spacing w:val="-6"/>
                <w:lang w:val="sk-SK"/>
              </w:rPr>
              <w:t xml:space="preserve"> 2024, ako aj prijímatelia, ktorí sa odvtedy stali oprávnenými.</w:t>
            </w:r>
          </w:p>
        </w:tc>
      </w:tr>
      <w:tr w:rsidR="00302FC1" w:rsidRPr="00AB26B3" w14:paraId="1BBD8F35" w14:textId="77777777">
        <w:trPr>
          <w:trHeight w:val="313"/>
        </w:trPr>
        <w:tc>
          <w:tcPr>
            <w:tcW w:w="708" w:type="dxa"/>
            <w:shd w:val="clear" w:color="auto" w:fill="C6EFCE"/>
            <w:noWrap/>
          </w:tcPr>
          <w:p w14:paraId="23E819B1" w14:textId="77777777" w:rsidR="00302FC1" w:rsidRPr="00AB26B3" w:rsidRDefault="00D64F26">
            <w:pPr>
              <w:pStyle w:val="P68B1DB1-Normal12"/>
              <w:spacing w:after="0" w:line="240" w:lineRule="auto"/>
              <w:rPr>
                <w:noProof/>
                <w:spacing w:val="-6"/>
                <w:lang w:val="sk-SK"/>
              </w:rPr>
            </w:pPr>
            <w:r w:rsidRPr="00AB26B3">
              <w:rPr>
                <w:noProof/>
                <w:spacing w:val="-6"/>
                <w:lang w:val="sk-SK"/>
              </w:rPr>
              <w:t>164b</w:t>
            </w:r>
          </w:p>
        </w:tc>
        <w:tc>
          <w:tcPr>
            <w:tcW w:w="2036" w:type="dxa"/>
            <w:shd w:val="clear" w:color="auto" w:fill="C6EFCE"/>
            <w:noWrap/>
          </w:tcPr>
          <w:p w14:paraId="1A2E51DA" w14:textId="013194A4" w:rsidR="00302FC1" w:rsidRPr="00AB26B3" w:rsidRDefault="00D64F26">
            <w:pPr>
              <w:pStyle w:val="P68B1DB1-Normal12"/>
              <w:spacing w:after="0" w:line="240" w:lineRule="auto"/>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16 756_Organizačné reformy</w:t>
            </w:r>
            <w:r w:rsidR="00AB26B3" w:rsidRPr="00AB26B3">
              <w:rPr>
                <w:noProof/>
                <w:spacing w:val="-6"/>
                <w:lang w:val="sk-SK"/>
              </w:rPr>
              <w:t xml:space="preserve"> v </w:t>
            </w:r>
            <w:r w:rsidRPr="00AB26B3">
              <w:rPr>
                <w:noProof/>
                <w:spacing w:val="-6"/>
                <w:lang w:val="sk-SK"/>
              </w:rPr>
              <w:t>systéme zdravotnej starostlivosti</w:t>
            </w:r>
          </w:p>
        </w:tc>
        <w:tc>
          <w:tcPr>
            <w:tcW w:w="1027" w:type="dxa"/>
            <w:shd w:val="clear" w:color="auto" w:fill="C6EFCE"/>
            <w:noWrap/>
          </w:tcPr>
          <w:p w14:paraId="7E06D4A9"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93" w:type="dxa"/>
            <w:shd w:val="clear" w:color="auto" w:fill="C6EFCE"/>
            <w:noWrap/>
          </w:tcPr>
          <w:p w14:paraId="671947A3" w14:textId="787CD0ED" w:rsidR="00302FC1" w:rsidRPr="00AB26B3" w:rsidRDefault="00D64F26">
            <w:pPr>
              <w:pStyle w:val="P68B1DB1-Normal12"/>
              <w:spacing w:after="0" w:line="240" w:lineRule="auto"/>
              <w:rPr>
                <w:noProof/>
                <w:spacing w:val="-6"/>
                <w:lang w:val="sk-SK"/>
              </w:rPr>
            </w:pPr>
            <w:r w:rsidRPr="00AB26B3">
              <w:rPr>
                <w:noProof/>
                <w:spacing w:val="-6"/>
                <w:lang w:val="sk-SK"/>
              </w:rPr>
              <w:t>Navigácia systému zdravotnej starostlivosti</w:t>
            </w:r>
            <w:r w:rsidR="00AB26B3" w:rsidRPr="00AB26B3">
              <w:rPr>
                <w:noProof/>
                <w:spacing w:val="-6"/>
                <w:lang w:val="sk-SK"/>
              </w:rPr>
              <w:t xml:space="preserve"> a </w:t>
            </w:r>
            <w:r w:rsidRPr="00AB26B3">
              <w:rPr>
                <w:noProof/>
                <w:spacing w:val="-6"/>
                <w:lang w:val="sk-SK"/>
              </w:rPr>
              <w:t>usmernenia pre občanov</w:t>
            </w:r>
          </w:p>
        </w:tc>
        <w:tc>
          <w:tcPr>
            <w:tcW w:w="1707" w:type="dxa"/>
            <w:shd w:val="clear" w:color="auto" w:fill="C6EFCE"/>
            <w:noWrap/>
          </w:tcPr>
          <w:p w14:paraId="4FDE15F3" w14:textId="248369CF" w:rsidR="00302FC1" w:rsidRPr="00AB26B3" w:rsidRDefault="00D64F26">
            <w:pPr>
              <w:pStyle w:val="P68B1DB1-Normal24"/>
              <w:spacing w:after="0" w:line="240" w:lineRule="auto"/>
              <w:rPr>
                <w:noProof/>
                <w:spacing w:val="-6"/>
                <w:lang w:val="sk-SK"/>
              </w:rPr>
            </w:pPr>
            <w:r w:rsidRPr="00AB26B3">
              <w:rPr>
                <w:noProof/>
                <w:spacing w:val="-6"/>
                <w:lang w:val="sk-SK"/>
              </w:rPr>
              <w:t>Nástroje</w:t>
            </w:r>
            <w:r w:rsidR="00AB26B3" w:rsidRPr="00AB26B3">
              <w:rPr>
                <w:noProof/>
                <w:spacing w:val="-6"/>
                <w:lang w:val="sk-SK"/>
              </w:rPr>
              <w:t xml:space="preserve"> a </w:t>
            </w:r>
            <w:r w:rsidRPr="00AB26B3">
              <w:rPr>
                <w:noProof/>
                <w:spacing w:val="-6"/>
                <w:lang w:val="sk-SK"/>
              </w:rPr>
              <w:t>služby pre navigáciu</w:t>
            </w:r>
            <w:r w:rsidR="00AB26B3" w:rsidRPr="00AB26B3">
              <w:rPr>
                <w:noProof/>
                <w:spacing w:val="-6"/>
                <w:lang w:val="sk-SK"/>
              </w:rPr>
              <w:t xml:space="preserve"> a </w:t>
            </w:r>
            <w:r w:rsidRPr="00AB26B3">
              <w:rPr>
                <w:noProof/>
                <w:spacing w:val="-6"/>
                <w:lang w:val="sk-SK"/>
              </w:rPr>
              <w:t>poradenstvo pre občanov</w:t>
            </w:r>
          </w:p>
        </w:tc>
        <w:tc>
          <w:tcPr>
            <w:tcW w:w="1784" w:type="dxa"/>
            <w:shd w:val="clear" w:color="auto" w:fill="C6EFCE"/>
            <w:noWrap/>
          </w:tcPr>
          <w:p w14:paraId="15FCEE09"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74" w:type="dxa"/>
            <w:shd w:val="clear" w:color="auto" w:fill="C6EFCE"/>
            <w:noWrap/>
          </w:tcPr>
          <w:p w14:paraId="2344922F"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785" w:type="dxa"/>
            <w:shd w:val="clear" w:color="auto" w:fill="C6EFCE"/>
            <w:noWrap/>
          </w:tcPr>
          <w:p w14:paraId="18A8D06C"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040" w:type="dxa"/>
            <w:shd w:val="clear" w:color="auto" w:fill="C6EFCE"/>
            <w:noWrap/>
          </w:tcPr>
          <w:p w14:paraId="1F506D51"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945" w:type="dxa"/>
            <w:shd w:val="clear" w:color="auto" w:fill="C6EFCE"/>
            <w:noWrap/>
          </w:tcPr>
          <w:p w14:paraId="6B7E8B19"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989" w:type="dxa"/>
            <w:shd w:val="clear" w:color="auto" w:fill="C6EFCE"/>
            <w:noWrap/>
          </w:tcPr>
          <w:p w14:paraId="70AB33A4" w14:textId="3841E219" w:rsidR="00302FC1" w:rsidRPr="00AB26B3" w:rsidRDefault="00D64F26">
            <w:pPr>
              <w:pStyle w:val="P68B1DB1-Normal12"/>
              <w:spacing w:after="0" w:line="240" w:lineRule="auto"/>
              <w:rPr>
                <w:noProof/>
                <w:spacing w:val="-6"/>
                <w:lang w:val="sk-SK"/>
              </w:rPr>
            </w:pPr>
            <w:r w:rsidRPr="00AB26B3">
              <w:rPr>
                <w:noProof/>
                <w:spacing w:val="-6"/>
                <w:lang w:val="sk-SK"/>
              </w:rPr>
              <w:t>Používa sa bezplatná telefónna linka (1566) pre žiadosti občanov.</w:t>
            </w:r>
          </w:p>
          <w:p w14:paraId="72E91AA1"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73AF7CA9" w14:textId="755D12AD" w:rsidR="00302FC1" w:rsidRPr="00AB26B3" w:rsidRDefault="00D64F26">
            <w:pPr>
              <w:pStyle w:val="P68B1DB1-Normal12"/>
              <w:spacing w:after="0" w:line="240" w:lineRule="auto"/>
              <w:rPr>
                <w:noProof/>
                <w:spacing w:val="-6"/>
                <w:lang w:val="sk-SK"/>
              </w:rPr>
            </w:pPr>
            <w:r w:rsidRPr="00AB26B3">
              <w:rPr>
                <w:noProof/>
                <w:spacing w:val="-6"/>
                <w:lang w:val="sk-SK"/>
              </w:rPr>
              <w:t>Webové sídlo</w:t>
            </w:r>
            <w:r w:rsidR="00AB26B3" w:rsidRPr="00AB26B3">
              <w:rPr>
                <w:noProof/>
                <w:spacing w:val="-6"/>
                <w:lang w:val="sk-SK"/>
              </w:rPr>
              <w:t xml:space="preserve"> s </w:t>
            </w:r>
            <w:r w:rsidRPr="00AB26B3">
              <w:rPr>
                <w:noProof/>
                <w:spacing w:val="-6"/>
                <w:lang w:val="sk-SK"/>
              </w:rPr>
              <w:t>funkciami digitálneho asistenta</w:t>
            </w:r>
            <w:r w:rsidR="00AB26B3" w:rsidRPr="00AB26B3">
              <w:rPr>
                <w:noProof/>
                <w:spacing w:val="-6"/>
                <w:lang w:val="sk-SK"/>
              </w:rPr>
              <w:t xml:space="preserve"> a </w:t>
            </w:r>
            <w:r w:rsidRPr="00AB26B3">
              <w:rPr>
                <w:noProof/>
                <w:spacing w:val="-6"/>
                <w:lang w:val="sk-SK"/>
              </w:rPr>
              <w:t>mobilná aplikácia na správu</w:t>
            </w:r>
            <w:r w:rsidR="00AB26B3" w:rsidRPr="00AB26B3">
              <w:rPr>
                <w:noProof/>
                <w:spacing w:val="-6"/>
                <w:lang w:val="sk-SK"/>
              </w:rPr>
              <w:t xml:space="preserve"> a </w:t>
            </w:r>
            <w:r w:rsidRPr="00AB26B3">
              <w:rPr>
                <w:noProof/>
                <w:spacing w:val="-6"/>
                <w:lang w:val="sk-SK"/>
              </w:rPr>
              <w:t>spracovanie žiadostí občanov sú online</w:t>
            </w:r>
            <w:r w:rsidR="00AB26B3" w:rsidRPr="00AB26B3">
              <w:rPr>
                <w:noProof/>
                <w:spacing w:val="-6"/>
                <w:lang w:val="sk-SK"/>
              </w:rPr>
              <w:t xml:space="preserve"> a </w:t>
            </w:r>
            <w:r w:rsidRPr="00AB26B3">
              <w:rPr>
                <w:noProof/>
                <w:spacing w:val="-6"/>
                <w:lang w:val="sk-SK"/>
              </w:rPr>
              <w:t>prístupné.</w:t>
            </w:r>
          </w:p>
          <w:p w14:paraId="2E4E4812"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0C2FAAF1" w14:textId="75CA1A72" w:rsidR="00302FC1" w:rsidRPr="00AB26B3" w:rsidRDefault="00D64F26">
            <w:pPr>
              <w:pStyle w:val="P68B1DB1-Normal12"/>
              <w:spacing w:after="0" w:line="240" w:lineRule="auto"/>
              <w:rPr>
                <w:noProof/>
                <w:spacing w:val="-6"/>
                <w:lang w:val="sk-SK"/>
              </w:rPr>
            </w:pPr>
            <w:r w:rsidRPr="00AB26B3">
              <w:rPr>
                <w:noProof/>
                <w:spacing w:val="-6"/>
                <w:lang w:val="sk-SK"/>
              </w:rPr>
              <w:t>Vytvorí sa sieť vyškolených terénnych dôstojníkov, ktorí budú poskytovať poradenské</w:t>
            </w:r>
            <w:r w:rsidR="00AB26B3" w:rsidRPr="00AB26B3">
              <w:rPr>
                <w:noProof/>
                <w:spacing w:val="-6"/>
                <w:lang w:val="sk-SK"/>
              </w:rPr>
              <w:t xml:space="preserve"> a </w:t>
            </w:r>
            <w:r w:rsidRPr="00AB26B3">
              <w:rPr>
                <w:noProof/>
                <w:spacing w:val="-6"/>
                <w:lang w:val="sk-SK"/>
              </w:rPr>
              <w:t>navigačné služby občanom</w:t>
            </w:r>
            <w:r w:rsidR="00AB26B3" w:rsidRPr="00AB26B3">
              <w:rPr>
                <w:noProof/>
                <w:spacing w:val="-6"/>
                <w:lang w:val="sk-SK"/>
              </w:rPr>
              <w:t xml:space="preserve"> v </w:t>
            </w:r>
            <w:r w:rsidRPr="00AB26B3">
              <w:rPr>
                <w:noProof/>
                <w:spacing w:val="-6"/>
                <w:lang w:val="sk-SK"/>
              </w:rPr>
              <w:t>zdravotníckych štruktúrach</w:t>
            </w:r>
            <w:r w:rsidR="00AB26B3" w:rsidRPr="00AB26B3">
              <w:rPr>
                <w:noProof/>
                <w:spacing w:val="-6"/>
                <w:lang w:val="sk-SK"/>
              </w:rPr>
              <w:t xml:space="preserve"> a </w:t>
            </w:r>
            <w:r w:rsidRPr="00AB26B3">
              <w:rPr>
                <w:noProof/>
                <w:spacing w:val="-6"/>
                <w:lang w:val="sk-SK"/>
              </w:rPr>
              <w:t>službách.</w:t>
            </w:r>
          </w:p>
        </w:tc>
      </w:tr>
      <w:tr w:rsidR="00302FC1" w:rsidRPr="00AB26B3" w14:paraId="34356638" w14:textId="77777777">
        <w:trPr>
          <w:trHeight w:val="313"/>
        </w:trPr>
        <w:tc>
          <w:tcPr>
            <w:tcW w:w="708" w:type="dxa"/>
            <w:shd w:val="clear" w:color="auto" w:fill="C6EFCE"/>
            <w:noWrap/>
          </w:tcPr>
          <w:p w14:paraId="522BABC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165</w:t>
            </w:r>
          </w:p>
        </w:tc>
        <w:tc>
          <w:tcPr>
            <w:tcW w:w="2036" w:type="dxa"/>
            <w:shd w:val="clear" w:color="auto" w:fill="C6EFCE"/>
            <w:noWrap/>
          </w:tcPr>
          <w:p w14:paraId="706B0FF2" w14:textId="018C929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16783_Implementácia národného programu prevencie</w:t>
            </w:r>
            <w:r w:rsidR="00AB26B3" w:rsidRPr="00AB26B3">
              <w:rPr>
                <w:noProof/>
                <w:spacing w:val="-6"/>
                <w:lang w:val="sk-SK"/>
              </w:rPr>
              <w:t xml:space="preserve"> v </w:t>
            </w:r>
            <w:r w:rsidRPr="00AB26B3">
              <w:rPr>
                <w:noProof/>
                <w:spacing w:val="-6"/>
                <w:lang w:val="sk-SK"/>
              </w:rPr>
              <w:t>oblasti verejného zdravia „Spiros Doxiadis“ (NPP „SD“)</w:t>
            </w:r>
          </w:p>
        </w:tc>
        <w:tc>
          <w:tcPr>
            <w:tcW w:w="1027" w:type="dxa"/>
            <w:shd w:val="clear" w:color="auto" w:fill="C6EFCE"/>
            <w:noWrap/>
          </w:tcPr>
          <w:p w14:paraId="564F986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93" w:type="dxa"/>
            <w:shd w:val="clear" w:color="auto" w:fill="C6EFCE"/>
            <w:noWrap/>
          </w:tcPr>
          <w:p w14:paraId="469640AB" w14:textId="522211E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Národný program prevencie verejného zdravia „Spiros Doxiadis“ – primárna prevencia </w:t>
            </w:r>
          </w:p>
        </w:tc>
        <w:tc>
          <w:tcPr>
            <w:tcW w:w="1707" w:type="dxa"/>
            <w:shd w:val="clear" w:color="auto" w:fill="C6EFCE"/>
            <w:noWrap/>
          </w:tcPr>
          <w:p w14:paraId="0D3BC221" w14:textId="41CF6CA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Primárne preventívne intervencie</w:t>
            </w:r>
            <w:r w:rsidR="00AB26B3" w:rsidRPr="00AB26B3">
              <w:rPr>
                <w:noProof/>
                <w:spacing w:val="-6"/>
                <w:lang w:val="sk-SK"/>
              </w:rPr>
              <w:t xml:space="preserve"> a </w:t>
            </w:r>
            <w:r w:rsidRPr="00AB26B3">
              <w:rPr>
                <w:noProof/>
                <w:spacing w:val="-6"/>
                <w:lang w:val="sk-SK"/>
              </w:rPr>
              <w:t>ustanovenia</w:t>
            </w:r>
            <w:r w:rsidR="00AB26B3" w:rsidRPr="00AB26B3">
              <w:rPr>
                <w:noProof/>
                <w:spacing w:val="-6"/>
                <w:lang w:val="sk-SK"/>
              </w:rPr>
              <w:t xml:space="preserve"> v </w:t>
            </w:r>
            <w:r w:rsidRPr="00AB26B3">
              <w:rPr>
                <w:noProof/>
                <w:spacing w:val="-6"/>
                <w:lang w:val="sk-SK"/>
              </w:rPr>
              <w:t>právnom akte,</w:t>
            </w:r>
            <w:r w:rsidR="00AB26B3" w:rsidRPr="00AB26B3">
              <w:rPr>
                <w:noProof/>
                <w:spacing w:val="-6"/>
                <w:lang w:val="sk-SK"/>
              </w:rPr>
              <w:t xml:space="preserve"> v </w:t>
            </w:r>
            <w:r w:rsidRPr="00AB26B3">
              <w:rPr>
                <w:noProof/>
                <w:spacing w:val="-6"/>
                <w:lang w:val="sk-SK"/>
              </w:rPr>
              <w:t>ktorých sa uvádza nadobudnutie účinnosti právneho aktu.</w:t>
            </w:r>
          </w:p>
        </w:tc>
        <w:tc>
          <w:tcPr>
            <w:tcW w:w="1784" w:type="dxa"/>
            <w:shd w:val="clear" w:color="auto" w:fill="C6EFCE"/>
            <w:noWrap/>
          </w:tcPr>
          <w:p w14:paraId="489335F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74" w:type="dxa"/>
            <w:shd w:val="clear" w:color="auto" w:fill="C6EFCE"/>
            <w:noWrap/>
          </w:tcPr>
          <w:p w14:paraId="5289431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85" w:type="dxa"/>
            <w:shd w:val="clear" w:color="auto" w:fill="C6EFCE"/>
            <w:noWrap/>
          </w:tcPr>
          <w:p w14:paraId="76E0338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40" w:type="dxa"/>
            <w:shd w:val="clear" w:color="auto" w:fill="C6EFCE"/>
            <w:noWrap/>
          </w:tcPr>
          <w:p w14:paraId="1224CDC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45" w:type="dxa"/>
            <w:shd w:val="clear" w:color="auto" w:fill="C6EFCE"/>
            <w:noWrap/>
          </w:tcPr>
          <w:p w14:paraId="28F642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89" w:type="dxa"/>
            <w:shd w:val="clear" w:color="auto" w:fill="C6EFCE"/>
            <w:noWrap/>
          </w:tcPr>
          <w:p w14:paraId="0A63E21C" w14:textId="1DE17EDC" w:rsidR="00302FC1" w:rsidRPr="00AB26B3" w:rsidRDefault="00D64F26">
            <w:pPr>
              <w:pStyle w:val="P68B1DB1-Normal12"/>
              <w:spacing w:after="0" w:line="240" w:lineRule="auto"/>
              <w:rPr>
                <w:noProof/>
                <w:spacing w:val="-6"/>
                <w:lang w:val="sk-SK"/>
              </w:rPr>
            </w:pPr>
            <w:r w:rsidRPr="00AB26B3">
              <w:rPr>
                <w:noProof/>
                <w:spacing w:val="-6"/>
                <w:lang w:val="sk-SK"/>
              </w:rPr>
              <w:t>Splnenie tohto míľnika si vyžaduje:</w:t>
            </w:r>
          </w:p>
          <w:p w14:paraId="34E5F934"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75962018" w14:textId="64A59BAB" w:rsidR="00302FC1" w:rsidRPr="00AB26B3" w:rsidRDefault="00D64F26">
            <w:pPr>
              <w:pStyle w:val="P68B1DB1-Normal12"/>
              <w:spacing w:after="0" w:line="240" w:lineRule="auto"/>
              <w:rPr>
                <w:noProof/>
                <w:spacing w:val="-6"/>
                <w:lang w:val="sk-SK"/>
              </w:rPr>
            </w:pPr>
            <w:r w:rsidRPr="00AB26B3">
              <w:rPr>
                <w:noProof/>
                <w:spacing w:val="-6"/>
                <w:lang w:val="sk-SK"/>
              </w:rPr>
              <w:t>I) Intervencie na podporu fyzického cvičenia</w:t>
            </w:r>
            <w:r w:rsidR="00AB26B3" w:rsidRPr="00AB26B3">
              <w:rPr>
                <w:noProof/>
                <w:spacing w:val="-6"/>
                <w:lang w:val="sk-SK"/>
              </w:rPr>
              <w:t xml:space="preserve"> a </w:t>
            </w:r>
            <w:r w:rsidRPr="00AB26B3">
              <w:rPr>
                <w:noProof/>
                <w:spacing w:val="-6"/>
                <w:lang w:val="sk-SK"/>
              </w:rPr>
              <w:t>zdravého stravovania:</w:t>
            </w:r>
          </w:p>
          <w:p w14:paraId="1B5A419E"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7093F87A" w14:textId="3FE79CC6" w:rsidR="00302FC1" w:rsidRPr="00AB26B3" w:rsidRDefault="00D64F26">
            <w:pPr>
              <w:pStyle w:val="P68B1DB1-Normal12"/>
              <w:spacing w:after="0" w:line="240" w:lineRule="auto"/>
              <w:rPr>
                <w:noProof/>
                <w:spacing w:val="-6"/>
                <w:lang w:val="sk-SK"/>
              </w:rPr>
            </w:pPr>
            <w:r w:rsidRPr="00AB26B3">
              <w:rPr>
                <w:noProof/>
                <w:spacing w:val="-6"/>
                <w:lang w:val="sk-SK"/>
              </w:rPr>
              <w:t>a) nadobudnutie účinnosti právneho aktu</w:t>
            </w:r>
            <w:r w:rsidR="00AB26B3" w:rsidRPr="00AB26B3">
              <w:rPr>
                <w:noProof/>
                <w:spacing w:val="-6"/>
                <w:lang w:val="sk-SK"/>
              </w:rPr>
              <w:t xml:space="preserve"> o </w:t>
            </w:r>
            <w:r w:rsidRPr="00AB26B3">
              <w:rPr>
                <w:noProof/>
                <w:spacing w:val="-6"/>
                <w:lang w:val="sk-SK"/>
              </w:rPr>
              <w:t>zdravom stravovaní</w:t>
            </w:r>
            <w:r w:rsidR="00AB26B3" w:rsidRPr="00AB26B3">
              <w:rPr>
                <w:noProof/>
                <w:spacing w:val="-6"/>
                <w:lang w:val="sk-SK"/>
              </w:rPr>
              <w:t xml:space="preserve"> v </w:t>
            </w:r>
            <w:r w:rsidRPr="00AB26B3">
              <w:rPr>
                <w:noProof/>
                <w:spacing w:val="-6"/>
                <w:lang w:val="sk-SK"/>
              </w:rPr>
              <w:t>školských jedálňach,</w:t>
            </w:r>
          </w:p>
          <w:p w14:paraId="565456DF" w14:textId="77777777" w:rsidR="00AB26B3" w:rsidRPr="00AB26B3" w:rsidRDefault="00D64F26">
            <w:pPr>
              <w:pStyle w:val="P68B1DB1-Normal12"/>
              <w:spacing w:after="0" w:line="240" w:lineRule="auto"/>
              <w:rPr>
                <w:noProof/>
                <w:spacing w:val="-6"/>
                <w:lang w:val="sk-SK"/>
              </w:rPr>
            </w:pPr>
            <w:r w:rsidRPr="00AB26B3">
              <w:rPr>
                <w:noProof/>
                <w:spacing w:val="-6"/>
                <w:lang w:val="sk-SK"/>
              </w:rPr>
              <w:t>b) zavedenie odbornej prípravy</w:t>
            </w:r>
            <w:r w:rsidR="00AB26B3" w:rsidRPr="00AB26B3">
              <w:rPr>
                <w:noProof/>
                <w:spacing w:val="-6"/>
                <w:lang w:val="sk-SK"/>
              </w:rPr>
              <w:t xml:space="preserve"> v </w:t>
            </w:r>
            <w:r w:rsidRPr="00AB26B3">
              <w:rPr>
                <w:noProof/>
                <w:spacing w:val="-6"/>
                <w:lang w:val="sk-SK"/>
              </w:rPr>
              <w:t>oblasti zdravého stravovania do školských osnov,</w:t>
            </w:r>
          </w:p>
          <w:p w14:paraId="42C779C5" w14:textId="7C4DF8F2" w:rsidR="00302FC1" w:rsidRPr="00AB26B3" w:rsidRDefault="00D64F26">
            <w:pPr>
              <w:pStyle w:val="P68B1DB1-Normal12"/>
              <w:spacing w:after="0" w:line="240" w:lineRule="auto"/>
              <w:rPr>
                <w:noProof/>
                <w:spacing w:val="-6"/>
                <w:lang w:val="sk-SK"/>
              </w:rPr>
            </w:pPr>
            <w:r w:rsidRPr="00AB26B3">
              <w:rPr>
                <w:noProof/>
                <w:spacing w:val="-6"/>
                <w:lang w:val="sk-SK"/>
              </w:rPr>
              <w:t>C) komunitné opatrenia</w:t>
            </w:r>
            <w:r w:rsidR="00AB26B3" w:rsidRPr="00AB26B3">
              <w:rPr>
                <w:noProof/>
                <w:spacing w:val="-6"/>
                <w:lang w:val="sk-SK"/>
              </w:rPr>
              <w:t xml:space="preserve"> a </w:t>
            </w:r>
            <w:r w:rsidRPr="00AB26B3">
              <w:rPr>
                <w:noProof/>
                <w:spacing w:val="-6"/>
                <w:lang w:val="sk-SK"/>
              </w:rPr>
              <w:t>opatrenia na zvyšovanie informovanosti</w:t>
            </w:r>
          </w:p>
          <w:p w14:paraId="0F36F1F5" w14:textId="77777777" w:rsidR="00AB26B3" w:rsidRPr="00AB26B3" w:rsidRDefault="00D64F26">
            <w:pPr>
              <w:pStyle w:val="P68B1DB1-Normal12"/>
              <w:spacing w:after="0" w:line="240" w:lineRule="auto"/>
              <w:rPr>
                <w:noProof/>
                <w:spacing w:val="-6"/>
                <w:lang w:val="sk-SK"/>
              </w:rPr>
            </w:pPr>
            <w:r w:rsidRPr="00AB26B3">
              <w:rPr>
                <w:noProof/>
                <w:spacing w:val="-6"/>
                <w:lang w:val="sk-SK"/>
              </w:rPr>
              <w:t>d) zriadenie Európskeho centra pre obezitu,</w:t>
            </w:r>
          </w:p>
          <w:p w14:paraId="22550191" w14:textId="77777777" w:rsidR="00AB26B3" w:rsidRPr="00AB26B3" w:rsidRDefault="00D64F26">
            <w:pPr>
              <w:pStyle w:val="P68B1DB1-Normal12"/>
              <w:spacing w:after="0" w:line="240" w:lineRule="auto"/>
              <w:rPr>
                <w:noProof/>
                <w:spacing w:val="-6"/>
                <w:lang w:val="sk-SK"/>
              </w:rPr>
            </w:pPr>
            <w:r w:rsidRPr="00AB26B3">
              <w:rPr>
                <w:noProof/>
                <w:spacing w:val="-6"/>
                <w:lang w:val="sk-SK"/>
              </w:rPr>
              <w:t>e) poskytovanie digitálnych nástrojov,</w:t>
            </w:r>
          </w:p>
          <w:p w14:paraId="40AA86AF" w14:textId="49ECF3E2"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68FDAF47" w14:textId="471422DD" w:rsidR="00302FC1" w:rsidRPr="00AB26B3" w:rsidRDefault="00D64F26">
            <w:pPr>
              <w:pStyle w:val="P68B1DB1-Normal12"/>
              <w:spacing w:after="0" w:line="240" w:lineRule="auto"/>
              <w:rPr>
                <w:noProof/>
                <w:spacing w:val="-6"/>
                <w:lang w:val="sk-SK"/>
              </w:rPr>
            </w:pPr>
            <w:r w:rsidRPr="00AB26B3">
              <w:rPr>
                <w:noProof/>
                <w:spacing w:val="-6"/>
                <w:lang w:val="sk-SK"/>
              </w:rPr>
              <w:t>II) intervencie</w:t>
            </w:r>
            <w:r w:rsidR="00AB26B3" w:rsidRPr="00AB26B3">
              <w:rPr>
                <w:noProof/>
                <w:spacing w:val="-6"/>
                <w:lang w:val="sk-SK"/>
              </w:rPr>
              <w:t xml:space="preserve"> v </w:t>
            </w:r>
            <w:r w:rsidRPr="00AB26B3">
              <w:rPr>
                <w:noProof/>
                <w:spacing w:val="-6"/>
                <w:lang w:val="sk-SK"/>
              </w:rPr>
              <w:t>oblasti zdravotnej gramotnosti zamerané na škodlivé dôsledky nadmerného požívania alkoholu,</w:t>
            </w:r>
          </w:p>
          <w:p w14:paraId="673A3079"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09381F46" w14:textId="77777777" w:rsidR="00AB26B3" w:rsidRPr="00AB26B3" w:rsidRDefault="00D64F26">
            <w:pPr>
              <w:pStyle w:val="P68B1DB1-Normal12"/>
              <w:rPr>
                <w:noProof/>
                <w:spacing w:val="-6"/>
                <w:lang w:val="sk-SK"/>
              </w:rPr>
            </w:pPr>
            <w:r w:rsidRPr="00AB26B3">
              <w:rPr>
                <w:noProof/>
                <w:spacing w:val="-6"/>
                <w:lang w:val="sk-SK"/>
              </w:rPr>
              <w:t>III) intervencie na predchádzanie psychosociálnym problémom</w:t>
            </w:r>
            <w:r w:rsidR="00AB26B3" w:rsidRPr="00AB26B3">
              <w:rPr>
                <w:noProof/>
                <w:spacing w:val="-6"/>
                <w:lang w:val="sk-SK"/>
              </w:rPr>
              <w:t xml:space="preserve"> v </w:t>
            </w:r>
            <w:r w:rsidRPr="00AB26B3">
              <w:rPr>
                <w:noProof/>
                <w:spacing w:val="-6"/>
                <w:lang w:val="sk-SK"/>
              </w:rPr>
              <w:t>oblasti zdravia detí</w:t>
            </w:r>
            <w:r w:rsidR="00AB26B3" w:rsidRPr="00AB26B3">
              <w:rPr>
                <w:noProof/>
                <w:spacing w:val="-6"/>
                <w:lang w:val="sk-SK"/>
              </w:rPr>
              <w:t xml:space="preserve"> a </w:t>
            </w:r>
            <w:r w:rsidRPr="00AB26B3">
              <w:rPr>
                <w:noProof/>
                <w:spacing w:val="-6"/>
                <w:lang w:val="sk-SK"/>
              </w:rPr>
              <w:t>rodiny, intervencie na podporu zdravia dospievajúcich prostredníctvom menštruačného povedomia</w:t>
            </w:r>
            <w:r w:rsidR="00AB26B3" w:rsidRPr="00AB26B3">
              <w:rPr>
                <w:noProof/>
                <w:spacing w:val="-6"/>
                <w:lang w:val="sk-SK"/>
              </w:rPr>
              <w:t xml:space="preserve"> a </w:t>
            </w:r>
            <w:r w:rsidRPr="00AB26B3">
              <w:rPr>
                <w:noProof/>
                <w:spacing w:val="-6"/>
                <w:lang w:val="sk-SK"/>
              </w:rPr>
              <w:t>gramotnosti</w:t>
            </w:r>
            <w:r w:rsidR="00AB26B3" w:rsidRPr="00AB26B3">
              <w:rPr>
                <w:noProof/>
                <w:spacing w:val="-6"/>
                <w:lang w:val="sk-SK"/>
              </w:rPr>
              <w:t xml:space="preserve"> v </w:t>
            </w:r>
            <w:r w:rsidRPr="00AB26B3">
              <w:rPr>
                <w:noProof/>
                <w:spacing w:val="-6"/>
                <w:lang w:val="sk-SK"/>
              </w:rPr>
              <w:t>oblasti zdravia; intervencie na podporu duševného zdravia dospievajúcich</w:t>
            </w:r>
            <w:r w:rsidR="00AB26B3" w:rsidRPr="00AB26B3">
              <w:rPr>
                <w:noProof/>
                <w:spacing w:val="-6"/>
                <w:lang w:val="sk-SK"/>
              </w:rPr>
              <w:t xml:space="preserve"> a </w:t>
            </w:r>
            <w:r w:rsidRPr="00AB26B3">
              <w:rPr>
                <w:noProof/>
                <w:spacing w:val="-6"/>
                <w:lang w:val="sk-SK"/>
              </w:rPr>
              <w:t>mladých ľudí odhaľovaním</w:t>
            </w:r>
            <w:r w:rsidR="00AB26B3" w:rsidRPr="00AB26B3">
              <w:rPr>
                <w:noProof/>
                <w:spacing w:val="-6"/>
                <w:lang w:val="sk-SK"/>
              </w:rPr>
              <w:t xml:space="preserve"> a </w:t>
            </w:r>
            <w:r w:rsidRPr="00AB26B3">
              <w:rPr>
                <w:noProof/>
                <w:spacing w:val="-6"/>
                <w:lang w:val="sk-SK"/>
              </w:rPr>
              <w:t>riadením sebapoškodzujúceho správania, ktoré nie je samovražedné; zriadenie Globálneho centra excelentnosti</w:t>
            </w:r>
            <w:r w:rsidR="00AB26B3" w:rsidRPr="00AB26B3">
              <w:rPr>
                <w:noProof/>
                <w:spacing w:val="-6"/>
                <w:lang w:val="sk-SK"/>
              </w:rPr>
              <w:t xml:space="preserve"> v </w:t>
            </w:r>
            <w:r w:rsidRPr="00AB26B3">
              <w:rPr>
                <w:noProof/>
                <w:spacing w:val="-6"/>
                <w:lang w:val="sk-SK"/>
              </w:rPr>
              <w:t>oblasti neurovedy</w:t>
            </w:r>
            <w:r w:rsidR="00AB26B3" w:rsidRPr="00AB26B3">
              <w:rPr>
                <w:noProof/>
                <w:spacing w:val="-6"/>
                <w:lang w:val="sk-SK"/>
              </w:rPr>
              <w:t xml:space="preserve"> a </w:t>
            </w:r>
            <w:r w:rsidRPr="00AB26B3">
              <w:rPr>
                <w:noProof/>
                <w:spacing w:val="-6"/>
                <w:lang w:val="sk-SK"/>
              </w:rPr>
              <w:t>rozvoja detí; intervencie na zvýšenie informovanosti</w:t>
            </w:r>
            <w:r w:rsidR="00AB26B3" w:rsidRPr="00AB26B3">
              <w:rPr>
                <w:noProof/>
                <w:spacing w:val="-6"/>
                <w:lang w:val="sk-SK"/>
              </w:rPr>
              <w:t xml:space="preserve"> a </w:t>
            </w:r>
            <w:r w:rsidRPr="00AB26B3">
              <w:rPr>
                <w:noProof/>
                <w:spacing w:val="-6"/>
                <w:lang w:val="sk-SK"/>
              </w:rPr>
              <w:t>zmenu vnímania spoločnosti, správania</w:t>
            </w:r>
            <w:r w:rsidR="00AB26B3" w:rsidRPr="00AB26B3">
              <w:rPr>
                <w:noProof/>
                <w:spacing w:val="-6"/>
                <w:lang w:val="sk-SK"/>
              </w:rPr>
              <w:t xml:space="preserve"> a </w:t>
            </w:r>
            <w:r w:rsidRPr="00AB26B3">
              <w:rPr>
                <w:noProof/>
                <w:spacing w:val="-6"/>
                <w:lang w:val="sk-SK"/>
              </w:rPr>
              <w:t>sociálnych noriem týkajúcich sa duševného zdravia rodiny</w:t>
            </w:r>
            <w:r w:rsidR="00AB26B3" w:rsidRPr="00AB26B3">
              <w:rPr>
                <w:noProof/>
                <w:spacing w:val="-6"/>
                <w:lang w:val="sk-SK"/>
              </w:rPr>
              <w:t xml:space="preserve"> a</w:t>
            </w:r>
          </w:p>
          <w:p w14:paraId="59B29CC7" w14:textId="3229D0B3" w:rsidR="00302FC1" w:rsidRPr="00AB26B3" w:rsidRDefault="00D64F26">
            <w:pPr>
              <w:pStyle w:val="P68B1DB1-Normal12"/>
              <w:rPr>
                <w:noProof/>
                <w:spacing w:val="-6"/>
                <w:lang w:val="sk-SK"/>
              </w:rPr>
            </w:pPr>
            <w:r w:rsidRPr="00AB26B3">
              <w:rPr>
                <w:noProof/>
                <w:spacing w:val="-6"/>
                <w:lang w:val="sk-SK"/>
              </w:rPr>
              <w:t>IV) Vydávanie predplatených kariet používaných</w:t>
            </w:r>
            <w:r w:rsidR="00AB26B3" w:rsidRPr="00AB26B3">
              <w:rPr>
                <w:noProof/>
                <w:spacing w:val="-6"/>
                <w:lang w:val="sk-SK"/>
              </w:rPr>
              <w:t xml:space="preserve"> v </w:t>
            </w:r>
            <w:r w:rsidRPr="00AB26B3">
              <w:rPr>
                <w:noProof/>
                <w:spacing w:val="-6"/>
                <w:lang w:val="sk-SK"/>
              </w:rPr>
              <w:t>zubnej starostlivosti</w:t>
            </w:r>
            <w:r w:rsidR="00AB26B3" w:rsidRPr="00AB26B3">
              <w:rPr>
                <w:noProof/>
                <w:spacing w:val="-6"/>
                <w:lang w:val="sk-SK"/>
              </w:rPr>
              <w:t xml:space="preserve"> o </w:t>
            </w:r>
            <w:r w:rsidRPr="00AB26B3">
              <w:rPr>
                <w:noProof/>
                <w:spacing w:val="-6"/>
                <w:lang w:val="sk-SK"/>
              </w:rPr>
              <w:t>deti.</w:t>
            </w:r>
          </w:p>
        </w:tc>
      </w:tr>
      <w:tr w:rsidR="00302FC1" w:rsidRPr="00AB26B3" w14:paraId="0A429349" w14:textId="77777777">
        <w:trPr>
          <w:trHeight w:val="313"/>
        </w:trPr>
        <w:tc>
          <w:tcPr>
            <w:tcW w:w="708" w:type="dxa"/>
            <w:shd w:val="clear" w:color="auto" w:fill="C6EFCE"/>
            <w:noWrap/>
          </w:tcPr>
          <w:p w14:paraId="7F9F49B5" w14:textId="77777777" w:rsidR="00302FC1" w:rsidRPr="00AB26B3" w:rsidRDefault="00D64F26">
            <w:pPr>
              <w:pStyle w:val="P68B1DB1-Normal12"/>
              <w:spacing w:after="0" w:line="240" w:lineRule="auto"/>
              <w:rPr>
                <w:noProof/>
                <w:spacing w:val="-6"/>
                <w:lang w:val="sk-SK"/>
              </w:rPr>
            </w:pPr>
            <w:r w:rsidRPr="00AB26B3">
              <w:rPr>
                <w:noProof/>
                <w:spacing w:val="-6"/>
                <w:lang w:val="sk-SK"/>
              </w:rPr>
              <w:t>165a</w:t>
            </w:r>
          </w:p>
        </w:tc>
        <w:tc>
          <w:tcPr>
            <w:tcW w:w="2036" w:type="dxa"/>
            <w:shd w:val="clear" w:color="auto" w:fill="C6EFCE"/>
            <w:noWrap/>
          </w:tcPr>
          <w:p w14:paraId="1CDB9D04" w14:textId="458F0417" w:rsidR="00302FC1" w:rsidRPr="00AB26B3" w:rsidRDefault="00D64F26">
            <w:pPr>
              <w:pStyle w:val="P68B1DB1-Normal12"/>
              <w:spacing w:after="0" w:line="240" w:lineRule="auto"/>
              <w:rPr>
                <w:noProof/>
                <w:spacing w:val="-6"/>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16783_Implementácia národného programu prevencie</w:t>
            </w:r>
            <w:r w:rsidR="00AB26B3" w:rsidRPr="00AB26B3">
              <w:rPr>
                <w:noProof/>
                <w:spacing w:val="-6"/>
                <w:lang w:val="sk-SK"/>
              </w:rPr>
              <w:t xml:space="preserve"> v </w:t>
            </w:r>
            <w:r w:rsidRPr="00AB26B3">
              <w:rPr>
                <w:noProof/>
                <w:spacing w:val="-6"/>
                <w:lang w:val="sk-SK"/>
              </w:rPr>
              <w:t>oblasti verejného zdravia „Spiros Doxiadis“ (NPP „SD“)</w:t>
            </w:r>
          </w:p>
        </w:tc>
        <w:tc>
          <w:tcPr>
            <w:tcW w:w="1027" w:type="dxa"/>
            <w:shd w:val="clear" w:color="auto" w:fill="C6EFCE"/>
            <w:noWrap/>
          </w:tcPr>
          <w:p w14:paraId="30236A76"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93" w:type="dxa"/>
            <w:shd w:val="clear" w:color="auto" w:fill="C6EFCE"/>
            <w:noWrap/>
          </w:tcPr>
          <w:p w14:paraId="59B7F9B2" w14:textId="77777777" w:rsidR="00302FC1" w:rsidRPr="00AB26B3" w:rsidRDefault="00D64F26">
            <w:pPr>
              <w:pStyle w:val="P68B1DB1-Normal12"/>
              <w:spacing w:after="0" w:line="240" w:lineRule="auto"/>
              <w:rPr>
                <w:noProof/>
                <w:spacing w:val="-6"/>
                <w:lang w:val="sk-SK"/>
              </w:rPr>
            </w:pPr>
            <w:r w:rsidRPr="00AB26B3">
              <w:rPr>
                <w:noProof/>
                <w:spacing w:val="-6"/>
                <w:lang w:val="sk-SK"/>
              </w:rPr>
              <w:t>Národný program prevencie verejného zdravia „Spiros Doxiadis“ – sekundárna prevencia</w:t>
            </w:r>
          </w:p>
        </w:tc>
        <w:tc>
          <w:tcPr>
            <w:tcW w:w="1707" w:type="dxa"/>
            <w:shd w:val="clear" w:color="auto" w:fill="C6EFCE"/>
            <w:noWrap/>
          </w:tcPr>
          <w:p w14:paraId="01F310C9" w14:textId="3713A99A" w:rsidR="00302FC1" w:rsidRPr="00AB26B3" w:rsidRDefault="00D64F26">
            <w:pPr>
              <w:pStyle w:val="P68B1DB1-Normal12"/>
              <w:spacing w:after="0" w:line="240" w:lineRule="auto"/>
              <w:rPr>
                <w:noProof/>
                <w:spacing w:val="-6"/>
                <w:lang w:val="sk-SK"/>
              </w:rPr>
            </w:pPr>
            <w:r w:rsidRPr="00AB26B3">
              <w:rPr>
                <w:noProof/>
                <w:spacing w:val="-6"/>
                <w:lang w:val="sk-SK"/>
              </w:rPr>
              <w:t>Preventívne skríningové intervencie</w:t>
            </w:r>
          </w:p>
        </w:tc>
        <w:tc>
          <w:tcPr>
            <w:tcW w:w="1784" w:type="dxa"/>
            <w:shd w:val="clear" w:color="auto" w:fill="C6EFCE"/>
            <w:noWrap/>
          </w:tcPr>
          <w:p w14:paraId="64D7B0C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74" w:type="dxa"/>
            <w:shd w:val="clear" w:color="auto" w:fill="C6EFCE"/>
            <w:noWrap/>
          </w:tcPr>
          <w:p w14:paraId="41A6BB1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85" w:type="dxa"/>
            <w:shd w:val="clear" w:color="auto" w:fill="C6EFCE"/>
            <w:noWrap/>
          </w:tcPr>
          <w:p w14:paraId="3464FDB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40" w:type="dxa"/>
            <w:shd w:val="clear" w:color="auto" w:fill="C6EFCE"/>
            <w:noWrap/>
          </w:tcPr>
          <w:p w14:paraId="2165EF1C"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945" w:type="dxa"/>
            <w:shd w:val="clear" w:color="auto" w:fill="C6EFCE"/>
            <w:noWrap/>
          </w:tcPr>
          <w:p w14:paraId="5E92BD4B"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3989" w:type="dxa"/>
            <w:shd w:val="clear" w:color="auto" w:fill="C6EFCE"/>
            <w:noWrap/>
          </w:tcPr>
          <w:p w14:paraId="3E74C1F5" w14:textId="5541CF0F" w:rsidR="00302FC1" w:rsidRPr="00AB26B3" w:rsidRDefault="00D64F26">
            <w:pPr>
              <w:pStyle w:val="P68B1DB1-Normal12"/>
              <w:spacing w:after="0" w:line="240" w:lineRule="auto"/>
              <w:rPr>
                <w:noProof/>
                <w:spacing w:val="-6"/>
                <w:lang w:val="sk-SK"/>
              </w:rPr>
            </w:pPr>
            <w:r w:rsidRPr="00AB26B3">
              <w:rPr>
                <w:noProof/>
                <w:spacing w:val="-6"/>
                <w:lang w:val="sk-SK"/>
              </w:rPr>
              <w:t>Splnenie tohto míľnika si vyžaduje:</w:t>
            </w:r>
          </w:p>
          <w:p w14:paraId="270D2A6F"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2041BA6F" w14:textId="70D379FA" w:rsidR="00302FC1" w:rsidRPr="00AB26B3" w:rsidRDefault="00D64F26">
            <w:pPr>
              <w:pStyle w:val="P68B1DB1-Normal12"/>
              <w:spacing w:after="0" w:line="240" w:lineRule="auto"/>
              <w:rPr>
                <w:noProof/>
                <w:spacing w:val="-6"/>
                <w:lang w:val="sk-SK"/>
              </w:rPr>
            </w:pPr>
            <w:r w:rsidRPr="00AB26B3">
              <w:rPr>
                <w:noProof/>
                <w:spacing w:val="-6"/>
                <w:lang w:val="sk-SK"/>
              </w:rPr>
              <w:t>I) preventívne skríningové intervencie na rakovinu prsníka, rakovinu krčka maternice, rakovinu hrubého čreva</w:t>
            </w:r>
            <w:r w:rsidR="00AB26B3" w:rsidRPr="00AB26B3">
              <w:rPr>
                <w:noProof/>
                <w:spacing w:val="-6"/>
                <w:lang w:val="sk-SK"/>
              </w:rPr>
              <w:t xml:space="preserve"> a </w:t>
            </w:r>
            <w:r w:rsidRPr="00AB26B3">
              <w:rPr>
                <w:noProof/>
                <w:spacing w:val="-6"/>
                <w:lang w:val="sk-SK"/>
              </w:rPr>
              <w:t>konečníka</w:t>
            </w:r>
            <w:r w:rsidR="00AB26B3" w:rsidRPr="00AB26B3">
              <w:rPr>
                <w:noProof/>
                <w:spacing w:val="-6"/>
                <w:lang w:val="sk-SK"/>
              </w:rPr>
              <w:t xml:space="preserve"> a </w:t>
            </w:r>
            <w:r w:rsidRPr="00AB26B3">
              <w:rPr>
                <w:noProof/>
                <w:spacing w:val="-6"/>
                <w:lang w:val="sk-SK"/>
              </w:rPr>
              <w:t>kardiovaskulárne ochorenia, ktoré zahŕňajú:</w:t>
            </w:r>
          </w:p>
          <w:p w14:paraId="1499F36B"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40877ADC" w14:textId="77777777" w:rsidR="00AB26B3" w:rsidRPr="00AB26B3" w:rsidRDefault="00D64F26">
            <w:pPr>
              <w:pStyle w:val="P68B1DB1-ListParagraph19"/>
              <w:numPr>
                <w:ilvl w:val="0"/>
                <w:numId w:val="19"/>
              </w:numPr>
              <w:spacing w:after="0" w:line="240" w:lineRule="auto"/>
              <w:rPr>
                <w:noProof/>
                <w:spacing w:val="-6"/>
                <w:lang w:val="sk-SK"/>
              </w:rPr>
            </w:pPr>
            <w:r w:rsidRPr="00AB26B3">
              <w:rPr>
                <w:noProof/>
                <w:spacing w:val="-6"/>
                <w:lang w:val="sk-SK"/>
              </w:rPr>
              <w:t>Najmenej 1,515,000 skríningových intervencií vykonaných na rakovinu krčka maternice</w:t>
            </w:r>
            <w:r w:rsidR="00AB26B3" w:rsidRPr="00AB26B3">
              <w:rPr>
                <w:noProof/>
                <w:spacing w:val="-6"/>
                <w:lang w:val="sk-SK"/>
              </w:rPr>
              <w:t>.</w:t>
            </w:r>
          </w:p>
          <w:p w14:paraId="28779313" w14:textId="08B5C65C" w:rsidR="00302FC1" w:rsidRPr="00AB26B3" w:rsidRDefault="00302FC1">
            <w:pPr>
              <w:pStyle w:val="ListParagraph"/>
              <w:spacing w:after="0" w:line="240" w:lineRule="auto"/>
              <w:rPr>
                <w:rFonts w:ascii="Times New Roman" w:hAnsi="Times New Roman" w:cs="Times New Roman"/>
                <w:noProof/>
                <w:color w:val="006100"/>
                <w:spacing w:val="-6"/>
                <w:sz w:val="18"/>
                <w:szCs w:val="18"/>
                <w:lang w:val="sk-SK"/>
              </w:rPr>
            </w:pPr>
          </w:p>
          <w:p w14:paraId="0E51F8DA" w14:textId="3B20C9C0" w:rsidR="00302FC1" w:rsidRPr="00AB26B3" w:rsidRDefault="00D64F26">
            <w:pPr>
              <w:pStyle w:val="P68B1DB1-ListParagraph19"/>
              <w:numPr>
                <w:ilvl w:val="0"/>
                <w:numId w:val="19"/>
              </w:numPr>
              <w:spacing w:after="0" w:line="240" w:lineRule="auto"/>
              <w:rPr>
                <w:noProof/>
                <w:spacing w:val="-6"/>
                <w:lang w:val="sk-SK"/>
              </w:rPr>
            </w:pPr>
            <w:r w:rsidRPr="00AB26B3">
              <w:rPr>
                <w:noProof/>
                <w:spacing w:val="-6"/>
                <w:lang w:val="sk-SK"/>
              </w:rPr>
              <w:t>Najmenej 3,585,000 skríningových zásahov vykonaných</w:t>
            </w:r>
            <w:r w:rsidR="00AB26B3" w:rsidRPr="00AB26B3">
              <w:rPr>
                <w:noProof/>
                <w:spacing w:val="-6"/>
                <w:lang w:val="sk-SK"/>
              </w:rPr>
              <w:t xml:space="preserve"> v </w:t>
            </w:r>
            <w:r w:rsidRPr="00AB26B3">
              <w:rPr>
                <w:noProof/>
                <w:spacing w:val="-6"/>
                <w:lang w:val="sk-SK"/>
              </w:rPr>
              <w:t>prípade kardiovaskulárnych ochorení.</w:t>
            </w:r>
          </w:p>
          <w:p w14:paraId="79C47877" w14:textId="77777777" w:rsidR="00302FC1" w:rsidRPr="00AB26B3" w:rsidRDefault="00302FC1">
            <w:pPr>
              <w:pStyle w:val="ListParagraph"/>
              <w:spacing w:after="0" w:line="240" w:lineRule="auto"/>
              <w:rPr>
                <w:rFonts w:ascii="Times New Roman" w:hAnsi="Times New Roman" w:cs="Times New Roman"/>
                <w:noProof/>
                <w:color w:val="006100"/>
                <w:spacing w:val="-6"/>
                <w:sz w:val="18"/>
                <w:szCs w:val="18"/>
                <w:lang w:val="sk-SK"/>
              </w:rPr>
            </w:pPr>
          </w:p>
          <w:p w14:paraId="014E730E" w14:textId="77777777" w:rsidR="00302FC1" w:rsidRPr="00AB26B3" w:rsidRDefault="00D64F26">
            <w:pPr>
              <w:pStyle w:val="P68B1DB1-ListParagraph19"/>
              <w:numPr>
                <w:ilvl w:val="0"/>
                <w:numId w:val="19"/>
              </w:numPr>
              <w:spacing w:after="0" w:line="240" w:lineRule="auto"/>
              <w:rPr>
                <w:noProof/>
                <w:spacing w:val="-6"/>
                <w:lang w:val="sk-SK"/>
              </w:rPr>
            </w:pPr>
            <w:r w:rsidRPr="00AB26B3">
              <w:rPr>
                <w:noProof/>
                <w:spacing w:val="-6"/>
                <w:lang w:val="sk-SK"/>
              </w:rPr>
              <w:t>Najmenej 1,030,000 skríningových intervencií vykonaných na rakovinu prsníka</w:t>
            </w:r>
          </w:p>
          <w:p w14:paraId="39A0A372" w14:textId="77777777" w:rsidR="00302FC1" w:rsidRPr="00AB26B3" w:rsidRDefault="00302FC1">
            <w:pPr>
              <w:pStyle w:val="ListParagraph"/>
              <w:spacing w:after="0" w:line="240" w:lineRule="auto"/>
              <w:rPr>
                <w:rFonts w:ascii="Times New Roman" w:hAnsi="Times New Roman" w:cs="Times New Roman"/>
                <w:noProof/>
                <w:color w:val="006100"/>
                <w:spacing w:val="-6"/>
                <w:sz w:val="18"/>
                <w:szCs w:val="18"/>
                <w:lang w:val="sk-SK"/>
              </w:rPr>
            </w:pPr>
          </w:p>
          <w:p w14:paraId="7A43642B" w14:textId="738680BA" w:rsidR="00AB26B3" w:rsidRPr="00AB26B3" w:rsidRDefault="00D64F26">
            <w:pPr>
              <w:pStyle w:val="P68B1DB1-ListParagraph19"/>
              <w:numPr>
                <w:ilvl w:val="0"/>
                <w:numId w:val="19"/>
              </w:numPr>
              <w:spacing w:after="0" w:line="240" w:lineRule="auto"/>
              <w:rPr>
                <w:noProof/>
                <w:spacing w:val="-6"/>
                <w:lang w:val="sk-SK"/>
              </w:rPr>
            </w:pPr>
            <w:r w:rsidRPr="00AB26B3">
              <w:rPr>
                <w:noProof/>
                <w:spacing w:val="-6"/>
                <w:lang w:val="sk-SK"/>
              </w:rPr>
              <w:t>Najmenej 1,130,000 skríningových intervencií vykonaných na rakovinu hrubého čreva</w:t>
            </w:r>
            <w:r w:rsidR="00AB26B3" w:rsidRPr="00AB26B3">
              <w:rPr>
                <w:noProof/>
                <w:spacing w:val="-6"/>
                <w:lang w:val="sk-SK"/>
              </w:rPr>
              <w:t xml:space="preserve"> a </w:t>
            </w:r>
            <w:r w:rsidRPr="00AB26B3">
              <w:rPr>
                <w:noProof/>
                <w:spacing w:val="-6"/>
                <w:lang w:val="sk-SK"/>
              </w:rPr>
              <w:t>konečníka</w:t>
            </w:r>
            <w:r w:rsidR="00AB26B3" w:rsidRPr="00AB26B3">
              <w:rPr>
                <w:noProof/>
                <w:spacing w:val="-6"/>
                <w:lang w:val="sk-SK"/>
              </w:rPr>
              <w:t>.</w:t>
            </w:r>
          </w:p>
          <w:p w14:paraId="23727A09" w14:textId="28810FAF" w:rsidR="00302FC1" w:rsidRPr="00AB26B3" w:rsidRDefault="00302FC1">
            <w:pPr>
              <w:pStyle w:val="ListParagraph"/>
              <w:spacing w:after="0" w:line="240" w:lineRule="auto"/>
              <w:rPr>
                <w:rFonts w:ascii="Times New Roman" w:eastAsia="Times New Roman" w:hAnsi="Times New Roman" w:cs="Times New Roman"/>
                <w:noProof/>
                <w:color w:val="006100"/>
                <w:spacing w:val="-6"/>
                <w:sz w:val="18"/>
                <w:szCs w:val="18"/>
                <w:lang w:val="sk-SK"/>
              </w:rPr>
            </w:pPr>
          </w:p>
          <w:p w14:paraId="79C06E41" w14:textId="06FF314F" w:rsidR="00302FC1" w:rsidRPr="00AB26B3" w:rsidRDefault="00D64F26">
            <w:pPr>
              <w:pStyle w:val="P68B1DB1-Normal12"/>
              <w:spacing w:after="0" w:line="240" w:lineRule="auto"/>
              <w:rPr>
                <w:noProof/>
                <w:spacing w:val="-6"/>
                <w:lang w:val="sk-SK"/>
              </w:rPr>
            </w:pPr>
            <w:r w:rsidRPr="00AB26B3">
              <w:rPr>
                <w:noProof/>
                <w:spacing w:val="-6"/>
                <w:lang w:val="sk-SK"/>
              </w:rPr>
              <w:t>II) Intervencie vykonávané na účely prenatálneho skríningu vo vzdialených oblastiach</w:t>
            </w:r>
            <w:r w:rsidR="00AB26B3" w:rsidRPr="00AB26B3">
              <w:rPr>
                <w:noProof/>
                <w:spacing w:val="-6"/>
                <w:lang w:val="sk-SK"/>
              </w:rPr>
              <w:t xml:space="preserve"> a </w:t>
            </w:r>
            <w:r w:rsidRPr="00AB26B3">
              <w:rPr>
                <w:noProof/>
                <w:spacing w:val="-6"/>
                <w:lang w:val="sk-SK"/>
              </w:rPr>
              <w:t>národného perinatálneho skríningu.</w:t>
            </w:r>
          </w:p>
          <w:p w14:paraId="66529C49" w14:textId="77777777" w:rsidR="00302FC1" w:rsidRPr="00AB26B3" w:rsidRDefault="00302FC1">
            <w:pPr>
              <w:spacing w:after="0" w:line="240" w:lineRule="auto"/>
              <w:rPr>
                <w:rFonts w:ascii="Times New Roman" w:hAnsi="Times New Roman" w:cs="Times New Roman"/>
                <w:noProof/>
                <w:color w:val="006000"/>
                <w:spacing w:val="-6"/>
                <w:sz w:val="18"/>
                <w:szCs w:val="18"/>
                <w:lang w:val="sk-SK"/>
              </w:rPr>
            </w:pPr>
          </w:p>
        </w:tc>
      </w:tr>
      <w:tr w:rsidR="00302FC1" w:rsidRPr="00AB26B3" w14:paraId="00647408" w14:textId="77777777">
        <w:trPr>
          <w:trHeight w:val="2206"/>
        </w:trPr>
        <w:tc>
          <w:tcPr>
            <w:tcW w:w="708" w:type="dxa"/>
            <w:shd w:val="clear" w:color="auto" w:fill="C6EFCE"/>
            <w:noWrap/>
          </w:tcPr>
          <w:p w14:paraId="3719072D" w14:textId="77777777" w:rsidR="00302FC1" w:rsidRPr="00AB26B3" w:rsidRDefault="00D64F26">
            <w:pPr>
              <w:pStyle w:val="P68B1DB1-Normal12"/>
              <w:spacing w:after="0" w:line="240" w:lineRule="auto"/>
              <w:rPr>
                <w:noProof/>
                <w:spacing w:val="-6"/>
                <w:lang w:val="sk-SK"/>
              </w:rPr>
            </w:pPr>
            <w:r w:rsidRPr="00AB26B3">
              <w:rPr>
                <w:noProof/>
                <w:spacing w:val="-6"/>
                <w:lang w:val="sk-SK"/>
              </w:rPr>
              <w:t>165b</w:t>
            </w:r>
          </w:p>
        </w:tc>
        <w:tc>
          <w:tcPr>
            <w:tcW w:w="2036" w:type="dxa"/>
            <w:shd w:val="clear" w:color="auto" w:fill="C6EFCE"/>
            <w:noWrap/>
          </w:tcPr>
          <w:p w14:paraId="563510E7" w14:textId="097D681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16783_Implementácia národného programu prevencie</w:t>
            </w:r>
            <w:r w:rsidR="00AB26B3" w:rsidRPr="00AB26B3">
              <w:rPr>
                <w:noProof/>
                <w:spacing w:val="-6"/>
                <w:lang w:val="sk-SK"/>
              </w:rPr>
              <w:t xml:space="preserve"> v </w:t>
            </w:r>
            <w:r w:rsidRPr="00AB26B3">
              <w:rPr>
                <w:noProof/>
                <w:spacing w:val="-6"/>
                <w:lang w:val="sk-SK"/>
              </w:rPr>
              <w:t>oblasti verejného zdravia „Spiros Doxiadis“ (NPP „SD“)</w:t>
            </w:r>
          </w:p>
        </w:tc>
        <w:tc>
          <w:tcPr>
            <w:tcW w:w="1027" w:type="dxa"/>
            <w:shd w:val="clear" w:color="auto" w:fill="C6EFCE"/>
            <w:noWrap/>
          </w:tcPr>
          <w:p w14:paraId="4CD659AA"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93" w:type="dxa"/>
            <w:shd w:val="clear" w:color="auto" w:fill="C6EFCE"/>
            <w:noWrap/>
          </w:tcPr>
          <w:p w14:paraId="563AB03D" w14:textId="77777777" w:rsidR="00302FC1" w:rsidRPr="00AB26B3" w:rsidRDefault="00D64F26">
            <w:pPr>
              <w:pStyle w:val="P68B1DB1-Normal12"/>
              <w:spacing w:after="0" w:line="240" w:lineRule="auto"/>
              <w:rPr>
                <w:noProof/>
                <w:spacing w:val="-6"/>
                <w:lang w:val="sk-SK"/>
              </w:rPr>
            </w:pPr>
            <w:r w:rsidRPr="00AB26B3">
              <w:rPr>
                <w:noProof/>
                <w:spacing w:val="-6"/>
                <w:lang w:val="sk-SK"/>
              </w:rPr>
              <w:t>Monitorovanie zdravia</w:t>
            </w:r>
          </w:p>
        </w:tc>
        <w:tc>
          <w:tcPr>
            <w:tcW w:w="1707" w:type="dxa"/>
            <w:shd w:val="clear" w:color="auto" w:fill="C6EFCE"/>
            <w:noWrap/>
          </w:tcPr>
          <w:p w14:paraId="2487FA11" w14:textId="25AD99DC" w:rsidR="00302FC1" w:rsidRPr="00AB26B3" w:rsidRDefault="00D64F26">
            <w:pPr>
              <w:pStyle w:val="P68B1DB1-Normal12"/>
              <w:spacing w:after="0" w:line="240" w:lineRule="auto"/>
              <w:rPr>
                <w:noProof/>
                <w:spacing w:val="-6"/>
                <w:lang w:val="sk-SK"/>
              </w:rPr>
            </w:pPr>
            <w:r w:rsidRPr="00AB26B3">
              <w:rPr>
                <w:noProof/>
                <w:spacing w:val="-6"/>
                <w:lang w:val="sk-SK"/>
              </w:rPr>
              <w:t>Platforma na druhotné používanie zdravotných údajov je online</w:t>
            </w:r>
            <w:r w:rsidR="00AB26B3" w:rsidRPr="00AB26B3">
              <w:rPr>
                <w:noProof/>
                <w:spacing w:val="-6"/>
                <w:lang w:val="sk-SK"/>
              </w:rPr>
              <w:t xml:space="preserve"> a </w:t>
            </w:r>
            <w:r w:rsidRPr="00AB26B3">
              <w:rPr>
                <w:noProof/>
                <w:spacing w:val="-6"/>
                <w:lang w:val="sk-SK"/>
              </w:rPr>
              <w:t>prístupná.</w:t>
            </w:r>
          </w:p>
        </w:tc>
        <w:tc>
          <w:tcPr>
            <w:tcW w:w="1784" w:type="dxa"/>
            <w:shd w:val="clear" w:color="auto" w:fill="C6EFCE"/>
            <w:noWrap/>
          </w:tcPr>
          <w:p w14:paraId="0F9112D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74" w:type="dxa"/>
            <w:shd w:val="clear" w:color="auto" w:fill="C6EFCE"/>
            <w:noWrap/>
          </w:tcPr>
          <w:p w14:paraId="4B8D034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85" w:type="dxa"/>
            <w:shd w:val="clear" w:color="auto" w:fill="C6EFCE"/>
            <w:noWrap/>
          </w:tcPr>
          <w:p w14:paraId="7BC3523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40" w:type="dxa"/>
            <w:shd w:val="clear" w:color="auto" w:fill="C6EFCE"/>
            <w:noWrap/>
          </w:tcPr>
          <w:p w14:paraId="0F370F1C" w14:textId="528215EA"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945" w:type="dxa"/>
            <w:shd w:val="clear" w:color="auto" w:fill="C6EFCE"/>
            <w:noWrap/>
          </w:tcPr>
          <w:p w14:paraId="4E4B5EF1" w14:textId="538AD4E5"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989" w:type="dxa"/>
            <w:shd w:val="clear" w:color="auto" w:fill="C6EFCE"/>
            <w:noWrap/>
          </w:tcPr>
          <w:p w14:paraId="3C861F1D" w14:textId="39263B66" w:rsidR="00302FC1" w:rsidRPr="00AB26B3" w:rsidRDefault="00D64F26">
            <w:pPr>
              <w:pStyle w:val="P68B1DB1-Normal12"/>
              <w:spacing w:after="0" w:line="240" w:lineRule="auto"/>
              <w:rPr>
                <w:i/>
                <w:iCs/>
                <w:noProof/>
                <w:spacing w:val="-6"/>
                <w:lang w:val="sk-SK"/>
              </w:rPr>
            </w:pPr>
            <w:r w:rsidRPr="00AB26B3">
              <w:rPr>
                <w:noProof/>
                <w:spacing w:val="-6"/>
                <w:lang w:val="sk-SK"/>
              </w:rPr>
              <w:t>Systém monitorovania zdravia: Splnenie tohto míľnika si vyžaduje, aby platforma na druhotné používanie zdravotných údajov bola online</w:t>
            </w:r>
            <w:r w:rsidR="00AB26B3" w:rsidRPr="00AB26B3">
              <w:rPr>
                <w:noProof/>
                <w:spacing w:val="-6"/>
                <w:lang w:val="sk-SK"/>
              </w:rPr>
              <w:t xml:space="preserve"> a </w:t>
            </w:r>
            <w:r w:rsidRPr="00AB26B3">
              <w:rPr>
                <w:noProof/>
                <w:spacing w:val="-6"/>
                <w:lang w:val="sk-SK"/>
              </w:rPr>
              <w:t>prístupná vrátane funkcií, ako je analýza umelej inteligencie/ML</w:t>
            </w:r>
            <w:r w:rsidR="00AB26B3" w:rsidRPr="00AB26B3">
              <w:rPr>
                <w:noProof/>
                <w:spacing w:val="-6"/>
                <w:lang w:val="sk-SK"/>
              </w:rPr>
              <w:t xml:space="preserve"> a </w:t>
            </w:r>
            <w:r w:rsidRPr="00AB26B3">
              <w:rPr>
                <w:noProof/>
                <w:spacing w:val="-6"/>
                <w:lang w:val="sk-SK"/>
              </w:rPr>
              <w:t>prípady použitia.</w:t>
            </w:r>
          </w:p>
        </w:tc>
      </w:tr>
      <w:tr w:rsidR="00302FC1" w:rsidRPr="00AB26B3" w14:paraId="0AD8C366" w14:textId="77777777">
        <w:trPr>
          <w:trHeight w:val="313"/>
        </w:trPr>
        <w:tc>
          <w:tcPr>
            <w:tcW w:w="708" w:type="dxa"/>
            <w:shd w:val="clear" w:color="auto" w:fill="C6EFCE"/>
            <w:noWrap/>
          </w:tcPr>
          <w:p w14:paraId="28C3F7E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166</w:t>
            </w:r>
          </w:p>
        </w:tc>
        <w:tc>
          <w:tcPr>
            <w:tcW w:w="2036" w:type="dxa"/>
            <w:shd w:val="clear" w:color="auto" w:fill="C6EFCE"/>
            <w:noWrap/>
          </w:tcPr>
          <w:p w14:paraId="01092339" w14:textId="3FD2E6A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16755_Zelené investície – Reforma systému primárnej zdravotnej starostlivosti</w:t>
            </w:r>
          </w:p>
        </w:tc>
        <w:tc>
          <w:tcPr>
            <w:tcW w:w="1027" w:type="dxa"/>
            <w:shd w:val="clear" w:color="auto" w:fill="C6EFCE"/>
            <w:noWrap/>
          </w:tcPr>
          <w:p w14:paraId="5698F13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293" w:type="dxa"/>
            <w:shd w:val="clear" w:color="auto" w:fill="C6EFCE"/>
            <w:noWrap/>
          </w:tcPr>
          <w:p w14:paraId="446A849A" w14:textId="48BE63D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PHC – jednotky primárnej zdravotnej starostlivosti</w:t>
            </w:r>
            <w:r w:rsidR="00AB26B3" w:rsidRPr="00AB26B3">
              <w:rPr>
                <w:noProof/>
                <w:spacing w:val="-6"/>
                <w:lang w:val="sk-SK"/>
              </w:rPr>
              <w:t xml:space="preserve"> s </w:t>
            </w:r>
            <w:r w:rsidRPr="00AB26B3">
              <w:rPr>
                <w:noProof/>
                <w:spacing w:val="-6"/>
                <w:lang w:val="sk-SK"/>
              </w:rPr>
              <w:t>renovovanou infraštruktúrou – 1. krok</w:t>
            </w:r>
          </w:p>
        </w:tc>
        <w:tc>
          <w:tcPr>
            <w:tcW w:w="1707" w:type="dxa"/>
            <w:shd w:val="clear" w:color="auto" w:fill="C6EFCE"/>
            <w:noWrap/>
          </w:tcPr>
          <w:p w14:paraId="456DE10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84" w:type="dxa"/>
            <w:shd w:val="clear" w:color="auto" w:fill="C6EFCE"/>
            <w:noWrap/>
          </w:tcPr>
          <w:p w14:paraId="235EEEFD" w14:textId="155D81D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jednotiek primárnej zdravotnej starostlivosti,</w:t>
            </w:r>
            <w:r w:rsidR="00AB26B3" w:rsidRPr="00AB26B3">
              <w:rPr>
                <w:noProof/>
                <w:spacing w:val="-6"/>
                <w:lang w:val="sk-SK"/>
              </w:rPr>
              <w:t xml:space="preserve"> v </w:t>
            </w:r>
            <w:r w:rsidRPr="00AB26B3">
              <w:rPr>
                <w:noProof/>
                <w:spacing w:val="-6"/>
                <w:lang w:val="sk-SK"/>
              </w:rPr>
              <w:t xml:space="preserve">ktorých sa obnovuje infraštruktúra </w:t>
            </w:r>
          </w:p>
        </w:tc>
        <w:tc>
          <w:tcPr>
            <w:tcW w:w="974" w:type="dxa"/>
            <w:shd w:val="clear" w:color="auto" w:fill="C6EFCE"/>
            <w:noWrap/>
          </w:tcPr>
          <w:p w14:paraId="0C0315C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785" w:type="dxa"/>
            <w:shd w:val="clear" w:color="auto" w:fill="C6EFCE"/>
            <w:noWrap/>
          </w:tcPr>
          <w:p w14:paraId="6D678A7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w:t>
            </w:r>
          </w:p>
        </w:tc>
        <w:tc>
          <w:tcPr>
            <w:tcW w:w="1040" w:type="dxa"/>
            <w:shd w:val="clear" w:color="auto" w:fill="C6EFCE"/>
            <w:noWrap/>
          </w:tcPr>
          <w:p w14:paraId="3839191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45" w:type="dxa"/>
            <w:shd w:val="clear" w:color="auto" w:fill="C6EFCE"/>
            <w:noWrap/>
          </w:tcPr>
          <w:p w14:paraId="0184FB1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89" w:type="dxa"/>
            <w:shd w:val="clear" w:color="auto" w:fill="C6EFCE"/>
            <w:noWrap/>
          </w:tcPr>
          <w:p w14:paraId="3FFA92A6" w14:textId="2BD93B79" w:rsidR="00302FC1" w:rsidRPr="00AB26B3" w:rsidRDefault="00D64F26">
            <w:pPr>
              <w:pStyle w:val="P68B1DB1-Normal12"/>
              <w:spacing w:after="0" w:line="240" w:lineRule="auto"/>
              <w:rPr>
                <w:noProof/>
                <w:spacing w:val="-6"/>
                <w:lang w:val="sk-SK"/>
              </w:rPr>
            </w:pPr>
            <w:r w:rsidRPr="00AB26B3">
              <w:rPr>
                <w:noProof/>
                <w:spacing w:val="-6"/>
                <w:lang w:val="sk-SK"/>
              </w:rPr>
              <w:t>V prípade najmenej 15 jednotiek primárnej zdravotnej starostlivosti obnova infraštruktúry</w:t>
            </w:r>
            <w:r w:rsidR="00AB26B3" w:rsidRPr="00AB26B3">
              <w:rPr>
                <w:noProof/>
                <w:spacing w:val="-6"/>
                <w:lang w:val="sk-SK"/>
              </w:rPr>
              <w:t xml:space="preserve"> v </w:t>
            </w:r>
            <w:r w:rsidRPr="00AB26B3">
              <w:rPr>
                <w:noProof/>
                <w:spacing w:val="-6"/>
                <w:lang w:val="sk-SK"/>
              </w:rPr>
              <w:t>záujme energetickej efektívnosti</w:t>
            </w:r>
            <w:r w:rsidR="00AB26B3" w:rsidRPr="00AB26B3">
              <w:rPr>
                <w:noProof/>
                <w:spacing w:val="-6"/>
                <w:lang w:val="sk-SK"/>
              </w:rPr>
              <w:t xml:space="preserve"> a </w:t>
            </w:r>
            <w:r w:rsidRPr="00AB26B3">
              <w:rPr>
                <w:noProof/>
                <w:spacing w:val="-6"/>
                <w:lang w:val="sk-SK"/>
              </w:rPr>
              <w:t>vytvorenie oddelenia pre manažment chronických chorôb</w:t>
            </w:r>
            <w:r w:rsidR="00AB26B3" w:rsidRPr="00AB26B3">
              <w:rPr>
                <w:noProof/>
                <w:spacing w:val="-6"/>
                <w:lang w:val="sk-SK"/>
              </w:rPr>
              <w:t xml:space="preserve"> v </w:t>
            </w:r>
            <w:r w:rsidRPr="00AB26B3">
              <w:rPr>
                <w:noProof/>
                <w:spacing w:val="-6"/>
                <w:lang w:val="sk-SK"/>
              </w:rPr>
              <w:t xml:space="preserve">každej jednotke primárnej zdravotnej starostlivosti. </w:t>
            </w:r>
          </w:p>
        </w:tc>
      </w:tr>
      <w:tr w:rsidR="00302FC1" w:rsidRPr="00AB26B3" w14:paraId="3E2E7465" w14:textId="77777777">
        <w:trPr>
          <w:trHeight w:val="313"/>
        </w:trPr>
        <w:tc>
          <w:tcPr>
            <w:tcW w:w="708" w:type="dxa"/>
            <w:shd w:val="clear" w:color="auto" w:fill="C6EFCE"/>
            <w:noWrap/>
          </w:tcPr>
          <w:p w14:paraId="38CCD268" w14:textId="77777777" w:rsidR="00302FC1" w:rsidRPr="00AB26B3" w:rsidRDefault="00D64F26">
            <w:pPr>
              <w:pStyle w:val="P68B1DB1-Normal12"/>
              <w:spacing w:after="0" w:line="240" w:lineRule="auto"/>
              <w:rPr>
                <w:noProof/>
                <w:spacing w:val="-6"/>
                <w:lang w:val="sk-SK"/>
              </w:rPr>
            </w:pPr>
            <w:r w:rsidRPr="00AB26B3">
              <w:rPr>
                <w:noProof/>
                <w:spacing w:val="-6"/>
                <w:lang w:val="sk-SK"/>
              </w:rPr>
              <w:t>166a</w:t>
            </w:r>
          </w:p>
        </w:tc>
        <w:tc>
          <w:tcPr>
            <w:tcW w:w="2036" w:type="dxa"/>
            <w:shd w:val="clear" w:color="auto" w:fill="C6EFCE"/>
            <w:noWrap/>
          </w:tcPr>
          <w:p w14:paraId="24B0BC05" w14:textId="5CB6C05D" w:rsidR="00302FC1" w:rsidRPr="00AB26B3" w:rsidRDefault="00D64F26">
            <w:pPr>
              <w:pStyle w:val="P68B1DB1-Normal12"/>
              <w:spacing w:after="0" w:line="240" w:lineRule="auto"/>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16755_Zelené investície – Reforma systému primárnej zdravotnej starostlivosti</w:t>
            </w:r>
          </w:p>
        </w:tc>
        <w:tc>
          <w:tcPr>
            <w:tcW w:w="1027" w:type="dxa"/>
            <w:shd w:val="clear" w:color="auto" w:fill="C6EFCE"/>
            <w:noWrap/>
          </w:tcPr>
          <w:p w14:paraId="2B29D64C"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293" w:type="dxa"/>
            <w:shd w:val="clear" w:color="auto" w:fill="C6EFCE"/>
            <w:noWrap/>
          </w:tcPr>
          <w:p w14:paraId="7F0EEA36" w14:textId="464432CE" w:rsidR="00302FC1" w:rsidRPr="00AB26B3" w:rsidRDefault="00D64F26">
            <w:pPr>
              <w:pStyle w:val="P68B1DB1-Normal12"/>
              <w:spacing w:after="0" w:line="240" w:lineRule="auto"/>
              <w:rPr>
                <w:noProof/>
                <w:spacing w:val="-6"/>
                <w:lang w:val="sk-SK"/>
              </w:rPr>
            </w:pPr>
            <w:r w:rsidRPr="00AB26B3">
              <w:rPr>
                <w:noProof/>
                <w:spacing w:val="-6"/>
                <w:lang w:val="sk-SK"/>
              </w:rPr>
              <w:t>PHC – jednotky primárnej zdravotnej starostlivosti</w:t>
            </w:r>
            <w:r w:rsidR="00AB26B3" w:rsidRPr="00AB26B3">
              <w:rPr>
                <w:noProof/>
                <w:spacing w:val="-6"/>
                <w:lang w:val="sk-SK"/>
              </w:rPr>
              <w:t xml:space="preserve"> s </w:t>
            </w:r>
            <w:r w:rsidRPr="00AB26B3">
              <w:rPr>
                <w:noProof/>
                <w:spacing w:val="-6"/>
                <w:lang w:val="sk-SK"/>
              </w:rPr>
              <w:t>renovovanou infraštruktúrou – 2. krok</w:t>
            </w:r>
          </w:p>
        </w:tc>
        <w:tc>
          <w:tcPr>
            <w:tcW w:w="1707" w:type="dxa"/>
            <w:shd w:val="clear" w:color="auto" w:fill="C6EFCE"/>
            <w:noWrap/>
          </w:tcPr>
          <w:p w14:paraId="7A3C1A3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84" w:type="dxa"/>
            <w:shd w:val="clear" w:color="auto" w:fill="C6EFCE"/>
            <w:noWrap/>
          </w:tcPr>
          <w:p w14:paraId="6EC5BE50" w14:textId="60E55B66" w:rsidR="00302FC1" w:rsidRPr="00AB26B3" w:rsidRDefault="00D64F26">
            <w:pPr>
              <w:pStyle w:val="P68B1DB1-Normal12"/>
              <w:spacing w:after="0" w:line="240" w:lineRule="auto"/>
              <w:rPr>
                <w:noProof/>
                <w:spacing w:val="-6"/>
                <w:lang w:val="sk-SK"/>
              </w:rPr>
            </w:pPr>
            <w:r w:rsidRPr="00AB26B3">
              <w:rPr>
                <w:noProof/>
                <w:spacing w:val="-6"/>
                <w:lang w:val="sk-SK"/>
              </w:rPr>
              <w:t>Počet jednotiek primárnej zdravotnej starostlivosti,</w:t>
            </w:r>
            <w:r w:rsidR="00AB26B3" w:rsidRPr="00AB26B3">
              <w:rPr>
                <w:noProof/>
                <w:spacing w:val="-6"/>
                <w:lang w:val="sk-SK"/>
              </w:rPr>
              <w:t xml:space="preserve"> v </w:t>
            </w:r>
            <w:r w:rsidRPr="00AB26B3">
              <w:rPr>
                <w:noProof/>
                <w:spacing w:val="-6"/>
                <w:lang w:val="sk-SK"/>
              </w:rPr>
              <w:t xml:space="preserve">ktorých sa obnovuje infraštruktúra </w:t>
            </w:r>
          </w:p>
        </w:tc>
        <w:tc>
          <w:tcPr>
            <w:tcW w:w="974" w:type="dxa"/>
            <w:shd w:val="clear" w:color="auto" w:fill="C6EFCE"/>
            <w:noWrap/>
          </w:tcPr>
          <w:p w14:paraId="3322EE49" w14:textId="77777777" w:rsidR="00302FC1" w:rsidRPr="00AB26B3" w:rsidRDefault="00D64F26">
            <w:pPr>
              <w:pStyle w:val="P68B1DB1-Normal12"/>
              <w:spacing w:after="0" w:line="240" w:lineRule="auto"/>
              <w:rPr>
                <w:noProof/>
                <w:spacing w:val="-6"/>
                <w:lang w:val="sk-SK"/>
              </w:rPr>
            </w:pPr>
            <w:r w:rsidRPr="00AB26B3">
              <w:rPr>
                <w:noProof/>
                <w:spacing w:val="-6"/>
                <w:lang w:val="sk-SK"/>
              </w:rPr>
              <w:t>15</w:t>
            </w:r>
          </w:p>
        </w:tc>
        <w:tc>
          <w:tcPr>
            <w:tcW w:w="785" w:type="dxa"/>
            <w:shd w:val="clear" w:color="auto" w:fill="C6EFCE"/>
            <w:noWrap/>
          </w:tcPr>
          <w:p w14:paraId="5E1C3DA9" w14:textId="77777777" w:rsidR="00302FC1" w:rsidRPr="00AB26B3" w:rsidRDefault="00D64F26">
            <w:pPr>
              <w:pStyle w:val="P68B1DB1-Normal12"/>
              <w:spacing w:after="0" w:line="240" w:lineRule="auto"/>
              <w:rPr>
                <w:noProof/>
                <w:spacing w:val="-6"/>
                <w:lang w:val="sk-SK"/>
              </w:rPr>
            </w:pPr>
            <w:r w:rsidRPr="00AB26B3">
              <w:rPr>
                <w:noProof/>
                <w:spacing w:val="-6"/>
                <w:lang w:val="sk-SK"/>
              </w:rPr>
              <w:t>55</w:t>
            </w:r>
          </w:p>
        </w:tc>
        <w:tc>
          <w:tcPr>
            <w:tcW w:w="1040" w:type="dxa"/>
            <w:shd w:val="clear" w:color="auto" w:fill="C6EFCE"/>
            <w:noWrap/>
          </w:tcPr>
          <w:p w14:paraId="7C765FBF"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945" w:type="dxa"/>
            <w:shd w:val="clear" w:color="auto" w:fill="C6EFCE"/>
            <w:noWrap/>
          </w:tcPr>
          <w:p w14:paraId="64441D0B"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989" w:type="dxa"/>
            <w:shd w:val="clear" w:color="auto" w:fill="C6EFCE"/>
            <w:noWrap/>
          </w:tcPr>
          <w:p w14:paraId="241B162D" w14:textId="68AFC5BB" w:rsidR="00302FC1" w:rsidRPr="00AB26B3" w:rsidRDefault="00D64F26">
            <w:pPr>
              <w:pStyle w:val="P68B1DB1-Normal12"/>
              <w:spacing w:after="0" w:line="240" w:lineRule="auto"/>
              <w:rPr>
                <w:noProof/>
                <w:spacing w:val="-6"/>
                <w:lang w:val="sk-SK"/>
              </w:rPr>
            </w:pPr>
            <w:r w:rsidRPr="00AB26B3">
              <w:rPr>
                <w:noProof/>
                <w:spacing w:val="-6"/>
                <w:lang w:val="sk-SK"/>
              </w:rPr>
              <w:t>Najmenej pre ďalších 40 jednotiek primárnej zdravotnej starostlivosti, obnovu infraštruktúry</w:t>
            </w:r>
            <w:r w:rsidR="00AB26B3" w:rsidRPr="00AB26B3">
              <w:rPr>
                <w:noProof/>
                <w:spacing w:val="-6"/>
                <w:lang w:val="sk-SK"/>
              </w:rPr>
              <w:t xml:space="preserve"> v </w:t>
            </w:r>
            <w:r w:rsidRPr="00AB26B3">
              <w:rPr>
                <w:noProof/>
                <w:spacing w:val="-6"/>
                <w:lang w:val="sk-SK"/>
              </w:rPr>
              <w:t>záujme energetickej efektívnosti</w:t>
            </w:r>
            <w:r w:rsidR="00AB26B3" w:rsidRPr="00AB26B3">
              <w:rPr>
                <w:noProof/>
                <w:spacing w:val="-6"/>
                <w:lang w:val="sk-SK"/>
              </w:rPr>
              <w:t xml:space="preserve"> a </w:t>
            </w:r>
            <w:r w:rsidRPr="00AB26B3">
              <w:rPr>
                <w:noProof/>
                <w:spacing w:val="-6"/>
                <w:lang w:val="sk-SK"/>
              </w:rPr>
              <w:t>vytvorenie oddelenia pre manažment chronických chorôb</w:t>
            </w:r>
            <w:r w:rsidR="00AB26B3" w:rsidRPr="00AB26B3">
              <w:rPr>
                <w:noProof/>
                <w:spacing w:val="-6"/>
                <w:lang w:val="sk-SK"/>
              </w:rPr>
              <w:t xml:space="preserve"> v </w:t>
            </w:r>
            <w:r w:rsidRPr="00AB26B3">
              <w:rPr>
                <w:noProof/>
                <w:spacing w:val="-6"/>
                <w:lang w:val="sk-SK"/>
              </w:rPr>
              <w:t>každej jednotke primárnej zdravotnej starostlivosti.</w:t>
            </w:r>
          </w:p>
        </w:tc>
      </w:tr>
      <w:tr w:rsidR="00302FC1" w:rsidRPr="00AB26B3" w14:paraId="09CA1474" w14:textId="77777777">
        <w:trPr>
          <w:trHeight w:val="313"/>
        </w:trPr>
        <w:tc>
          <w:tcPr>
            <w:tcW w:w="708" w:type="dxa"/>
            <w:shd w:val="clear" w:color="auto" w:fill="C6EFCE"/>
            <w:noWrap/>
          </w:tcPr>
          <w:p w14:paraId="17341B70" w14:textId="77777777" w:rsidR="00302FC1" w:rsidRPr="00AB26B3" w:rsidRDefault="00D64F26">
            <w:pPr>
              <w:pStyle w:val="P68B1DB1-Normal12"/>
              <w:spacing w:after="0" w:line="240" w:lineRule="auto"/>
              <w:rPr>
                <w:noProof/>
                <w:spacing w:val="-6"/>
                <w:lang w:val="sk-SK"/>
              </w:rPr>
            </w:pPr>
            <w:r w:rsidRPr="00AB26B3">
              <w:rPr>
                <w:noProof/>
                <w:spacing w:val="-6"/>
                <w:lang w:val="sk-SK"/>
              </w:rPr>
              <w:t>166b</w:t>
            </w:r>
          </w:p>
        </w:tc>
        <w:tc>
          <w:tcPr>
            <w:tcW w:w="2036" w:type="dxa"/>
            <w:shd w:val="clear" w:color="auto" w:fill="C6EFCE"/>
            <w:noWrap/>
          </w:tcPr>
          <w:p w14:paraId="450D5BDF" w14:textId="7CCF3F3E" w:rsidR="00302FC1" w:rsidRPr="00AB26B3" w:rsidRDefault="00D64F26">
            <w:pPr>
              <w:pStyle w:val="P68B1DB1-Normal12"/>
              <w:spacing w:after="0" w:line="240" w:lineRule="auto"/>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16755_Zelené investície – Reforma systému primárnej zdravotnej starostlivosti</w:t>
            </w:r>
          </w:p>
        </w:tc>
        <w:tc>
          <w:tcPr>
            <w:tcW w:w="1027" w:type="dxa"/>
            <w:shd w:val="clear" w:color="auto" w:fill="C6EFCE"/>
            <w:noWrap/>
          </w:tcPr>
          <w:p w14:paraId="2C8A5F17"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293" w:type="dxa"/>
            <w:shd w:val="clear" w:color="auto" w:fill="C6EFCE"/>
            <w:noWrap/>
          </w:tcPr>
          <w:p w14:paraId="536ED078" w14:textId="4738B644" w:rsidR="00302FC1" w:rsidRPr="00AB26B3" w:rsidRDefault="00D64F26">
            <w:pPr>
              <w:pStyle w:val="P68B1DB1-Normal12"/>
              <w:spacing w:after="0" w:line="240" w:lineRule="auto"/>
              <w:rPr>
                <w:noProof/>
                <w:spacing w:val="-6"/>
                <w:lang w:val="sk-SK"/>
              </w:rPr>
            </w:pPr>
            <w:r w:rsidRPr="00AB26B3">
              <w:rPr>
                <w:noProof/>
                <w:spacing w:val="-6"/>
                <w:lang w:val="sk-SK"/>
              </w:rPr>
              <w:t>PHC – jednotky primárnej zdravotnej starostlivosti</w:t>
            </w:r>
            <w:r w:rsidR="00AB26B3" w:rsidRPr="00AB26B3">
              <w:rPr>
                <w:noProof/>
                <w:spacing w:val="-6"/>
                <w:lang w:val="sk-SK"/>
              </w:rPr>
              <w:t xml:space="preserve"> s </w:t>
            </w:r>
            <w:r w:rsidRPr="00AB26B3">
              <w:rPr>
                <w:noProof/>
                <w:spacing w:val="-6"/>
                <w:lang w:val="sk-SK"/>
              </w:rPr>
              <w:t>renovovanou infraštruktúrou – 3. krok</w:t>
            </w:r>
          </w:p>
        </w:tc>
        <w:tc>
          <w:tcPr>
            <w:tcW w:w="1707" w:type="dxa"/>
            <w:shd w:val="clear" w:color="auto" w:fill="C6EFCE"/>
            <w:noWrap/>
          </w:tcPr>
          <w:p w14:paraId="5D4060A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84" w:type="dxa"/>
            <w:shd w:val="clear" w:color="auto" w:fill="C6EFCE"/>
            <w:noWrap/>
          </w:tcPr>
          <w:p w14:paraId="09C82D47" w14:textId="18932FB1" w:rsidR="00302FC1" w:rsidRPr="00AB26B3" w:rsidRDefault="00D64F26">
            <w:pPr>
              <w:pStyle w:val="P68B1DB1-Normal12"/>
              <w:spacing w:after="0" w:line="240" w:lineRule="auto"/>
              <w:rPr>
                <w:noProof/>
                <w:spacing w:val="-6"/>
                <w:lang w:val="sk-SK"/>
              </w:rPr>
            </w:pPr>
            <w:r w:rsidRPr="00AB26B3">
              <w:rPr>
                <w:noProof/>
                <w:spacing w:val="-6"/>
                <w:lang w:val="sk-SK"/>
              </w:rPr>
              <w:t>Počet jednotiek primárnej zdravotnej starostlivosti,</w:t>
            </w:r>
            <w:r w:rsidR="00AB26B3" w:rsidRPr="00AB26B3">
              <w:rPr>
                <w:noProof/>
                <w:spacing w:val="-6"/>
                <w:lang w:val="sk-SK"/>
              </w:rPr>
              <w:t xml:space="preserve"> v </w:t>
            </w:r>
            <w:r w:rsidRPr="00AB26B3">
              <w:rPr>
                <w:noProof/>
                <w:spacing w:val="-6"/>
                <w:lang w:val="sk-SK"/>
              </w:rPr>
              <w:t xml:space="preserve">ktorých sa obnovuje infraštruktúra </w:t>
            </w:r>
          </w:p>
        </w:tc>
        <w:tc>
          <w:tcPr>
            <w:tcW w:w="974" w:type="dxa"/>
            <w:shd w:val="clear" w:color="auto" w:fill="C6EFCE"/>
            <w:noWrap/>
          </w:tcPr>
          <w:p w14:paraId="5F7DAB06" w14:textId="77777777" w:rsidR="00302FC1" w:rsidRPr="00AB26B3" w:rsidRDefault="00D64F26">
            <w:pPr>
              <w:pStyle w:val="P68B1DB1-Normal12"/>
              <w:spacing w:after="0" w:line="240" w:lineRule="auto"/>
              <w:rPr>
                <w:noProof/>
                <w:spacing w:val="-6"/>
                <w:lang w:val="sk-SK"/>
              </w:rPr>
            </w:pPr>
            <w:r w:rsidRPr="00AB26B3">
              <w:rPr>
                <w:noProof/>
                <w:spacing w:val="-6"/>
                <w:lang w:val="sk-SK"/>
              </w:rPr>
              <w:t>55</w:t>
            </w:r>
          </w:p>
        </w:tc>
        <w:tc>
          <w:tcPr>
            <w:tcW w:w="785" w:type="dxa"/>
            <w:shd w:val="clear" w:color="auto" w:fill="C6EFCE"/>
            <w:noWrap/>
          </w:tcPr>
          <w:p w14:paraId="7316E1CA" w14:textId="77777777" w:rsidR="00302FC1" w:rsidRPr="00AB26B3" w:rsidRDefault="00D64F26">
            <w:pPr>
              <w:pStyle w:val="P68B1DB1-Normal12"/>
              <w:spacing w:after="0" w:line="240" w:lineRule="auto"/>
              <w:rPr>
                <w:noProof/>
                <w:spacing w:val="-6"/>
                <w:lang w:val="sk-SK"/>
              </w:rPr>
            </w:pPr>
            <w:r w:rsidRPr="00AB26B3">
              <w:rPr>
                <w:noProof/>
                <w:spacing w:val="-6"/>
                <w:lang w:val="sk-SK"/>
              </w:rPr>
              <w:t>156</w:t>
            </w:r>
          </w:p>
        </w:tc>
        <w:tc>
          <w:tcPr>
            <w:tcW w:w="1040" w:type="dxa"/>
            <w:shd w:val="clear" w:color="auto" w:fill="C6EFCE"/>
            <w:noWrap/>
          </w:tcPr>
          <w:p w14:paraId="4FE0EFB4"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945" w:type="dxa"/>
            <w:shd w:val="clear" w:color="auto" w:fill="C6EFCE"/>
            <w:noWrap/>
          </w:tcPr>
          <w:p w14:paraId="0358A6D5"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989" w:type="dxa"/>
            <w:shd w:val="clear" w:color="auto" w:fill="C6EFCE"/>
            <w:noWrap/>
          </w:tcPr>
          <w:p w14:paraId="0860EF54" w14:textId="42D7E5F9" w:rsidR="00302FC1" w:rsidRPr="00AB26B3" w:rsidRDefault="00D64F26">
            <w:pPr>
              <w:pStyle w:val="P68B1DB1-Normal12"/>
              <w:spacing w:after="0" w:line="240" w:lineRule="auto"/>
              <w:rPr>
                <w:noProof/>
                <w:spacing w:val="-6"/>
                <w:lang w:val="sk-SK"/>
              </w:rPr>
            </w:pPr>
            <w:r w:rsidRPr="00AB26B3">
              <w:rPr>
                <w:noProof/>
                <w:spacing w:val="-6"/>
                <w:lang w:val="sk-SK"/>
              </w:rPr>
              <w:t>Najmenej pre ďalších 101 jednotiek primárnej zdravotnej starostlivosti, obnovu infraštruktúry</w:t>
            </w:r>
            <w:r w:rsidR="00AB26B3" w:rsidRPr="00AB26B3">
              <w:rPr>
                <w:noProof/>
                <w:spacing w:val="-6"/>
                <w:lang w:val="sk-SK"/>
              </w:rPr>
              <w:t xml:space="preserve"> v </w:t>
            </w:r>
            <w:r w:rsidRPr="00AB26B3">
              <w:rPr>
                <w:noProof/>
                <w:spacing w:val="-6"/>
                <w:lang w:val="sk-SK"/>
              </w:rPr>
              <w:t>záujme energetickej efektívnosti</w:t>
            </w:r>
            <w:r w:rsidR="00AB26B3" w:rsidRPr="00AB26B3">
              <w:rPr>
                <w:noProof/>
                <w:spacing w:val="-6"/>
                <w:lang w:val="sk-SK"/>
              </w:rPr>
              <w:t xml:space="preserve"> a </w:t>
            </w:r>
            <w:r w:rsidRPr="00AB26B3">
              <w:rPr>
                <w:noProof/>
                <w:spacing w:val="-6"/>
                <w:lang w:val="sk-SK"/>
              </w:rPr>
              <w:t>vytvorenie oddelenia pre manažment chronických chorôb</w:t>
            </w:r>
            <w:r w:rsidR="00AB26B3" w:rsidRPr="00AB26B3">
              <w:rPr>
                <w:noProof/>
                <w:spacing w:val="-6"/>
                <w:lang w:val="sk-SK"/>
              </w:rPr>
              <w:t xml:space="preserve"> v </w:t>
            </w:r>
            <w:r w:rsidRPr="00AB26B3">
              <w:rPr>
                <w:noProof/>
                <w:spacing w:val="-6"/>
                <w:lang w:val="sk-SK"/>
              </w:rPr>
              <w:t>každej jednotke primárnej zdravotnej starostlivosti.</w:t>
            </w:r>
          </w:p>
        </w:tc>
      </w:tr>
      <w:tr w:rsidR="00302FC1" w:rsidRPr="00AB26B3" w14:paraId="73E3D637" w14:textId="77777777">
        <w:trPr>
          <w:trHeight w:val="313"/>
        </w:trPr>
        <w:tc>
          <w:tcPr>
            <w:tcW w:w="708" w:type="dxa"/>
            <w:shd w:val="clear" w:color="auto" w:fill="C6EFCE"/>
            <w:noWrap/>
          </w:tcPr>
          <w:p w14:paraId="287F5CB1" w14:textId="77777777" w:rsidR="00302FC1" w:rsidRPr="00AB26B3" w:rsidRDefault="00D64F26">
            <w:pPr>
              <w:pStyle w:val="P68B1DB1-Normal12"/>
              <w:spacing w:after="0" w:line="240" w:lineRule="auto"/>
              <w:rPr>
                <w:noProof/>
                <w:spacing w:val="-6"/>
                <w:lang w:val="sk-SK"/>
              </w:rPr>
            </w:pPr>
            <w:r w:rsidRPr="00AB26B3">
              <w:rPr>
                <w:noProof/>
                <w:spacing w:val="-6"/>
                <w:lang w:val="sk-SK"/>
              </w:rPr>
              <w:t>166c</w:t>
            </w:r>
          </w:p>
        </w:tc>
        <w:tc>
          <w:tcPr>
            <w:tcW w:w="2036" w:type="dxa"/>
            <w:shd w:val="clear" w:color="auto" w:fill="C6EFCE"/>
            <w:noWrap/>
          </w:tcPr>
          <w:p w14:paraId="3913AEC5" w14:textId="2BADC6ED" w:rsidR="00302FC1" w:rsidRPr="00AB26B3" w:rsidRDefault="00D64F26">
            <w:pPr>
              <w:pStyle w:val="P68B1DB1-Normal12"/>
              <w:spacing w:after="0" w:line="240" w:lineRule="auto"/>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16755_Zelené investície – Reforma systému primárnej zdravotnej starostlivosti</w:t>
            </w:r>
          </w:p>
        </w:tc>
        <w:tc>
          <w:tcPr>
            <w:tcW w:w="1027" w:type="dxa"/>
            <w:shd w:val="clear" w:color="auto" w:fill="C6EFCE"/>
            <w:noWrap/>
          </w:tcPr>
          <w:p w14:paraId="43248572" w14:textId="77777777" w:rsidR="00302FC1" w:rsidRPr="00AB26B3" w:rsidRDefault="00D64F26">
            <w:pPr>
              <w:pStyle w:val="P68B1DB1-Normal12"/>
              <w:rPr>
                <w:noProof/>
                <w:spacing w:val="-6"/>
                <w:lang w:val="sk-SK"/>
              </w:rPr>
            </w:pPr>
            <w:r w:rsidRPr="00AB26B3">
              <w:rPr>
                <w:noProof/>
                <w:spacing w:val="-6"/>
                <w:lang w:val="sk-SK"/>
              </w:rPr>
              <w:t>Míľnik</w:t>
            </w:r>
          </w:p>
        </w:tc>
        <w:tc>
          <w:tcPr>
            <w:tcW w:w="1293" w:type="dxa"/>
            <w:shd w:val="clear" w:color="auto" w:fill="C6EFCE"/>
            <w:noWrap/>
          </w:tcPr>
          <w:p w14:paraId="6B2043FF" w14:textId="77777777" w:rsidR="00302FC1" w:rsidRPr="00AB26B3" w:rsidRDefault="00D64F26">
            <w:pPr>
              <w:pStyle w:val="P68B1DB1-Normal12"/>
              <w:spacing w:after="0" w:line="240" w:lineRule="auto"/>
              <w:rPr>
                <w:noProof/>
                <w:spacing w:val="-6"/>
                <w:lang w:val="sk-SK"/>
              </w:rPr>
            </w:pPr>
            <w:r w:rsidRPr="00AB26B3">
              <w:rPr>
                <w:noProof/>
                <w:spacing w:val="-6"/>
                <w:lang w:val="sk-SK"/>
              </w:rPr>
              <w:t>PHC – zdravotnícke vybavenie</w:t>
            </w:r>
          </w:p>
        </w:tc>
        <w:tc>
          <w:tcPr>
            <w:tcW w:w="1707" w:type="dxa"/>
            <w:shd w:val="clear" w:color="auto" w:fill="C6EFCE"/>
            <w:noWrap/>
          </w:tcPr>
          <w:p w14:paraId="4FDD88D1" w14:textId="77777777" w:rsidR="00302FC1" w:rsidRPr="00AB26B3" w:rsidRDefault="00D64F26">
            <w:pPr>
              <w:pStyle w:val="P68B1DB1-Normal24"/>
              <w:spacing w:after="0" w:line="240" w:lineRule="auto"/>
              <w:rPr>
                <w:noProof/>
                <w:spacing w:val="-6"/>
                <w:lang w:val="sk-SK"/>
              </w:rPr>
            </w:pPr>
            <w:r w:rsidRPr="00AB26B3">
              <w:rPr>
                <w:noProof/>
                <w:spacing w:val="-6"/>
                <w:lang w:val="sk-SK"/>
              </w:rPr>
              <w:t xml:space="preserve">Dodanie zdravotníckeho vybavenia </w:t>
            </w:r>
          </w:p>
        </w:tc>
        <w:tc>
          <w:tcPr>
            <w:tcW w:w="1784" w:type="dxa"/>
            <w:shd w:val="clear" w:color="auto" w:fill="C6EFCE"/>
            <w:noWrap/>
          </w:tcPr>
          <w:p w14:paraId="00D6AB72"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74" w:type="dxa"/>
            <w:shd w:val="clear" w:color="auto" w:fill="C6EFCE"/>
            <w:noWrap/>
          </w:tcPr>
          <w:p w14:paraId="467BEF02"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785" w:type="dxa"/>
            <w:shd w:val="clear" w:color="auto" w:fill="C6EFCE"/>
            <w:noWrap/>
          </w:tcPr>
          <w:p w14:paraId="1B8CFB38"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040" w:type="dxa"/>
            <w:shd w:val="clear" w:color="auto" w:fill="C6EFCE"/>
            <w:noWrap/>
          </w:tcPr>
          <w:p w14:paraId="0A8E49F8"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945" w:type="dxa"/>
            <w:shd w:val="clear" w:color="auto" w:fill="C6EFCE"/>
            <w:noWrap/>
          </w:tcPr>
          <w:p w14:paraId="0FB87288"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989" w:type="dxa"/>
            <w:shd w:val="clear" w:color="auto" w:fill="C6EFCE"/>
            <w:noWrap/>
          </w:tcPr>
          <w:p w14:paraId="320E912A" w14:textId="7AB7892D" w:rsidR="00302FC1" w:rsidRPr="00AB26B3" w:rsidRDefault="00D64F26">
            <w:pPr>
              <w:pStyle w:val="P68B1DB1-Normal12"/>
              <w:spacing w:after="0" w:line="240" w:lineRule="auto"/>
              <w:rPr>
                <w:noProof/>
                <w:spacing w:val="-6"/>
                <w:lang w:val="sk-SK"/>
              </w:rPr>
            </w:pPr>
            <w:r w:rsidRPr="00AB26B3">
              <w:rPr>
                <w:noProof/>
                <w:spacing w:val="-6"/>
                <w:lang w:val="sk-SK"/>
              </w:rPr>
              <w:t>Dodanie zdravotníckeho vybavenia pre systém primárnej zdravotnej starostlivosti</w:t>
            </w:r>
            <w:r w:rsidR="00AB26B3" w:rsidRPr="00AB26B3">
              <w:rPr>
                <w:noProof/>
                <w:spacing w:val="-6"/>
                <w:lang w:val="sk-SK"/>
              </w:rPr>
              <w:t xml:space="preserve"> v </w:t>
            </w:r>
            <w:r w:rsidRPr="00AB26B3">
              <w:rPr>
                <w:noProof/>
                <w:spacing w:val="-6"/>
                <w:lang w:val="sk-SK"/>
              </w:rPr>
              <w:t xml:space="preserve">siedmich zdravotníckych regiónoch. </w:t>
            </w:r>
          </w:p>
        </w:tc>
      </w:tr>
      <w:tr w:rsidR="00302FC1" w:rsidRPr="00AB26B3" w14:paraId="70EE1EDF" w14:textId="77777777">
        <w:trPr>
          <w:trHeight w:val="313"/>
        </w:trPr>
        <w:tc>
          <w:tcPr>
            <w:tcW w:w="708" w:type="dxa"/>
            <w:shd w:val="clear" w:color="auto" w:fill="C6EFCE"/>
            <w:noWrap/>
          </w:tcPr>
          <w:p w14:paraId="069DF3A5" w14:textId="77777777" w:rsidR="00302FC1" w:rsidRPr="00AB26B3" w:rsidRDefault="00D64F26">
            <w:pPr>
              <w:pStyle w:val="P68B1DB1-Normal12"/>
              <w:spacing w:after="0" w:line="240" w:lineRule="auto"/>
              <w:rPr>
                <w:noProof/>
                <w:spacing w:val="-6"/>
                <w:lang w:val="sk-SK"/>
              </w:rPr>
            </w:pPr>
            <w:r w:rsidRPr="00AB26B3">
              <w:rPr>
                <w:noProof/>
                <w:spacing w:val="-6"/>
                <w:lang w:val="sk-SK"/>
              </w:rPr>
              <w:t>166d</w:t>
            </w:r>
          </w:p>
        </w:tc>
        <w:tc>
          <w:tcPr>
            <w:tcW w:w="2036" w:type="dxa"/>
            <w:shd w:val="clear" w:color="auto" w:fill="C6EFCE"/>
            <w:noWrap/>
          </w:tcPr>
          <w:p w14:paraId="7498B790" w14:textId="77EA61FB" w:rsidR="00302FC1" w:rsidRPr="00AB26B3" w:rsidRDefault="00D64F26">
            <w:pPr>
              <w:pStyle w:val="P68B1DB1-Normal12"/>
              <w:spacing w:after="0" w:line="240" w:lineRule="auto"/>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16755_Zelené investície – Reforma systému primárnej zdravotnej starostlivosti</w:t>
            </w:r>
          </w:p>
        </w:tc>
        <w:tc>
          <w:tcPr>
            <w:tcW w:w="1027" w:type="dxa"/>
            <w:shd w:val="clear" w:color="auto" w:fill="C6EFCE"/>
            <w:noWrap/>
          </w:tcPr>
          <w:p w14:paraId="21C6F91D"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93" w:type="dxa"/>
            <w:shd w:val="clear" w:color="auto" w:fill="C6EFCE"/>
            <w:noWrap/>
          </w:tcPr>
          <w:p w14:paraId="694F934B" w14:textId="0DA3EE68" w:rsidR="00302FC1" w:rsidRPr="00AB26B3" w:rsidRDefault="00D64F26">
            <w:pPr>
              <w:pStyle w:val="P68B1DB1-Normal12"/>
              <w:spacing w:after="0" w:line="240" w:lineRule="auto"/>
              <w:rPr>
                <w:noProof/>
                <w:spacing w:val="-6"/>
                <w:lang w:val="sk-SK"/>
              </w:rPr>
            </w:pPr>
            <w:r w:rsidRPr="00AB26B3">
              <w:rPr>
                <w:noProof/>
                <w:spacing w:val="-6"/>
                <w:lang w:val="sk-SK"/>
              </w:rPr>
              <w:t>PHC – Reforma</w:t>
            </w:r>
            <w:r w:rsidR="00AB26B3" w:rsidRPr="00AB26B3">
              <w:rPr>
                <w:noProof/>
                <w:spacing w:val="-6"/>
                <w:lang w:val="sk-SK"/>
              </w:rPr>
              <w:t xml:space="preserve"> a </w:t>
            </w:r>
            <w:r w:rsidRPr="00AB26B3">
              <w:rPr>
                <w:noProof/>
                <w:spacing w:val="-6"/>
                <w:lang w:val="sk-SK"/>
              </w:rPr>
              <w:t>odborná príprava</w:t>
            </w:r>
          </w:p>
        </w:tc>
        <w:tc>
          <w:tcPr>
            <w:tcW w:w="1707" w:type="dxa"/>
            <w:shd w:val="clear" w:color="auto" w:fill="C6EFCE"/>
            <w:noWrap/>
          </w:tcPr>
          <w:p w14:paraId="2CD28235" w14:textId="77B000D9" w:rsidR="00302FC1" w:rsidRPr="00AB26B3" w:rsidRDefault="00D64F26">
            <w:pPr>
              <w:pStyle w:val="P68B1DB1-Normal24"/>
              <w:spacing w:after="0" w:line="240" w:lineRule="auto"/>
              <w:rPr>
                <w:noProof/>
                <w:spacing w:val="-6"/>
                <w:lang w:val="sk-SK"/>
              </w:rPr>
            </w:pPr>
            <w:r w:rsidRPr="00AB26B3">
              <w:rPr>
                <w:noProof/>
                <w:spacing w:val="-6"/>
                <w:lang w:val="sk-SK"/>
              </w:rPr>
              <w:t>Návrhy na reformu verejnej zdravotnej starostlivosti, pilotný referenčný mechanizmus, digitálne platformy</w:t>
            </w:r>
            <w:r w:rsidR="00AB26B3" w:rsidRPr="00AB26B3">
              <w:rPr>
                <w:noProof/>
                <w:spacing w:val="-6"/>
                <w:lang w:val="sk-SK"/>
              </w:rPr>
              <w:t xml:space="preserve"> a </w:t>
            </w:r>
            <w:r w:rsidRPr="00AB26B3">
              <w:rPr>
                <w:noProof/>
                <w:spacing w:val="-6"/>
                <w:lang w:val="sk-SK"/>
              </w:rPr>
              <w:t xml:space="preserve">odbornú prípravu  </w:t>
            </w:r>
          </w:p>
        </w:tc>
        <w:tc>
          <w:tcPr>
            <w:tcW w:w="1784" w:type="dxa"/>
            <w:shd w:val="clear" w:color="auto" w:fill="C6EFCE"/>
            <w:noWrap/>
          </w:tcPr>
          <w:p w14:paraId="22D9FC8E"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74" w:type="dxa"/>
            <w:shd w:val="clear" w:color="auto" w:fill="C6EFCE"/>
            <w:noWrap/>
          </w:tcPr>
          <w:p w14:paraId="1FBA8A23"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785" w:type="dxa"/>
            <w:shd w:val="clear" w:color="auto" w:fill="C6EFCE"/>
            <w:noWrap/>
          </w:tcPr>
          <w:p w14:paraId="52521D2E"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040" w:type="dxa"/>
            <w:shd w:val="clear" w:color="auto" w:fill="C6EFCE"/>
            <w:noWrap/>
          </w:tcPr>
          <w:p w14:paraId="33365DF4"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945" w:type="dxa"/>
            <w:shd w:val="clear" w:color="auto" w:fill="C6EFCE"/>
            <w:noWrap/>
          </w:tcPr>
          <w:p w14:paraId="47BF373A"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989" w:type="dxa"/>
            <w:shd w:val="clear" w:color="auto" w:fill="C6EFCE"/>
            <w:noWrap/>
          </w:tcPr>
          <w:p w14:paraId="74B73191" w14:textId="77777777" w:rsidR="00AB26B3" w:rsidRPr="00AB26B3" w:rsidRDefault="00D64F26">
            <w:pPr>
              <w:pStyle w:val="P68B1DB1-Normal12"/>
              <w:spacing w:after="0" w:line="240" w:lineRule="auto"/>
              <w:rPr>
                <w:noProof/>
                <w:spacing w:val="-6"/>
                <w:lang w:val="sk-SK"/>
              </w:rPr>
            </w:pPr>
            <w:r w:rsidRPr="00AB26B3">
              <w:rPr>
                <w:noProof/>
                <w:spacing w:val="-6"/>
                <w:lang w:val="sk-SK"/>
              </w:rPr>
              <w:t>Predloženie</w:t>
            </w:r>
            <w:r w:rsidR="00AB26B3" w:rsidRPr="00AB26B3">
              <w:rPr>
                <w:noProof/>
                <w:spacing w:val="-6"/>
                <w:lang w:val="sk-SK"/>
              </w:rPr>
              <w:t>:</w:t>
            </w:r>
          </w:p>
          <w:p w14:paraId="30E8DA5E" w14:textId="77777777" w:rsidR="00AB26B3" w:rsidRPr="00AB26B3" w:rsidRDefault="00D64F26">
            <w:pPr>
              <w:pStyle w:val="P68B1DB1-ListParagraph19"/>
              <w:numPr>
                <w:ilvl w:val="0"/>
                <w:numId w:val="29"/>
              </w:numPr>
              <w:spacing w:after="0" w:line="240" w:lineRule="auto"/>
              <w:rPr>
                <w:noProof/>
                <w:spacing w:val="-6"/>
                <w:lang w:val="sk-SK"/>
              </w:rPr>
            </w:pPr>
            <w:r w:rsidRPr="00AB26B3">
              <w:rPr>
                <w:noProof/>
                <w:spacing w:val="-6"/>
                <w:lang w:val="sk-SK"/>
              </w:rPr>
              <w:t>Návrhy reformy primárnej zdravotnej starostlivosti,</w:t>
            </w:r>
          </w:p>
          <w:p w14:paraId="684F032F" w14:textId="77777777" w:rsidR="00AB26B3" w:rsidRPr="00AB26B3" w:rsidRDefault="00D64F26">
            <w:pPr>
              <w:pStyle w:val="P68B1DB1-ListParagraph19"/>
              <w:numPr>
                <w:ilvl w:val="0"/>
                <w:numId w:val="29"/>
              </w:numPr>
              <w:spacing w:after="0" w:line="240" w:lineRule="auto"/>
              <w:rPr>
                <w:noProof/>
                <w:spacing w:val="-6"/>
                <w:lang w:val="sk-SK"/>
              </w:rPr>
            </w:pPr>
            <w:r w:rsidRPr="00AB26B3">
              <w:rPr>
                <w:noProof/>
                <w:spacing w:val="-6"/>
                <w:lang w:val="sk-SK"/>
              </w:rPr>
              <w:t>Pilotný referenčný mechanizmus,</w:t>
            </w:r>
          </w:p>
          <w:p w14:paraId="6216DCEA" w14:textId="77777777" w:rsidR="00AB26B3" w:rsidRPr="00AB26B3" w:rsidRDefault="00D64F26">
            <w:pPr>
              <w:pStyle w:val="P68B1DB1-ListParagraph19"/>
              <w:numPr>
                <w:ilvl w:val="0"/>
                <w:numId w:val="29"/>
              </w:numPr>
              <w:spacing w:after="0" w:line="240" w:lineRule="auto"/>
              <w:rPr>
                <w:noProof/>
                <w:spacing w:val="-6"/>
                <w:lang w:val="sk-SK"/>
              </w:rPr>
            </w:pPr>
            <w:r w:rsidRPr="00AB26B3">
              <w:rPr>
                <w:noProof/>
                <w:spacing w:val="-6"/>
                <w:lang w:val="sk-SK"/>
              </w:rPr>
              <w:t>Odborná príprava zamestnancov zameraná na zlepšenie kapacity pracovnej sily</w:t>
            </w:r>
            <w:r w:rsidR="00AB26B3" w:rsidRPr="00AB26B3">
              <w:rPr>
                <w:noProof/>
                <w:spacing w:val="-6"/>
                <w:lang w:val="sk-SK"/>
              </w:rPr>
              <w:t xml:space="preserve"> v </w:t>
            </w:r>
            <w:r w:rsidRPr="00AB26B3">
              <w:rPr>
                <w:noProof/>
                <w:spacing w:val="-6"/>
                <w:lang w:val="sk-SK"/>
              </w:rPr>
              <w:t>oblasti verejnej zdravotnej starostlivosti,</w:t>
            </w:r>
          </w:p>
          <w:p w14:paraId="2E785025" w14:textId="3A3A1A7C" w:rsidR="00AB26B3" w:rsidRPr="00AB26B3" w:rsidRDefault="00D64F26">
            <w:pPr>
              <w:pStyle w:val="P68B1DB1-ListParagraph19"/>
              <w:numPr>
                <w:ilvl w:val="0"/>
                <w:numId w:val="29"/>
              </w:numPr>
              <w:spacing w:after="0" w:line="240" w:lineRule="auto"/>
              <w:rPr>
                <w:noProof/>
                <w:spacing w:val="-6"/>
                <w:lang w:val="sk-SK"/>
              </w:rPr>
            </w:pPr>
            <w:r w:rsidRPr="00AB26B3">
              <w:rPr>
                <w:noProof/>
                <w:spacing w:val="-6"/>
                <w:lang w:val="sk-SK"/>
              </w:rPr>
              <w:t>Digitálna platforma pre rozhodovanie</w:t>
            </w:r>
            <w:r w:rsidR="00AB26B3" w:rsidRPr="00AB26B3">
              <w:rPr>
                <w:noProof/>
                <w:spacing w:val="-6"/>
                <w:lang w:val="sk-SK"/>
              </w:rPr>
              <w:t xml:space="preserve"> v </w:t>
            </w:r>
            <w:r w:rsidRPr="00AB26B3">
              <w:rPr>
                <w:noProof/>
                <w:spacing w:val="-6"/>
                <w:lang w:val="sk-SK"/>
              </w:rPr>
              <w:t>oblasti PHC založené na údajoch</w:t>
            </w:r>
            <w:r w:rsidR="00AB26B3" w:rsidRPr="00AB26B3">
              <w:rPr>
                <w:noProof/>
                <w:spacing w:val="-6"/>
                <w:lang w:val="sk-SK"/>
              </w:rPr>
              <w:t>.</w:t>
            </w:r>
          </w:p>
          <w:p w14:paraId="544A66DA" w14:textId="0666BD49"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45588B8B" w14:textId="2FDE67BF" w:rsidR="00302FC1" w:rsidRPr="00AB26B3" w:rsidRDefault="00D64F26">
            <w:pPr>
              <w:pStyle w:val="P68B1DB1-Normal12"/>
              <w:spacing w:after="0" w:line="240" w:lineRule="auto"/>
              <w:rPr>
                <w:noProof/>
                <w:spacing w:val="-6"/>
                <w:lang w:val="sk-SK"/>
              </w:rPr>
            </w:pPr>
            <w:r w:rsidRPr="00AB26B3">
              <w:rPr>
                <w:noProof/>
                <w:spacing w:val="-6"/>
                <w:lang w:val="sk-SK"/>
              </w:rPr>
              <w:t>Odborná príprava najmenej 10000 pracovníkov</w:t>
            </w:r>
            <w:r w:rsidR="00AB26B3" w:rsidRPr="00AB26B3">
              <w:rPr>
                <w:noProof/>
                <w:spacing w:val="-6"/>
                <w:lang w:val="sk-SK"/>
              </w:rPr>
              <w:t xml:space="preserve"> v </w:t>
            </w:r>
            <w:r w:rsidRPr="00AB26B3">
              <w:rPr>
                <w:noProof/>
                <w:spacing w:val="-6"/>
                <w:lang w:val="sk-SK"/>
              </w:rPr>
              <w:t>oblasti primárnej zdravotnej starostlivosti.</w:t>
            </w:r>
          </w:p>
        </w:tc>
      </w:tr>
      <w:tr w:rsidR="00302FC1" w:rsidRPr="00AB26B3" w14:paraId="297AC528" w14:textId="77777777">
        <w:trPr>
          <w:trHeight w:val="313"/>
        </w:trPr>
        <w:tc>
          <w:tcPr>
            <w:tcW w:w="708" w:type="dxa"/>
            <w:shd w:val="clear" w:color="auto" w:fill="C6EFCE"/>
            <w:noWrap/>
          </w:tcPr>
          <w:p w14:paraId="7A2346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335</w:t>
            </w:r>
          </w:p>
        </w:tc>
        <w:tc>
          <w:tcPr>
            <w:tcW w:w="2036" w:type="dxa"/>
            <w:shd w:val="clear" w:color="auto" w:fill="C6EFCE"/>
            <w:noWrap/>
          </w:tcPr>
          <w:p w14:paraId="3662CE93" w14:textId="26CD2D46"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10 – 3.3. Zlepšiť odolnosť, prístupnosť</w:t>
            </w:r>
            <w:r w:rsidR="00AB26B3" w:rsidRPr="00AB26B3">
              <w:rPr>
                <w:noProof/>
                <w:color w:val="006100"/>
                <w:spacing w:val="-6"/>
                <w:lang w:val="sk-SK"/>
              </w:rPr>
              <w:t xml:space="preserve"> a </w:t>
            </w:r>
            <w:r w:rsidRPr="00AB26B3">
              <w:rPr>
                <w:noProof/>
                <w:color w:val="006100"/>
                <w:spacing w:val="-6"/>
                <w:lang w:val="sk-SK"/>
              </w:rPr>
              <w:t>udržateľnosť zdravotnej starostlivosti – 16984_ Reforma osobných lekárov</w:t>
            </w:r>
          </w:p>
        </w:tc>
        <w:tc>
          <w:tcPr>
            <w:tcW w:w="1027" w:type="dxa"/>
            <w:shd w:val="clear" w:color="auto" w:fill="C6EFCE"/>
            <w:noWrap/>
          </w:tcPr>
          <w:p w14:paraId="079BB71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93" w:type="dxa"/>
            <w:shd w:val="clear" w:color="auto" w:fill="C6EFCE"/>
            <w:noWrap/>
          </w:tcPr>
          <w:p w14:paraId="7BCBD773" w14:textId="77777777"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Osobná</w:t>
            </w:r>
            <w:r w:rsidRPr="00AB26B3">
              <w:rPr>
                <w:noProof/>
                <w:spacing w:val="-6"/>
                <w:lang w:val="sk-SK"/>
              </w:rPr>
              <w:t xml:space="preserve"> </w:t>
            </w:r>
            <w:r w:rsidRPr="00AB26B3">
              <w:rPr>
                <w:noProof/>
                <w:color w:val="006100"/>
                <w:spacing w:val="-6"/>
                <w:lang w:val="sk-SK"/>
              </w:rPr>
              <w:t>reforma lekárov – nadobudnutie účinnosti právnych predpisov</w:t>
            </w:r>
          </w:p>
        </w:tc>
        <w:tc>
          <w:tcPr>
            <w:tcW w:w="1707" w:type="dxa"/>
            <w:shd w:val="clear" w:color="auto" w:fill="C6EFCE"/>
            <w:noWrap/>
          </w:tcPr>
          <w:p w14:paraId="56155EC5" w14:textId="1DAB5D31"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Nadobudnutie účinnosti právnych predpisov, ktorými sa stanovujú kľúčové prvky zápisu vidieckych lekárov do systému osobných lekárov, vytvorenie nových podobných pozícií</w:t>
            </w:r>
            <w:r w:rsidR="00AB26B3" w:rsidRPr="00AB26B3">
              <w:rPr>
                <w:noProof/>
                <w:color w:val="006100"/>
                <w:spacing w:val="-6"/>
                <w:lang w:val="sk-SK"/>
              </w:rPr>
              <w:t xml:space="preserve"> v </w:t>
            </w:r>
            <w:r w:rsidRPr="00AB26B3">
              <w:rPr>
                <w:noProof/>
                <w:color w:val="006100"/>
                <w:spacing w:val="-6"/>
                <w:lang w:val="sk-SK"/>
              </w:rPr>
              <w:t>mestských, prímestských</w:t>
            </w:r>
            <w:r w:rsidR="00AB26B3" w:rsidRPr="00AB26B3">
              <w:rPr>
                <w:noProof/>
                <w:color w:val="006100"/>
                <w:spacing w:val="-6"/>
                <w:lang w:val="sk-SK"/>
              </w:rPr>
              <w:t xml:space="preserve"> a </w:t>
            </w:r>
            <w:r w:rsidRPr="00AB26B3">
              <w:rPr>
                <w:noProof/>
                <w:color w:val="006100"/>
                <w:spacing w:val="-6"/>
                <w:lang w:val="sk-SK"/>
              </w:rPr>
              <w:t>vidieckych oblastiach</w:t>
            </w:r>
            <w:r w:rsidR="00AB26B3" w:rsidRPr="00AB26B3">
              <w:rPr>
                <w:noProof/>
                <w:color w:val="006100"/>
                <w:spacing w:val="-6"/>
                <w:lang w:val="sk-SK"/>
              </w:rPr>
              <w:t xml:space="preserve"> a </w:t>
            </w:r>
            <w:r w:rsidRPr="00AB26B3">
              <w:rPr>
                <w:noProof/>
                <w:color w:val="006100"/>
                <w:spacing w:val="-6"/>
                <w:lang w:val="sk-SK"/>
              </w:rPr>
              <w:t>stimulačný mechanizmus</w:t>
            </w:r>
          </w:p>
        </w:tc>
        <w:tc>
          <w:tcPr>
            <w:tcW w:w="1784" w:type="dxa"/>
            <w:shd w:val="clear" w:color="auto" w:fill="C6EFCE"/>
            <w:noWrap/>
          </w:tcPr>
          <w:p w14:paraId="0CE19F7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74" w:type="dxa"/>
            <w:shd w:val="clear" w:color="auto" w:fill="C6EFCE"/>
            <w:noWrap/>
          </w:tcPr>
          <w:p w14:paraId="46B00B7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85" w:type="dxa"/>
            <w:shd w:val="clear" w:color="auto" w:fill="C6EFCE"/>
            <w:noWrap/>
          </w:tcPr>
          <w:p w14:paraId="6AB4057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40" w:type="dxa"/>
            <w:shd w:val="clear" w:color="auto" w:fill="C6EFCE"/>
            <w:noWrap/>
          </w:tcPr>
          <w:p w14:paraId="17431D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45" w:type="dxa"/>
            <w:shd w:val="clear" w:color="auto" w:fill="C6EFCE"/>
            <w:noWrap/>
          </w:tcPr>
          <w:p w14:paraId="04C3D5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989" w:type="dxa"/>
            <w:shd w:val="clear" w:color="auto" w:fill="C6EFCE"/>
            <w:noWrap/>
          </w:tcPr>
          <w:p w14:paraId="67CFC9BA" w14:textId="3E2844C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Nadobudnú účinnosť právne predpisy,</w:t>
            </w:r>
            <w:r w:rsidR="00AB26B3" w:rsidRPr="00AB26B3">
              <w:rPr>
                <w:noProof/>
                <w:spacing w:val="-6"/>
                <w:lang w:val="sk-SK"/>
              </w:rPr>
              <w:t xml:space="preserve"> v </w:t>
            </w:r>
            <w:r w:rsidRPr="00AB26B3">
              <w:rPr>
                <w:noProof/>
                <w:spacing w:val="-6"/>
                <w:lang w:val="sk-SK"/>
              </w:rPr>
              <w:t>ktorých sa stanovia kľúčové prvky zápisu vidieckych lekárov do systému osobných lekárov, vytvorenia nových podobných pozícií</w:t>
            </w:r>
            <w:r w:rsidR="00AB26B3" w:rsidRPr="00AB26B3">
              <w:rPr>
                <w:noProof/>
                <w:spacing w:val="-6"/>
                <w:lang w:val="sk-SK"/>
              </w:rPr>
              <w:t xml:space="preserve"> v </w:t>
            </w:r>
            <w:r w:rsidRPr="00AB26B3">
              <w:rPr>
                <w:noProof/>
                <w:spacing w:val="-6"/>
                <w:lang w:val="sk-SK"/>
              </w:rPr>
              <w:t>mestských, prímestských</w:t>
            </w:r>
            <w:r w:rsidR="00AB26B3" w:rsidRPr="00AB26B3">
              <w:rPr>
                <w:noProof/>
                <w:spacing w:val="-6"/>
                <w:lang w:val="sk-SK"/>
              </w:rPr>
              <w:t xml:space="preserve"> a </w:t>
            </w:r>
            <w:r w:rsidRPr="00AB26B3">
              <w:rPr>
                <w:noProof/>
                <w:spacing w:val="-6"/>
                <w:lang w:val="sk-SK"/>
              </w:rPr>
              <w:t>vidieckych oblastiach, kde je stále nedostatok osobných lekárov,</w:t>
            </w:r>
            <w:r w:rsidR="00AB26B3" w:rsidRPr="00AB26B3">
              <w:rPr>
                <w:noProof/>
                <w:spacing w:val="-6"/>
                <w:lang w:val="sk-SK"/>
              </w:rPr>
              <w:t xml:space="preserve"> a </w:t>
            </w:r>
            <w:r w:rsidRPr="00AB26B3">
              <w:rPr>
                <w:noProof/>
                <w:spacing w:val="-6"/>
                <w:lang w:val="sk-SK"/>
              </w:rPr>
              <w:t>stimulačného mechanizmu pre lekárov, aby sa stali osobami</w:t>
            </w:r>
            <w:r w:rsidR="00AB26B3" w:rsidRPr="00AB26B3">
              <w:rPr>
                <w:noProof/>
                <w:spacing w:val="-6"/>
                <w:lang w:val="sk-SK"/>
              </w:rPr>
              <w:t xml:space="preserve"> s </w:t>
            </w:r>
            <w:r w:rsidRPr="00AB26B3">
              <w:rPr>
                <w:noProof/>
                <w:spacing w:val="-6"/>
                <w:lang w:val="sk-SK"/>
              </w:rPr>
              <w:t>pobytom vo všeobecnej/rodinnej medicíne alebo</w:t>
            </w:r>
            <w:r w:rsidR="00AB26B3" w:rsidRPr="00AB26B3">
              <w:rPr>
                <w:noProof/>
                <w:spacing w:val="-6"/>
                <w:lang w:val="sk-SK"/>
              </w:rPr>
              <w:t xml:space="preserve"> v </w:t>
            </w:r>
            <w:r w:rsidRPr="00AB26B3">
              <w:rPr>
                <w:noProof/>
                <w:spacing w:val="-6"/>
                <w:lang w:val="sk-SK"/>
              </w:rPr>
              <w:t>internej medicíne.</w:t>
            </w:r>
          </w:p>
        </w:tc>
      </w:tr>
      <w:tr w:rsidR="00302FC1" w:rsidRPr="00AB26B3" w14:paraId="2CA1F670" w14:textId="77777777">
        <w:trPr>
          <w:trHeight w:val="313"/>
        </w:trPr>
        <w:tc>
          <w:tcPr>
            <w:tcW w:w="708" w:type="dxa"/>
            <w:shd w:val="clear" w:color="auto" w:fill="C6EFCE"/>
            <w:noWrap/>
          </w:tcPr>
          <w:p w14:paraId="65EA48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336</w:t>
            </w:r>
          </w:p>
        </w:tc>
        <w:tc>
          <w:tcPr>
            <w:tcW w:w="2036" w:type="dxa"/>
            <w:shd w:val="clear" w:color="auto" w:fill="C6EFCE"/>
            <w:noWrap/>
          </w:tcPr>
          <w:p w14:paraId="67DFCC79" w14:textId="3897B823"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10 – 3.3. Zlepšiť odolnosť, prístupnosť</w:t>
            </w:r>
            <w:r w:rsidR="00AB26B3" w:rsidRPr="00AB26B3">
              <w:rPr>
                <w:noProof/>
                <w:color w:val="006100"/>
                <w:spacing w:val="-6"/>
                <w:lang w:val="sk-SK"/>
              </w:rPr>
              <w:t xml:space="preserve"> a </w:t>
            </w:r>
            <w:r w:rsidRPr="00AB26B3">
              <w:rPr>
                <w:noProof/>
                <w:color w:val="006100"/>
                <w:spacing w:val="-6"/>
                <w:lang w:val="sk-SK"/>
              </w:rPr>
              <w:t>udržateľnosť zdravotnej starostlivosti – 16984_ Reforma osobných lekárov</w:t>
            </w:r>
          </w:p>
        </w:tc>
        <w:tc>
          <w:tcPr>
            <w:tcW w:w="1027" w:type="dxa"/>
            <w:shd w:val="clear" w:color="auto" w:fill="C6EFCE"/>
            <w:noWrap/>
          </w:tcPr>
          <w:p w14:paraId="0FB42D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93" w:type="dxa"/>
            <w:shd w:val="clear" w:color="auto" w:fill="C6EFCE"/>
            <w:noWrap/>
          </w:tcPr>
          <w:p w14:paraId="0E51B8A2" w14:textId="77777777"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Osobná</w:t>
            </w:r>
            <w:r w:rsidRPr="00AB26B3">
              <w:rPr>
                <w:noProof/>
                <w:spacing w:val="-6"/>
                <w:lang w:val="sk-SK"/>
              </w:rPr>
              <w:t xml:space="preserve"> </w:t>
            </w:r>
            <w:r w:rsidRPr="00AB26B3">
              <w:rPr>
                <w:noProof/>
                <w:color w:val="006100"/>
                <w:spacing w:val="-6"/>
                <w:lang w:val="sk-SK"/>
              </w:rPr>
              <w:t xml:space="preserve">reforma týkajúca sa lekárov – registrácia </w:t>
            </w:r>
          </w:p>
        </w:tc>
        <w:tc>
          <w:tcPr>
            <w:tcW w:w="1707" w:type="dxa"/>
            <w:shd w:val="clear" w:color="auto" w:fill="C6EFCE"/>
            <w:noWrap/>
          </w:tcPr>
          <w:p w14:paraId="7024DDCA" w14:textId="6CBFC39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Platformy na registráciu</w:t>
            </w:r>
            <w:r w:rsidR="00AB26B3" w:rsidRPr="00AB26B3">
              <w:rPr>
                <w:noProof/>
                <w:spacing w:val="-6"/>
                <w:lang w:val="sk-SK"/>
              </w:rPr>
              <w:t xml:space="preserve"> a </w:t>
            </w:r>
            <w:r w:rsidRPr="00AB26B3">
              <w:rPr>
                <w:noProof/>
                <w:spacing w:val="-6"/>
                <w:lang w:val="sk-SK"/>
              </w:rPr>
              <w:t>nahlasovanie sú online</w:t>
            </w:r>
            <w:r w:rsidR="00AB26B3" w:rsidRPr="00AB26B3">
              <w:rPr>
                <w:noProof/>
                <w:spacing w:val="-6"/>
                <w:lang w:val="sk-SK"/>
              </w:rPr>
              <w:t xml:space="preserve"> a </w:t>
            </w:r>
            <w:r w:rsidRPr="00AB26B3">
              <w:rPr>
                <w:noProof/>
                <w:spacing w:val="-6"/>
                <w:lang w:val="sk-SK"/>
              </w:rPr>
              <w:t xml:space="preserve">prístupné </w:t>
            </w:r>
          </w:p>
        </w:tc>
        <w:tc>
          <w:tcPr>
            <w:tcW w:w="1784" w:type="dxa"/>
            <w:shd w:val="clear" w:color="auto" w:fill="C6EFCE"/>
            <w:noWrap/>
          </w:tcPr>
          <w:p w14:paraId="515D7E6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74" w:type="dxa"/>
            <w:shd w:val="clear" w:color="auto" w:fill="C6EFCE"/>
            <w:noWrap/>
          </w:tcPr>
          <w:p w14:paraId="0AC6FE2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85" w:type="dxa"/>
            <w:shd w:val="clear" w:color="auto" w:fill="C6EFCE"/>
            <w:noWrap/>
          </w:tcPr>
          <w:p w14:paraId="0F11C62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40" w:type="dxa"/>
            <w:shd w:val="clear" w:color="auto" w:fill="C6EFCE"/>
            <w:noWrap/>
          </w:tcPr>
          <w:p w14:paraId="37EAF2A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45" w:type="dxa"/>
            <w:shd w:val="clear" w:color="auto" w:fill="C6EFCE"/>
            <w:noWrap/>
          </w:tcPr>
          <w:p w14:paraId="4B6AA9A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89" w:type="dxa"/>
            <w:shd w:val="clear" w:color="auto" w:fill="C6EFCE"/>
            <w:noWrap/>
          </w:tcPr>
          <w:p w14:paraId="55FB8173" w14:textId="5351EE5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Platforma na registráciu</w:t>
            </w:r>
            <w:r w:rsidR="00AB26B3" w:rsidRPr="00AB26B3">
              <w:rPr>
                <w:noProof/>
                <w:spacing w:val="-6"/>
                <w:lang w:val="sk-SK"/>
              </w:rPr>
              <w:t xml:space="preserve"> u </w:t>
            </w:r>
            <w:r w:rsidRPr="00AB26B3">
              <w:rPr>
                <w:noProof/>
                <w:spacing w:val="-6"/>
                <w:lang w:val="sk-SK"/>
              </w:rPr>
              <w:t>osobného lekára je online</w:t>
            </w:r>
            <w:r w:rsidR="00AB26B3" w:rsidRPr="00AB26B3">
              <w:rPr>
                <w:noProof/>
                <w:spacing w:val="-6"/>
                <w:lang w:val="sk-SK"/>
              </w:rPr>
              <w:t xml:space="preserve"> a </w:t>
            </w:r>
            <w:r w:rsidRPr="00AB26B3">
              <w:rPr>
                <w:noProof/>
                <w:spacing w:val="-6"/>
                <w:lang w:val="sk-SK"/>
              </w:rPr>
              <w:t>prístupná. Platforma na odporúčanie na špecializovanú starostlivosť je online</w:t>
            </w:r>
            <w:r w:rsidR="00AB26B3" w:rsidRPr="00AB26B3">
              <w:rPr>
                <w:noProof/>
                <w:spacing w:val="-6"/>
                <w:lang w:val="sk-SK"/>
              </w:rPr>
              <w:t xml:space="preserve"> a </w:t>
            </w:r>
            <w:r w:rsidRPr="00AB26B3">
              <w:rPr>
                <w:noProof/>
                <w:spacing w:val="-6"/>
                <w:lang w:val="sk-SK"/>
              </w:rPr>
              <w:t xml:space="preserve">prístupná. </w:t>
            </w:r>
          </w:p>
        </w:tc>
      </w:tr>
    </w:tbl>
    <w:p w14:paraId="09C19C50" w14:textId="77777777" w:rsidR="00302FC1" w:rsidRPr="00AB26B3" w:rsidRDefault="00302FC1">
      <w:pPr>
        <w:keepNext/>
        <w:keepLines/>
        <w:spacing w:before="40" w:after="0" w:line="240" w:lineRule="auto"/>
        <w:jc w:val="both"/>
        <w:outlineLvl w:val="4"/>
        <w:rPr>
          <w:rFonts w:ascii="Times New Roman" w:hAnsi="Times New Roman"/>
          <w:noProof/>
          <w:color w:val="365F91" w:themeColor="accent1" w:themeShade="BF"/>
          <w:spacing w:val="-6"/>
          <w:sz w:val="24"/>
          <w:lang w:val="sk-SK"/>
        </w:rPr>
        <w:sectPr w:rsidR="00302FC1" w:rsidRPr="00AB26B3" w:rsidSect="00315FC0">
          <w:headerReference w:type="even" r:id="rId184"/>
          <w:headerReference w:type="default" r:id="rId185"/>
          <w:footerReference w:type="even" r:id="rId186"/>
          <w:footerReference w:type="default" r:id="rId187"/>
          <w:headerReference w:type="first" r:id="rId188"/>
          <w:footerReference w:type="first" r:id="rId189"/>
          <w:pgSz w:w="16839" w:h="11907" w:orient="landscape"/>
          <w:pgMar w:top="720" w:right="720" w:bottom="720" w:left="720" w:header="709" w:footer="217" w:gutter="0"/>
          <w:cols w:space="720"/>
          <w:docGrid w:linePitch="360"/>
        </w:sectPr>
      </w:pPr>
    </w:p>
    <w:p w14:paraId="6010A677" w14:textId="77777777" w:rsidR="00AB26B3" w:rsidRPr="00AB26B3" w:rsidRDefault="00D64F26">
      <w:pPr>
        <w:pStyle w:val="P68B1DB1-Normal9"/>
        <w:keepNext/>
        <w:keepLines/>
        <w:spacing w:before="40" w:after="0" w:line="240" w:lineRule="auto"/>
        <w:outlineLvl w:val="4"/>
        <w:rPr>
          <w:rFonts w:ascii="Times New Roman" w:hAnsi="Times New Roman"/>
          <w:noProof/>
          <w:spacing w:val="-6"/>
          <w:lang w:val="sk-SK"/>
        </w:rPr>
      </w:pPr>
      <w:r w:rsidRPr="00AB26B3">
        <w:rPr>
          <w:rFonts w:ascii="Times New Roman" w:hAnsi="Times New Roman"/>
          <w:noProof/>
          <w:spacing w:val="-6"/>
          <w:lang w:val="sk-SK"/>
        </w:rPr>
        <w:t>Skupina 14: Infraštruktúrne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digitálne opatrenia na modernizáciu systému zdravotnej starostlivosti</w:t>
      </w:r>
    </w:p>
    <w:p w14:paraId="43506307" w14:textId="709D5D49" w:rsidR="00302FC1" w:rsidRPr="00AB26B3" w:rsidRDefault="00D64F26">
      <w:pPr>
        <w:pStyle w:val="P68B1DB1-Normal5"/>
        <w:numPr>
          <w:ilvl w:val="0"/>
          <w:numId w:val="26"/>
        </w:numPr>
        <w:spacing w:before="120" w:after="0" w:line="240" w:lineRule="auto"/>
        <w:jc w:val="both"/>
        <w:rPr>
          <w:rFonts w:cs="Times New Roman"/>
          <w:noProof/>
          <w:spacing w:val="-6"/>
          <w:lang w:val="sk-SK"/>
        </w:rPr>
      </w:pPr>
      <w:r w:rsidRPr="00AB26B3">
        <w:rPr>
          <w:noProof/>
          <w:spacing w:val="-6"/>
          <w:lang w:val="sk-SK"/>
        </w:rPr>
        <w:t>Digitálna transformácia zdravotníctva (ID: 16752)</w:t>
      </w:r>
    </w:p>
    <w:p w14:paraId="7DF3DB82" w14:textId="77777777" w:rsidR="00302FC1" w:rsidRPr="00AB26B3" w:rsidRDefault="00D64F26">
      <w:pPr>
        <w:pStyle w:val="P68B1DB1-Normal5"/>
        <w:numPr>
          <w:ilvl w:val="0"/>
          <w:numId w:val="26"/>
        </w:numPr>
        <w:spacing w:before="120" w:after="0" w:line="240" w:lineRule="auto"/>
        <w:jc w:val="both"/>
        <w:rPr>
          <w:rFonts w:cs="Times New Roman"/>
          <w:noProof/>
          <w:spacing w:val="-6"/>
          <w:lang w:val="sk-SK"/>
        </w:rPr>
      </w:pPr>
      <w:r w:rsidRPr="00AB26B3">
        <w:rPr>
          <w:noProof/>
          <w:spacing w:val="-6"/>
          <w:szCs w:val="24"/>
          <w:lang w:val="sk-SK"/>
        </w:rPr>
        <w:t>Zdravotnícka infraštruktúra</w:t>
      </w:r>
      <w:r w:rsidRPr="00AB26B3">
        <w:rPr>
          <w:noProof/>
          <w:spacing w:val="-6"/>
          <w:lang w:val="sk-SK"/>
        </w:rPr>
        <w:t xml:space="preserve"> (ID: 16795)</w:t>
      </w:r>
    </w:p>
    <w:p w14:paraId="0F390483" w14:textId="651248A6" w:rsidR="00302FC1" w:rsidRPr="00AB26B3" w:rsidRDefault="00D64F26">
      <w:pPr>
        <w:pStyle w:val="P68B1DB1-Normal5"/>
        <w:numPr>
          <w:ilvl w:val="0"/>
          <w:numId w:val="26"/>
        </w:numPr>
        <w:spacing w:before="120" w:after="0" w:line="240" w:lineRule="auto"/>
        <w:jc w:val="both"/>
        <w:rPr>
          <w:rFonts w:cs="Times New Roman"/>
          <w:noProof/>
          <w:spacing w:val="-6"/>
          <w:lang w:val="sk-SK"/>
        </w:rPr>
      </w:pPr>
      <w:r w:rsidRPr="00AB26B3">
        <w:rPr>
          <w:noProof/>
          <w:spacing w:val="-6"/>
          <w:lang w:val="sk-SK"/>
        </w:rPr>
        <w:t>Zriadenie rádioterapeutického centra</w:t>
      </w:r>
      <w:r w:rsidR="00AB26B3" w:rsidRPr="00AB26B3">
        <w:rPr>
          <w:noProof/>
          <w:spacing w:val="-6"/>
          <w:lang w:val="sk-SK"/>
        </w:rPr>
        <w:t xml:space="preserve"> v </w:t>
      </w:r>
      <w:r w:rsidRPr="00AB26B3">
        <w:rPr>
          <w:noProof/>
          <w:spacing w:val="-6"/>
          <w:lang w:val="sk-SK"/>
        </w:rPr>
        <w:t>nemocnici pre hrudníkové choroby „Sotiria“</w:t>
      </w:r>
      <w:r w:rsidR="00AB26B3" w:rsidRPr="00AB26B3">
        <w:rPr>
          <w:noProof/>
          <w:spacing w:val="-6"/>
          <w:lang w:val="sk-SK"/>
        </w:rPr>
        <w:t xml:space="preserve"> v </w:t>
      </w:r>
      <w:r w:rsidRPr="00AB26B3">
        <w:rPr>
          <w:noProof/>
          <w:spacing w:val="-6"/>
          <w:lang w:val="sk-SK"/>
        </w:rPr>
        <w:t>Aténach (ID: 16757)</w:t>
      </w:r>
    </w:p>
    <w:p w14:paraId="196ED9DA" w14:textId="3545677D" w:rsidR="00302FC1" w:rsidRPr="00AB26B3" w:rsidRDefault="00D64F26">
      <w:pPr>
        <w:pStyle w:val="P68B1DB1-Normal5"/>
        <w:numPr>
          <w:ilvl w:val="0"/>
          <w:numId w:val="26"/>
        </w:numPr>
        <w:spacing w:before="120" w:after="0" w:line="240" w:lineRule="auto"/>
        <w:jc w:val="both"/>
        <w:rPr>
          <w:rFonts w:cs="Times New Roman"/>
          <w:noProof/>
          <w:spacing w:val="-6"/>
          <w:lang w:val="sk-SK"/>
        </w:rPr>
      </w:pPr>
      <w:r w:rsidRPr="00AB26B3">
        <w:rPr>
          <w:noProof/>
          <w:spacing w:val="-6"/>
          <w:lang w:val="sk-SK"/>
        </w:rPr>
        <w:t>Bunkové</w:t>
      </w:r>
      <w:r w:rsidR="00AB26B3" w:rsidRPr="00AB26B3">
        <w:rPr>
          <w:noProof/>
          <w:spacing w:val="-6"/>
          <w:lang w:val="sk-SK"/>
        </w:rPr>
        <w:t xml:space="preserve"> a </w:t>
      </w:r>
      <w:r w:rsidRPr="00AB26B3">
        <w:rPr>
          <w:noProof/>
          <w:spacing w:val="-6"/>
          <w:lang w:val="sk-SK"/>
        </w:rPr>
        <w:t>genetické terapie hematologické kliniky</w:t>
      </w:r>
      <w:r w:rsidR="00AB26B3" w:rsidRPr="00AB26B3">
        <w:rPr>
          <w:noProof/>
          <w:spacing w:val="-6"/>
          <w:lang w:val="sk-SK"/>
        </w:rPr>
        <w:t xml:space="preserve"> v </w:t>
      </w:r>
      <w:r w:rsidRPr="00AB26B3">
        <w:rPr>
          <w:noProof/>
          <w:spacing w:val="-6"/>
          <w:lang w:val="sk-SK"/>
        </w:rPr>
        <w:t>rámci všeobecnej nemocnice</w:t>
      </w:r>
      <w:r w:rsidR="00AB26B3" w:rsidRPr="00AB26B3">
        <w:rPr>
          <w:noProof/>
          <w:spacing w:val="-6"/>
          <w:lang w:val="sk-SK"/>
        </w:rPr>
        <w:t xml:space="preserve"> v </w:t>
      </w:r>
      <w:r w:rsidRPr="00AB26B3">
        <w:rPr>
          <w:noProof/>
          <w:spacing w:val="-6"/>
          <w:lang w:val="sk-SK"/>
        </w:rPr>
        <w:t>Solúne „Papanikolaou“ (ID: 16793)</w:t>
      </w:r>
    </w:p>
    <w:p w14:paraId="4CA845E1" w14:textId="0F560781" w:rsidR="00302FC1" w:rsidRPr="00AB26B3" w:rsidRDefault="00D64F26">
      <w:pPr>
        <w:pStyle w:val="P68B1DB1-Normal5"/>
        <w:numPr>
          <w:ilvl w:val="0"/>
          <w:numId w:val="26"/>
        </w:numPr>
        <w:spacing w:before="120" w:after="120" w:line="240" w:lineRule="auto"/>
        <w:jc w:val="both"/>
        <w:rPr>
          <w:rFonts w:cs="Times New Roman"/>
          <w:noProof/>
          <w:spacing w:val="-6"/>
          <w:lang w:val="sk-SK"/>
        </w:rPr>
      </w:pPr>
      <w:r w:rsidRPr="00AB26B3">
        <w:rPr>
          <w:noProof/>
          <w:spacing w:val="-6"/>
          <w:lang w:val="sk-SK"/>
        </w:rPr>
        <w:t>Zriadenie systémov domácej zdravotnej starostlivosti</w:t>
      </w:r>
      <w:r w:rsidR="00AB26B3" w:rsidRPr="00AB26B3">
        <w:rPr>
          <w:noProof/>
          <w:spacing w:val="-6"/>
          <w:lang w:val="sk-SK"/>
        </w:rPr>
        <w:t xml:space="preserve"> a </w:t>
      </w:r>
      <w:r w:rsidRPr="00AB26B3">
        <w:rPr>
          <w:noProof/>
          <w:spacing w:val="-6"/>
          <w:lang w:val="sk-SK"/>
        </w:rPr>
        <w:t>nemocníc</w:t>
      </w:r>
      <w:r w:rsidR="00AB26B3" w:rsidRPr="00AB26B3">
        <w:rPr>
          <w:noProof/>
          <w:spacing w:val="-6"/>
          <w:lang w:val="sk-SK"/>
        </w:rPr>
        <w:t xml:space="preserve"> v </w:t>
      </w:r>
      <w:r w:rsidRPr="00AB26B3">
        <w:rPr>
          <w:noProof/>
          <w:spacing w:val="-6"/>
          <w:lang w:val="sk-SK"/>
        </w:rPr>
        <w:t>domácnosti (ID: 16753)</w:t>
      </w:r>
    </w:p>
    <w:tbl>
      <w:tblPr>
        <w:tblW w:w="15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040"/>
        <w:gridCol w:w="1144"/>
        <w:gridCol w:w="1877"/>
        <w:gridCol w:w="1553"/>
        <w:gridCol w:w="1390"/>
        <w:gridCol w:w="1134"/>
        <w:gridCol w:w="708"/>
        <w:gridCol w:w="851"/>
        <w:gridCol w:w="709"/>
        <w:gridCol w:w="3880"/>
      </w:tblGrid>
      <w:tr w:rsidR="00302FC1" w:rsidRPr="00AB26B3" w14:paraId="49F4C72F" w14:textId="77777777">
        <w:trPr>
          <w:trHeight w:val="853"/>
          <w:tblHeader/>
          <w:jc w:val="center"/>
        </w:trPr>
        <w:tc>
          <w:tcPr>
            <w:tcW w:w="607" w:type="dxa"/>
            <w:vMerge w:val="restart"/>
            <w:shd w:val="clear" w:color="auto" w:fill="BDD7EE"/>
            <w:vAlign w:val="center"/>
            <w:hideMark/>
          </w:tcPr>
          <w:p w14:paraId="6E8D9FBA" w14:textId="1CE41405"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2040" w:type="dxa"/>
            <w:vMerge w:val="restart"/>
            <w:shd w:val="clear" w:color="auto" w:fill="BDD7EE"/>
            <w:vAlign w:val="center"/>
            <w:hideMark/>
          </w:tcPr>
          <w:p w14:paraId="4A359E5A"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Súvisiace opatrenie (reforma alebo investícia)</w:t>
            </w:r>
          </w:p>
        </w:tc>
        <w:tc>
          <w:tcPr>
            <w:tcW w:w="1144" w:type="dxa"/>
            <w:vMerge w:val="restart"/>
            <w:shd w:val="clear" w:color="auto" w:fill="BDD7EE"/>
            <w:vAlign w:val="center"/>
            <w:hideMark/>
          </w:tcPr>
          <w:p w14:paraId="0608BF3C"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Míľnik/cieľ</w:t>
            </w:r>
          </w:p>
        </w:tc>
        <w:tc>
          <w:tcPr>
            <w:tcW w:w="1877" w:type="dxa"/>
            <w:vMerge w:val="restart"/>
            <w:shd w:val="clear" w:color="auto" w:fill="BDD7EE"/>
            <w:vAlign w:val="center"/>
            <w:hideMark/>
          </w:tcPr>
          <w:p w14:paraId="189D20CA"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Názov</w:t>
            </w:r>
          </w:p>
        </w:tc>
        <w:tc>
          <w:tcPr>
            <w:tcW w:w="1553" w:type="dxa"/>
            <w:vMerge w:val="restart"/>
            <w:shd w:val="clear" w:color="auto" w:fill="BDD7EE"/>
            <w:vAlign w:val="center"/>
            <w:hideMark/>
          </w:tcPr>
          <w:p w14:paraId="5EFF9D81" w14:textId="52897101"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Kvalitatívne ukazovatele (pre míľniky)</w:t>
            </w:r>
          </w:p>
        </w:tc>
        <w:tc>
          <w:tcPr>
            <w:tcW w:w="3232" w:type="dxa"/>
            <w:gridSpan w:val="3"/>
            <w:shd w:val="clear" w:color="auto" w:fill="BDD7EE"/>
            <w:vAlign w:val="center"/>
            <w:hideMark/>
          </w:tcPr>
          <w:p w14:paraId="0F4A3994" w14:textId="71807CEE"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Kvantitatívne ukazovatele (pre ciele)</w:t>
            </w:r>
          </w:p>
        </w:tc>
        <w:tc>
          <w:tcPr>
            <w:tcW w:w="1560" w:type="dxa"/>
            <w:gridSpan w:val="2"/>
            <w:shd w:val="clear" w:color="auto" w:fill="BDD7EE"/>
            <w:vAlign w:val="center"/>
            <w:hideMark/>
          </w:tcPr>
          <w:p w14:paraId="2D8FA2D5"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Orientačný harmonogram dokončenia </w:t>
            </w:r>
          </w:p>
        </w:tc>
        <w:tc>
          <w:tcPr>
            <w:tcW w:w="3880" w:type="dxa"/>
            <w:vMerge w:val="restart"/>
            <w:shd w:val="clear" w:color="auto" w:fill="BDD7EE"/>
            <w:vAlign w:val="center"/>
            <w:hideMark/>
          </w:tcPr>
          <w:p w14:paraId="7A668477" w14:textId="7C86AF14"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23504361" w14:textId="77777777">
        <w:trPr>
          <w:trHeight w:val="432"/>
          <w:tblHeader/>
          <w:jc w:val="center"/>
        </w:trPr>
        <w:tc>
          <w:tcPr>
            <w:tcW w:w="607" w:type="dxa"/>
            <w:vMerge/>
            <w:vAlign w:val="center"/>
            <w:hideMark/>
          </w:tcPr>
          <w:p w14:paraId="4E8A3CF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40" w:type="dxa"/>
            <w:vMerge/>
            <w:vAlign w:val="center"/>
            <w:hideMark/>
          </w:tcPr>
          <w:p w14:paraId="28511F2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44" w:type="dxa"/>
            <w:vMerge/>
            <w:vAlign w:val="center"/>
            <w:hideMark/>
          </w:tcPr>
          <w:p w14:paraId="4B25E69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877" w:type="dxa"/>
            <w:vMerge/>
            <w:vAlign w:val="center"/>
            <w:hideMark/>
          </w:tcPr>
          <w:p w14:paraId="080B7E7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53" w:type="dxa"/>
            <w:vMerge/>
            <w:vAlign w:val="center"/>
            <w:hideMark/>
          </w:tcPr>
          <w:p w14:paraId="3BFEF4F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90" w:type="dxa"/>
            <w:shd w:val="clear" w:color="auto" w:fill="BDD7EE"/>
            <w:vAlign w:val="center"/>
            <w:hideMark/>
          </w:tcPr>
          <w:p w14:paraId="3F07A25C"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Merná jednotka</w:t>
            </w:r>
          </w:p>
        </w:tc>
        <w:tc>
          <w:tcPr>
            <w:tcW w:w="1134" w:type="dxa"/>
            <w:shd w:val="clear" w:color="auto" w:fill="BDD7EE"/>
            <w:vAlign w:val="center"/>
            <w:hideMark/>
          </w:tcPr>
          <w:p w14:paraId="22EC70FA"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Základná </w:t>
            </w:r>
          </w:p>
        </w:tc>
        <w:tc>
          <w:tcPr>
            <w:tcW w:w="708" w:type="dxa"/>
            <w:shd w:val="clear" w:color="auto" w:fill="BDD7EE"/>
            <w:vAlign w:val="center"/>
            <w:hideMark/>
          </w:tcPr>
          <w:p w14:paraId="63B6DA38"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Cieľ </w:t>
            </w:r>
          </w:p>
        </w:tc>
        <w:tc>
          <w:tcPr>
            <w:tcW w:w="851" w:type="dxa"/>
            <w:shd w:val="clear" w:color="auto" w:fill="BDD7EE"/>
            <w:vAlign w:val="center"/>
            <w:hideMark/>
          </w:tcPr>
          <w:p w14:paraId="78DE8768"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Štvrtina</w:t>
            </w:r>
          </w:p>
        </w:tc>
        <w:tc>
          <w:tcPr>
            <w:tcW w:w="709" w:type="dxa"/>
            <w:shd w:val="clear" w:color="auto" w:fill="BDD7EE"/>
            <w:vAlign w:val="center"/>
            <w:hideMark/>
          </w:tcPr>
          <w:p w14:paraId="0BFDA4A9"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Rok</w:t>
            </w:r>
          </w:p>
        </w:tc>
        <w:tc>
          <w:tcPr>
            <w:tcW w:w="3880" w:type="dxa"/>
            <w:vMerge/>
            <w:vAlign w:val="center"/>
            <w:hideMark/>
          </w:tcPr>
          <w:p w14:paraId="1CA28EE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06539629" w14:textId="77777777">
        <w:trPr>
          <w:trHeight w:val="313"/>
          <w:jc w:val="center"/>
        </w:trPr>
        <w:tc>
          <w:tcPr>
            <w:tcW w:w="607" w:type="dxa"/>
            <w:shd w:val="clear" w:color="auto" w:fill="C6EFCE"/>
            <w:noWrap/>
          </w:tcPr>
          <w:p w14:paraId="59359A7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167</w:t>
            </w:r>
          </w:p>
          <w:p w14:paraId="7873598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2040" w:type="dxa"/>
            <w:shd w:val="clear" w:color="auto" w:fill="C6EFCE"/>
            <w:noWrap/>
          </w:tcPr>
          <w:p w14:paraId="7C3DDCB7" w14:textId="1392F02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tc>
        <w:tc>
          <w:tcPr>
            <w:tcW w:w="1144" w:type="dxa"/>
            <w:shd w:val="clear" w:color="auto" w:fill="C6EFCE"/>
            <w:noWrap/>
          </w:tcPr>
          <w:p w14:paraId="6C49487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77" w:type="dxa"/>
            <w:shd w:val="clear" w:color="auto" w:fill="C6EFCE"/>
            <w:noWrap/>
          </w:tcPr>
          <w:p w14:paraId="526F1F41" w14:textId="3878929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Digitálna transformácia zdravotnej starostlivosti – národný digitálny zdravotný záznam (podprojekt 1)</w:t>
            </w:r>
          </w:p>
        </w:tc>
        <w:tc>
          <w:tcPr>
            <w:tcW w:w="1553" w:type="dxa"/>
            <w:shd w:val="clear" w:color="auto" w:fill="C6EFCE"/>
            <w:noWrap/>
          </w:tcPr>
          <w:p w14:paraId="0C0EE8D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potvrdzujúca dokončenie všetkých hlavných prvkov podprojektu 1 (Digitálny zdravotný záznam – pozri opis)</w:t>
            </w:r>
          </w:p>
        </w:tc>
        <w:tc>
          <w:tcPr>
            <w:tcW w:w="1390" w:type="dxa"/>
            <w:shd w:val="clear" w:color="auto" w:fill="C6EFCE"/>
            <w:noWrap/>
          </w:tcPr>
          <w:p w14:paraId="33074CF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3A2120F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23FA46C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537ADA3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2B13906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880" w:type="dxa"/>
            <w:shd w:val="clear" w:color="auto" w:fill="C6EFCE"/>
            <w:noWrap/>
          </w:tcPr>
          <w:p w14:paraId="2898BB3B" w14:textId="3C631AE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w:t>
            </w:r>
            <w:r w:rsidR="00AB26B3" w:rsidRPr="00AB26B3">
              <w:rPr>
                <w:noProof/>
                <w:spacing w:val="-6"/>
                <w:lang w:val="sk-SK"/>
              </w:rPr>
              <w:t xml:space="preserve"> a </w:t>
            </w:r>
            <w:r w:rsidRPr="00AB26B3">
              <w:rPr>
                <w:noProof/>
                <w:spacing w:val="-6"/>
                <w:lang w:val="sk-SK"/>
              </w:rPr>
              <w:t>uvedenie do prevádzky aspoň všetkých týchto prvkov podprojektu 1 na podporu digitálnej transformácie systému zdravotnej starostlivosti, ktorým sa sprevádzkujú vnútroštátne digitálne zdravotné záznamy: 1. klinické dokumenty; 2. terminologické služby; 3. vnútroštátny rámec interoperability elektronického zdravotníctva; 4. zhromažďovanie všetkých laboratórnych výsledkov do záznamu</w:t>
            </w:r>
            <w:r w:rsidR="00AB26B3" w:rsidRPr="00AB26B3">
              <w:rPr>
                <w:noProof/>
                <w:spacing w:val="-6"/>
                <w:lang w:val="sk-SK"/>
              </w:rPr>
              <w:t xml:space="preserve"> o </w:t>
            </w:r>
            <w:r w:rsidRPr="00AB26B3">
              <w:rPr>
                <w:noProof/>
                <w:spacing w:val="-6"/>
                <w:lang w:val="sk-SK"/>
              </w:rPr>
              <w:t>elektronickom zdravotníctve; 5. zhromažďovanie listov</w:t>
            </w:r>
            <w:r w:rsidR="00AB26B3" w:rsidRPr="00AB26B3">
              <w:rPr>
                <w:noProof/>
                <w:spacing w:val="-6"/>
                <w:lang w:val="sk-SK"/>
              </w:rPr>
              <w:t xml:space="preserve"> o </w:t>
            </w:r>
            <w:r w:rsidRPr="00AB26B3">
              <w:rPr>
                <w:noProof/>
                <w:spacing w:val="-6"/>
                <w:lang w:val="sk-SK"/>
              </w:rPr>
              <w:t>prepustení.</w:t>
            </w:r>
          </w:p>
        </w:tc>
      </w:tr>
      <w:tr w:rsidR="00302FC1" w:rsidRPr="00AB26B3" w14:paraId="63810111" w14:textId="77777777">
        <w:trPr>
          <w:trHeight w:val="313"/>
          <w:jc w:val="center"/>
        </w:trPr>
        <w:tc>
          <w:tcPr>
            <w:tcW w:w="607" w:type="dxa"/>
            <w:shd w:val="clear" w:color="auto" w:fill="C6EFCE"/>
            <w:noWrap/>
          </w:tcPr>
          <w:p w14:paraId="4FB4608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168</w:t>
            </w:r>
          </w:p>
        </w:tc>
        <w:tc>
          <w:tcPr>
            <w:tcW w:w="2040" w:type="dxa"/>
            <w:shd w:val="clear" w:color="auto" w:fill="C6EFCE"/>
            <w:noWrap/>
          </w:tcPr>
          <w:p w14:paraId="55E93A98" w14:textId="029D576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tc>
        <w:tc>
          <w:tcPr>
            <w:tcW w:w="1144" w:type="dxa"/>
            <w:shd w:val="clear" w:color="auto" w:fill="C6EFCE"/>
            <w:noWrap/>
          </w:tcPr>
          <w:p w14:paraId="6F79C19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77" w:type="dxa"/>
            <w:shd w:val="clear" w:color="auto" w:fill="C6EFCE"/>
            <w:noWrap/>
          </w:tcPr>
          <w:p w14:paraId="2D04BF09" w14:textId="70C5482B" w:rsidR="00302FC1" w:rsidRPr="00AB26B3" w:rsidRDefault="00D64F26">
            <w:pPr>
              <w:pStyle w:val="P68B1DB1-Normal12"/>
              <w:spacing w:after="0" w:line="240" w:lineRule="auto"/>
              <w:rPr>
                <w:noProof/>
                <w:spacing w:val="-6"/>
                <w:lang w:val="sk-SK"/>
              </w:rPr>
            </w:pPr>
            <w:r w:rsidRPr="00AB26B3">
              <w:rPr>
                <w:noProof/>
                <w:spacing w:val="-6"/>
                <w:lang w:val="sk-SK"/>
              </w:rPr>
              <w:t>Digitálna transformácia – Rozšírenie systému vytvárania</w:t>
            </w:r>
            <w:r w:rsidR="00AB26B3" w:rsidRPr="00AB26B3">
              <w:rPr>
                <w:noProof/>
                <w:spacing w:val="-6"/>
                <w:lang w:val="sk-SK"/>
              </w:rPr>
              <w:t xml:space="preserve"> a </w:t>
            </w:r>
            <w:r w:rsidRPr="00AB26B3">
              <w:rPr>
                <w:noProof/>
                <w:spacing w:val="-6"/>
                <w:lang w:val="sk-SK"/>
              </w:rPr>
              <w:t>riadenia stretnutí</w:t>
            </w:r>
            <w:r w:rsidR="00AB26B3" w:rsidRPr="00AB26B3">
              <w:rPr>
                <w:noProof/>
                <w:spacing w:val="-6"/>
                <w:lang w:val="sk-SK"/>
              </w:rPr>
              <w:t xml:space="preserve"> v </w:t>
            </w:r>
            <w:r w:rsidRPr="00AB26B3">
              <w:rPr>
                <w:noProof/>
                <w:spacing w:val="-6"/>
                <w:lang w:val="sk-SK"/>
              </w:rPr>
              <w:t>rámci národného programu očkovania proti ochoreniu COVID-19, modernizácia infraštruktúry elektronického systému predpisovania liekov</w:t>
            </w:r>
          </w:p>
        </w:tc>
        <w:tc>
          <w:tcPr>
            <w:tcW w:w="1553" w:type="dxa"/>
            <w:shd w:val="clear" w:color="auto" w:fill="C6EFCE"/>
            <w:noWrap/>
          </w:tcPr>
          <w:p w14:paraId="2A217571" w14:textId="3B161C29" w:rsidR="00302FC1" w:rsidRPr="00AB26B3" w:rsidRDefault="00D64F26">
            <w:pPr>
              <w:pStyle w:val="P68B1DB1-Normal28"/>
              <w:spacing w:after="0" w:line="240" w:lineRule="auto"/>
              <w:rPr>
                <w:noProof/>
                <w:spacing w:val="-6"/>
                <w:lang w:val="sk-SK"/>
              </w:rPr>
            </w:pPr>
            <w:r w:rsidRPr="00AB26B3">
              <w:rPr>
                <w:noProof/>
                <w:spacing w:val="-6"/>
                <w:lang w:val="sk-SK"/>
              </w:rPr>
              <w:t>1. Rozšírenie systému vytvárania</w:t>
            </w:r>
            <w:r w:rsidR="00AB26B3" w:rsidRPr="00AB26B3">
              <w:rPr>
                <w:noProof/>
                <w:spacing w:val="-6"/>
                <w:lang w:val="sk-SK"/>
              </w:rPr>
              <w:t xml:space="preserve"> a </w:t>
            </w:r>
            <w:r w:rsidRPr="00AB26B3">
              <w:rPr>
                <w:noProof/>
                <w:spacing w:val="-6"/>
                <w:lang w:val="sk-SK"/>
              </w:rPr>
              <w:t>riadenia menovaní</w:t>
            </w:r>
            <w:r w:rsidR="00AB26B3" w:rsidRPr="00AB26B3">
              <w:rPr>
                <w:noProof/>
                <w:spacing w:val="-6"/>
                <w:lang w:val="sk-SK"/>
              </w:rPr>
              <w:t xml:space="preserve"> v </w:t>
            </w:r>
            <w:r w:rsidRPr="00AB26B3">
              <w:rPr>
                <w:noProof/>
                <w:spacing w:val="-6"/>
                <w:lang w:val="sk-SK"/>
              </w:rPr>
              <w:t>rámci národného programu očkovania proti ochoreniu COVID-19</w:t>
            </w:r>
          </w:p>
          <w:p w14:paraId="60A33A3A" w14:textId="77777777" w:rsidR="00302FC1" w:rsidRPr="00AB26B3" w:rsidRDefault="00D64F26">
            <w:pPr>
              <w:pStyle w:val="P68B1DB1-Normal28"/>
              <w:spacing w:after="0" w:line="240" w:lineRule="auto"/>
              <w:rPr>
                <w:rFonts w:eastAsia="Times New Roman"/>
                <w:noProof/>
                <w:spacing w:val="-6"/>
                <w:lang w:val="sk-SK"/>
              </w:rPr>
            </w:pPr>
            <w:r w:rsidRPr="00AB26B3">
              <w:rPr>
                <w:noProof/>
                <w:spacing w:val="-6"/>
                <w:lang w:val="sk-SK"/>
              </w:rPr>
              <w:t xml:space="preserve">2. Modernizácia infraštruktúry elektronického systému predpisovania liekov </w:t>
            </w:r>
          </w:p>
        </w:tc>
        <w:tc>
          <w:tcPr>
            <w:tcW w:w="1390" w:type="dxa"/>
            <w:shd w:val="clear" w:color="auto" w:fill="C6EFCE"/>
            <w:noWrap/>
          </w:tcPr>
          <w:p w14:paraId="70FDBC8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513671B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30B652A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5D8E89B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40462D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880" w:type="dxa"/>
            <w:shd w:val="clear" w:color="auto" w:fill="C6EFCE"/>
            <w:noWrap/>
          </w:tcPr>
          <w:p w14:paraId="5F519F3A" w14:textId="5E3B5AEC" w:rsidR="00302FC1" w:rsidRPr="00AB26B3" w:rsidRDefault="00D64F26">
            <w:pPr>
              <w:pStyle w:val="P68B1DB1-Normal28"/>
              <w:spacing w:after="0" w:line="240" w:lineRule="auto"/>
              <w:rPr>
                <w:noProof/>
                <w:spacing w:val="-6"/>
                <w:lang w:val="sk-SK"/>
              </w:rPr>
            </w:pPr>
            <w:r w:rsidRPr="00AB26B3">
              <w:rPr>
                <w:noProof/>
                <w:spacing w:val="-6"/>
                <w:lang w:val="sk-SK"/>
              </w:rPr>
              <w:t>1. Rozšírenie systému vytvárania</w:t>
            </w:r>
            <w:r w:rsidR="00AB26B3" w:rsidRPr="00AB26B3">
              <w:rPr>
                <w:noProof/>
                <w:spacing w:val="-6"/>
                <w:lang w:val="sk-SK"/>
              </w:rPr>
              <w:t xml:space="preserve"> a </w:t>
            </w:r>
            <w:r w:rsidRPr="00AB26B3">
              <w:rPr>
                <w:noProof/>
                <w:spacing w:val="-6"/>
                <w:lang w:val="sk-SK"/>
              </w:rPr>
              <w:t>riadenia menovaní</w:t>
            </w:r>
            <w:r w:rsidR="00AB26B3" w:rsidRPr="00AB26B3">
              <w:rPr>
                <w:noProof/>
                <w:spacing w:val="-6"/>
                <w:lang w:val="sk-SK"/>
              </w:rPr>
              <w:t xml:space="preserve"> v </w:t>
            </w:r>
            <w:r w:rsidRPr="00AB26B3">
              <w:rPr>
                <w:noProof/>
                <w:spacing w:val="-6"/>
                <w:lang w:val="sk-SK"/>
              </w:rPr>
              <w:t>rámci národného programu očkovania proti ochoreniu COVID-19</w:t>
            </w:r>
          </w:p>
          <w:p w14:paraId="59566C2E" w14:textId="77777777" w:rsidR="00302FC1" w:rsidRPr="00AB26B3" w:rsidRDefault="00D64F26">
            <w:pPr>
              <w:pStyle w:val="P68B1DB1-Normal28"/>
              <w:spacing w:after="0" w:line="240" w:lineRule="auto"/>
              <w:rPr>
                <w:noProof/>
                <w:spacing w:val="-6"/>
                <w:lang w:val="sk-SK"/>
              </w:rPr>
            </w:pPr>
            <w:r w:rsidRPr="00AB26B3">
              <w:rPr>
                <w:noProof/>
                <w:spacing w:val="-6"/>
                <w:lang w:val="sk-SK"/>
              </w:rPr>
              <w:t xml:space="preserve">2. Modernizácia infraštruktúry elektronického systému predpisovania liekov </w:t>
            </w:r>
          </w:p>
        </w:tc>
      </w:tr>
      <w:tr w:rsidR="00302FC1" w:rsidRPr="00AB26B3" w14:paraId="2091AD3C" w14:textId="77777777">
        <w:trPr>
          <w:trHeight w:val="313"/>
          <w:jc w:val="center"/>
        </w:trPr>
        <w:tc>
          <w:tcPr>
            <w:tcW w:w="607" w:type="dxa"/>
            <w:shd w:val="clear" w:color="auto" w:fill="C6EFCE"/>
            <w:noWrap/>
          </w:tcPr>
          <w:p w14:paraId="6712D9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169</w:t>
            </w:r>
          </w:p>
        </w:tc>
        <w:tc>
          <w:tcPr>
            <w:tcW w:w="2040" w:type="dxa"/>
            <w:shd w:val="clear" w:color="auto" w:fill="C6EFCE"/>
            <w:noWrap/>
          </w:tcPr>
          <w:p w14:paraId="59345B11" w14:textId="1048C66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16753_Zriadenie domácej zdravotnej starostlivosti</w:t>
            </w:r>
            <w:r w:rsidR="00AB26B3" w:rsidRPr="00AB26B3">
              <w:rPr>
                <w:noProof/>
                <w:spacing w:val="-6"/>
                <w:lang w:val="sk-SK"/>
              </w:rPr>
              <w:t xml:space="preserve"> a </w:t>
            </w:r>
            <w:r w:rsidRPr="00AB26B3">
              <w:rPr>
                <w:noProof/>
                <w:spacing w:val="-6"/>
                <w:lang w:val="sk-SK"/>
              </w:rPr>
              <w:t>nemocničných systémov</w:t>
            </w:r>
            <w:r w:rsidR="00AB26B3" w:rsidRPr="00AB26B3">
              <w:rPr>
                <w:noProof/>
                <w:spacing w:val="-6"/>
                <w:lang w:val="sk-SK"/>
              </w:rPr>
              <w:t xml:space="preserve"> v </w:t>
            </w:r>
            <w:r w:rsidRPr="00AB26B3">
              <w:rPr>
                <w:noProof/>
                <w:spacing w:val="-6"/>
                <w:lang w:val="sk-SK"/>
              </w:rPr>
              <w:t>domácnosti</w:t>
            </w:r>
          </w:p>
        </w:tc>
        <w:tc>
          <w:tcPr>
            <w:tcW w:w="1144" w:type="dxa"/>
            <w:shd w:val="clear" w:color="auto" w:fill="C6EFCE"/>
            <w:noWrap/>
          </w:tcPr>
          <w:p w14:paraId="489689F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77" w:type="dxa"/>
            <w:shd w:val="clear" w:color="auto" w:fill="C6EFCE"/>
            <w:noWrap/>
          </w:tcPr>
          <w:p w14:paraId="5238C7E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Domáca starostlivosť – otvorenie referenčných miest</w:t>
            </w:r>
          </w:p>
        </w:tc>
        <w:tc>
          <w:tcPr>
            <w:tcW w:w="1553" w:type="dxa"/>
            <w:shd w:val="clear" w:color="auto" w:fill="C6EFCE"/>
            <w:noWrap/>
          </w:tcPr>
          <w:p w14:paraId="675A326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Zriadenie ôsmich referenčných miest domácej starostlivosti </w:t>
            </w:r>
          </w:p>
        </w:tc>
        <w:tc>
          <w:tcPr>
            <w:tcW w:w="1390" w:type="dxa"/>
            <w:shd w:val="clear" w:color="auto" w:fill="C6EFCE"/>
            <w:noWrap/>
          </w:tcPr>
          <w:p w14:paraId="0A4C5D7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2EAA024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4B26678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1B5DE0E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7B8925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880" w:type="dxa"/>
            <w:shd w:val="clear" w:color="auto" w:fill="C6EFCE"/>
            <w:noWrap/>
          </w:tcPr>
          <w:p w14:paraId="15491962" w14:textId="57D9F903" w:rsidR="00AB26B3" w:rsidRPr="00AB26B3" w:rsidRDefault="00D64F26">
            <w:pPr>
              <w:pStyle w:val="P68B1DB1-Normal12"/>
              <w:spacing w:after="0" w:line="240" w:lineRule="auto"/>
              <w:rPr>
                <w:noProof/>
                <w:spacing w:val="-6"/>
                <w:lang w:val="sk-SK"/>
              </w:rPr>
            </w:pPr>
            <w:r w:rsidRPr="00AB26B3">
              <w:rPr>
                <w:noProof/>
                <w:spacing w:val="-6"/>
                <w:lang w:val="sk-SK"/>
              </w:rPr>
              <w:t>Osem referenčných miest domácej starostlivosti získalo osvedčenia</w:t>
            </w:r>
            <w:r w:rsidR="00AB26B3" w:rsidRPr="00AB26B3">
              <w:rPr>
                <w:noProof/>
                <w:spacing w:val="-6"/>
                <w:lang w:val="sk-SK"/>
              </w:rPr>
              <w:t xml:space="preserve"> o </w:t>
            </w:r>
            <w:r w:rsidRPr="00AB26B3">
              <w:rPr>
                <w:noProof/>
                <w:spacing w:val="-6"/>
                <w:lang w:val="sk-SK"/>
              </w:rPr>
              <w:t>schválení od regionálneho zdravotníckeho úradu, ktorým sa udeľuje účasť</w:t>
            </w:r>
            <w:r w:rsidR="00AB26B3" w:rsidRPr="00AB26B3">
              <w:rPr>
                <w:noProof/>
                <w:spacing w:val="-6"/>
                <w:lang w:val="sk-SK"/>
              </w:rPr>
              <w:t xml:space="preserve"> v </w:t>
            </w:r>
            <w:r w:rsidRPr="00AB26B3">
              <w:rPr>
                <w:noProof/>
                <w:spacing w:val="-6"/>
                <w:lang w:val="sk-SK"/>
              </w:rPr>
              <w:t>sieti nemocníc,</w:t>
            </w:r>
            <w:r w:rsidR="00AB26B3" w:rsidRPr="00AB26B3">
              <w:rPr>
                <w:noProof/>
                <w:spacing w:val="-6"/>
                <w:lang w:val="sk-SK"/>
              </w:rPr>
              <w:t xml:space="preserve"> a </w:t>
            </w:r>
            <w:r w:rsidRPr="00AB26B3">
              <w:rPr>
                <w:noProof/>
                <w:spacing w:val="-6"/>
                <w:lang w:val="sk-SK"/>
              </w:rPr>
              <w:t>majú personál (2</w:t>
            </w:r>
            <w:r w:rsidR="00AB26B3" w:rsidRPr="00AB26B3">
              <w:rPr>
                <w:noProof/>
                <w:spacing w:val="-6"/>
                <w:lang w:val="sk-SK"/>
              </w:rPr>
              <w:t xml:space="preserve"> v </w:t>
            </w:r>
            <w:r w:rsidRPr="00AB26B3">
              <w:rPr>
                <w:noProof/>
                <w:spacing w:val="-6"/>
                <w:lang w:val="sk-SK"/>
              </w:rPr>
              <w:t>Aténach, 1</w:t>
            </w:r>
            <w:r w:rsidR="00AB26B3" w:rsidRPr="00AB26B3">
              <w:rPr>
                <w:noProof/>
                <w:spacing w:val="-6"/>
                <w:lang w:val="sk-SK"/>
              </w:rPr>
              <w:t xml:space="preserve"> v </w:t>
            </w:r>
            <w:r w:rsidRPr="00AB26B3">
              <w:rPr>
                <w:noProof/>
                <w:spacing w:val="-6"/>
                <w:lang w:val="sk-SK"/>
              </w:rPr>
              <w:t>Solúne, 1</w:t>
            </w:r>
            <w:r w:rsidR="00AB26B3" w:rsidRPr="00AB26B3">
              <w:rPr>
                <w:noProof/>
                <w:spacing w:val="-6"/>
                <w:lang w:val="sk-SK"/>
              </w:rPr>
              <w:t xml:space="preserve"> v </w:t>
            </w:r>
            <w:r w:rsidRPr="00AB26B3">
              <w:rPr>
                <w:noProof/>
                <w:spacing w:val="-6"/>
                <w:lang w:val="sk-SK"/>
              </w:rPr>
              <w:t>Alexandroupolise, 1</w:t>
            </w:r>
            <w:r w:rsidR="00AB26B3" w:rsidRPr="00AB26B3">
              <w:rPr>
                <w:noProof/>
                <w:spacing w:val="-6"/>
                <w:lang w:val="sk-SK"/>
              </w:rPr>
              <w:t xml:space="preserve"> v </w:t>
            </w:r>
            <w:r w:rsidRPr="00AB26B3">
              <w:rPr>
                <w:noProof/>
                <w:spacing w:val="-6"/>
                <w:lang w:val="sk-SK"/>
              </w:rPr>
              <w:t>Patre, 1</w:t>
            </w:r>
            <w:r w:rsidR="00AB26B3" w:rsidRPr="00AB26B3">
              <w:rPr>
                <w:noProof/>
                <w:spacing w:val="-6"/>
                <w:lang w:val="sk-SK"/>
              </w:rPr>
              <w:t xml:space="preserve"> v </w:t>
            </w:r>
            <w:r w:rsidRPr="00AB26B3">
              <w:rPr>
                <w:noProof/>
                <w:spacing w:val="-6"/>
                <w:lang w:val="sk-SK"/>
              </w:rPr>
              <w:t>Ioannine, 1</w:t>
            </w:r>
            <w:r w:rsidR="00AB26B3" w:rsidRPr="00AB26B3">
              <w:rPr>
                <w:noProof/>
                <w:spacing w:val="-6"/>
                <w:lang w:val="sk-SK"/>
              </w:rPr>
              <w:t xml:space="preserve"> v </w:t>
            </w:r>
            <w:r w:rsidRPr="00AB26B3">
              <w:rPr>
                <w:noProof/>
                <w:spacing w:val="-6"/>
                <w:lang w:val="sk-SK"/>
              </w:rPr>
              <w:t>Iraklione</w:t>
            </w:r>
            <w:r w:rsidR="00AB26B3" w:rsidRPr="00AB26B3">
              <w:rPr>
                <w:noProof/>
                <w:spacing w:val="-6"/>
                <w:lang w:val="sk-SK"/>
              </w:rPr>
              <w:t xml:space="preserve"> a </w:t>
            </w:r>
            <w:r w:rsidRPr="00AB26B3">
              <w:rPr>
                <w:noProof/>
                <w:spacing w:val="-6"/>
                <w:lang w:val="sk-SK"/>
              </w:rPr>
              <w:t>1</w:t>
            </w:r>
            <w:r w:rsidR="00AB26B3" w:rsidRPr="00AB26B3">
              <w:rPr>
                <w:noProof/>
                <w:spacing w:val="-6"/>
                <w:lang w:val="sk-SK"/>
              </w:rPr>
              <w:t xml:space="preserve"> v </w:t>
            </w:r>
            <w:r w:rsidRPr="00AB26B3">
              <w:rPr>
                <w:noProof/>
                <w:spacing w:val="-6"/>
                <w:lang w:val="sk-SK"/>
              </w:rPr>
              <w:t>Larise)</w:t>
            </w:r>
            <w:r w:rsidR="00AB26B3" w:rsidRPr="00AB26B3">
              <w:rPr>
                <w:noProof/>
                <w:spacing w:val="-6"/>
                <w:lang w:val="sk-SK"/>
              </w:rPr>
              <w:t>.</w:t>
            </w:r>
          </w:p>
          <w:p w14:paraId="5BA37CD1" w14:textId="2F601D19"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29F84F12" w14:textId="192957E6" w:rsidR="00302FC1" w:rsidRPr="00AB26B3" w:rsidRDefault="00D64F26">
            <w:pPr>
              <w:pStyle w:val="P68B1DB1-Normal12"/>
              <w:spacing w:after="0" w:line="240" w:lineRule="auto"/>
              <w:rPr>
                <w:noProof/>
                <w:spacing w:val="-6"/>
                <w:lang w:val="sk-SK"/>
              </w:rPr>
            </w:pPr>
            <w:r w:rsidRPr="00AB26B3">
              <w:rPr>
                <w:noProof/>
                <w:spacing w:val="-6"/>
                <w:lang w:val="sk-SK"/>
              </w:rPr>
              <w:t>Poskytovanie aplikácií</w:t>
            </w:r>
            <w:r w:rsidR="00AB26B3" w:rsidRPr="00AB26B3">
              <w:rPr>
                <w:noProof/>
                <w:spacing w:val="-6"/>
                <w:lang w:val="sk-SK"/>
              </w:rPr>
              <w:t xml:space="preserve"> a </w:t>
            </w:r>
            <w:r w:rsidRPr="00AB26B3">
              <w:rPr>
                <w:noProof/>
                <w:spacing w:val="-6"/>
                <w:lang w:val="sk-SK"/>
              </w:rPr>
              <w:t>vybavenia</w:t>
            </w:r>
            <w:r w:rsidR="00AB26B3" w:rsidRPr="00AB26B3">
              <w:rPr>
                <w:noProof/>
                <w:spacing w:val="-6"/>
                <w:lang w:val="sk-SK"/>
              </w:rPr>
              <w:t xml:space="preserve"> v </w:t>
            </w:r>
            <w:r w:rsidRPr="00AB26B3">
              <w:rPr>
                <w:noProof/>
                <w:spacing w:val="-6"/>
                <w:lang w:val="sk-SK"/>
              </w:rPr>
              <w:t>oblasti telemedicíny vrátane odbornej prípravy.</w:t>
            </w:r>
          </w:p>
          <w:p w14:paraId="35FE23A8"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5A0443A2" w14:textId="2D73795C" w:rsidR="00AB26B3" w:rsidRPr="00AB26B3" w:rsidRDefault="00D64F26">
            <w:pPr>
              <w:pStyle w:val="P68B1DB1-Normal12"/>
              <w:spacing w:after="0" w:line="240" w:lineRule="auto"/>
              <w:rPr>
                <w:noProof/>
                <w:spacing w:val="-6"/>
                <w:lang w:val="sk-SK"/>
              </w:rPr>
            </w:pPr>
            <w:r w:rsidRPr="00AB26B3">
              <w:rPr>
                <w:noProof/>
                <w:spacing w:val="-6"/>
                <w:lang w:val="sk-SK"/>
              </w:rPr>
              <w:t>Vnútroštátny register pacientov liečených domácou starostlivosťou je online</w:t>
            </w:r>
            <w:r w:rsidR="00AB26B3" w:rsidRPr="00AB26B3">
              <w:rPr>
                <w:noProof/>
                <w:spacing w:val="-6"/>
                <w:lang w:val="sk-SK"/>
              </w:rPr>
              <w:t xml:space="preserve"> a </w:t>
            </w:r>
            <w:r w:rsidRPr="00AB26B3">
              <w:rPr>
                <w:noProof/>
                <w:spacing w:val="-6"/>
                <w:lang w:val="sk-SK"/>
              </w:rPr>
              <w:t>prístupný</w:t>
            </w:r>
            <w:r w:rsidR="00AB26B3" w:rsidRPr="00AB26B3">
              <w:rPr>
                <w:noProof/>
                <w:spacing w:val="-6"/>
                <w:lang w:val="sk-SK"/>
              </w:rPr>
              <w:t>.</w:t>
            </w:r>
          </w:p>
          <w:p w14:paraId="3BD8E17D" w14:textId="305F7B2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0A4F558D" w14:textId="1F31714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Štandardizované terapeutické protokoly, ako aj normy kvality</w:t>
            </w:r>
            <w:r w:rsidR="00AB26B3" w:rsidRPr="00AB26B3">
              <w:rPr>
                <w:noProof/>
                <w:spacing w:val="-6"/>
                <w:lang w:val="sk-SK"/>
              </w:rPr>
              <w:t xml:space="preserve"> a </w:t>
            </w:r>
            <w:r w:rsidRPr="00AB26B3">
              <w:rPr>
                <w:noProof/>
                <w:spacing w:val="-6"/>
                <w:lang w:val="sk-SK"/>
              </w:rPr>
              <w:t xml:space="preserve">bezpečnosti schvaľuje ministerstvo zdravotníctva. </w:t>
            </w:r>
          </w:p>
        </w:tc>
      </w:tr>
      <w:tr w:rsidR="00302FC1" w:rsidRPr="00AB26B3" w14:paraId="0008A745" w14:textId="77777777">
        <w:trPr>
          <w:trHeight w:val="313"/>
          <w:jc w:val="center"/>
        </w:trPr>
        <w:tc>
          <w:tcPr>
            <w:tcW w:w="607" w:type="dxa"/>
            <w:shd w:val="clear" w:color="auto" w:fill="C6EFCE"/>
            <w:noWrap/>
          </w:tcPr>
          <w:p w14:paraId="0FAF945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170</w:t>
            </w:r>
          </w:p>
        </w:tc>
        <w:tc>
          <w:tcPr>
            <w:tcW w:w="2040" w:type="dxa"/>
            <w:shd w:val="clear" w:color="auto" w:fill="C6EFCE"/>
            <w:noWrap/>
          </w:tcPr>
          <w:p w14:paraId="5DD99FC5" w14:textId="57AF212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16795_ Zdravotnícka infraštruktúra</w:t>
            </w:r>
          </w:p>
        </w:tc>
        <w:tc>
          <w:tcPr>
            <w:tcW w:w="1144" w:type="dxa"/>
            <w:shd w:val="clear" w:color="auto" w:fill="C6EFCE"/>
            <w:noWrap/>
          </w:tcPr>
          <w:p w14:paraId="00D3393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877" w:type="dxa"/>
            <w:shd w:val="clear" w:color="auto" w:fill="C6EFCE"/>
            <w:noWrap/>
          </w:tcPr>
          <w:p w14:paraId="42459A2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infraštruktúry NHS – krok 1</w:t>
            </w:r>
          </w:p>
        </w:tc>
        <w:tc>
          <w:tcPr>
            <w:tcW w:w="1553" w:type="dxa"/>
            <w:shd w:val="clear" w:color="auto" w:fill="C6EFCE"/>
            <w:noWrap/>
          </w:tcPr>
          <w:p w14:paraId="0337174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90" w:type="dxa"/>
            <w:shd w:val="clear" w:color="auto" w:fill="C6EFCE"/>
            <w:noWrap/>
          </w:tcPr>
          <w:p w14:paraId="738570BC" w14:textId="77777777" w:rsidR="00302FC1" w:rsidRPr="00AB26B3" w:rsidRDefault="00D64F26">
            <w:pPr>
              <w:pStyle w:val="P68B1DB1-Normal24"/>
              <w:spacing w:after="0" w:line="240" w:lineRule="auto"/>
              <w:rPr>
                <w:noProof/>
                <w:spacing w:val="-6"/>
                <w:lang w:val="sk-SK"/>
              </w:rPr>
            </w:pPr>
            <w:r w:rsidRPr="00AB26B3">
              <w:rPr>
                <w:noProof/>
                <w:spacing w:val="-6"/>
                <w:lang w:val="sk-SK"/>
              </w:rPr>
              <w:t>Renovované nemocnice</w:t>
            </w:r>
          </w:p>
        </w:tc>
        <w:tc>
          <w:tcPr>
            <w:tcW w:w="1134" w:type="dxa"/>
            <w:shd w:val="clear" w:color="auto" w:fill="C6EFCE"/>
            <w:noWrap/>
          </w:tcPr>
          <w:p w14:paraId="6142C9FE" w14:textId="77777777" w:rsidR="00302FC1" w:rsidRPr="00AB26B3" w:rsidRDefault="00D64F26">
            <w:pPr>
              <w:pStyle w:val="P68B1DB1-Normal24"/>
              <w:spacing w:after="0" w:line="240" w:lineRule="auto"/>
              <w:rPr>
                <w:noProof/>
                <w:spacing w:val="-6"/>
                <w:lang w:val="sk-SK"/>
              </w:rPr>
            </w:pPr>
            <w:r w:rsidRPr="00AB26B3">
              <w:rPr>
                <w:noProof/>
                <w:spacing w:val="-6"/>
                <w:lang w:val="sk-SK"/>
              </w:rPr>
              <w:t>0</w:t>
            </w:r>
          </w:p>
        </w:tc>
        <w:tc>
          <w:tcPr>
            <w:tcW w:w="708" w:type="dxa"/>
            <w:shd w:val="clear" w:color="auto" w:fill="C6EFCE"/>
            <w:noWrap/>
          </w:tcPr>
          <w:p w14:paraId="5A4C0331" w14:textId="77777777" w:rsidR="00302FC1" w:rsidRPr="00AB26B3" w:rsidRDefault="00D64F26">
            <w:pPr>
              <w:pStyle w:val="P68B1DB1-Normal24"/>
              <w:spacing w:after="0" w:line="240" w:lineRule="auto"/>
              <w:rPr>
                <w:noProof/>
                <w:spacing w:val="-6"/>
                <w:lang w:val="sk-SK"/>
              </w:rPr>
            </w:pPr>
            <w:r w:rsidRPr="00AB26B3">
              <w:rPr>
                <w:noProof/>
                <w:spacing w:val="-6"/>
                <w:lang w:val="sk-SK"/>
              </w:rPr>
              <w:t>9</w:t>
            </w:r>
          </w:p>
        </w:tc>
        <w:tc>
          <w:tcPr>
            <w:tcW w:w="851" w:type="dxa"/>
            <w:shd w:val="clear" w:color="auto" w:fill="C6EFCE"/>
            <w:noWrap/>
          </w:tcPr>
          <w:p w14:paraId="31235A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34558E5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880" w:type="dxa"/>
            <w:shd w:val="clear" w:color="auto" w:fill="C6EFCE"/>
            <w:noWrap/>
          </w:tcPr>
          <w:p w14:paraId="5142858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Renovačné a/alebo stavebné práce pre celkovo deväť nemocníc. </w:t>
            </w:r>
          </w:p>
        </w:tc>
      </w:tr>
      <w:tr w:rsidR="00302FC1" w:rsidRPr="00AB26B3" w14:paraId="3E27322A" w14:textId="77777777">
        <w:trPr>
          <w:trHeight w:val="313"/>
          <w:jc w:val="center"/>
        </w:trPr>
        <w:tc>
          <w:tcPr>
            <w:tcW w:w="607" w:type="dxa"/>
            <w:shd w:val="clear" w:color="auto" w:fill="C6EFCE"/>
            <w:noWrap/>
          </w:tcPr>
          <w:p w14:paraId="6705A9C7" w14:textId="77777777" w:rsidR="00302FC1" w:rsidRPr="00AB26B3" w:rsidRDefault="00D64F26">
            <w:pPr>
              <w:pStyle w:val="P68B1DB1-Normal12"/>
              <w:spacing w:after="0" w:line="240" w:lineRule="auto"/>
              <w:rPr>
                <w:noProof/>
                <w:spacing w:val="-6"/>
                <w:lang w:val="sk-SK"/>
              </w:rPr>
            </w:pPr>
            <w:r w:rsidRPr="00AB26B3">
              <w:rPr>
                <w:noProof/>
                <w:spacing w:val="-6"/>
                <w:lang w:val="sk-SK"/>
              </w:rPr>
              <w:t>170a</w:t>
            </w:r>
          </w:p>
        </w:tc>
        <w:tc>
          <w:tcPr>
            <w:tcW w:w="2040" w:type="dxa"/>
            <w:shd w:val="clear" w:color="auto" w:fill="C6EFCE"/>
            <w:noWrap/>
          </w:tcPr>
          <w:p w14:paraId="5F4F1B79" w14:textId="0F6E9C12" w:rsidR="00302FC1" w:rsidRPr="00AB26B3" w:rsidRDefault="00D64F26">
            <w:pPr>
              <w:pStyle w:val="P68B1DB1-Normal12"/>
              <w:spacing w:after="0" w:line="240" w:lineRule="auto"/>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16795_ Zdravotnícka infraštruktúra</w:t>
            </w:r>
          </w:p>
        </w:tc>
        <w:tc>
          <w:tcPr>
            <w:tcW w:w="1144" w:type="dxa"/>
            <w:shd w:val="clear" w:color="auto" w:fill="C6EFCE"/>
            <w:noWrap/>
          </w:tcPr>
          <w:p w14:paraId="78DDD2CF"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877" w:type="dxa"/>
            <w:shd w:val="clear" w:color="auto" w:fill="C6EFCE"/>
            <w:noWrap/>
          </w:tcPr>
          <w:p w14:paraId="70ED57F1" w14:textId="77777777" w:rsidR="00302FC1" w:rsidRPr="00AB26B3" w:rsidRDefault="00D64F26">
            <w:pPr>
              <w:pStyle w:val="P68B1DB1-Normal12"/>
              <w:spacing w:after="0" w:line="240" w:lineRule="auto"/>
              <w:rPr>
                <w:noProof/>
                <w:spacing w:val="-6"/>
                <w:lang w:val="sk-SK"/>
              </w:rPr>
            </w:pPr>
            <w:r w:rsidRPr="00AB26B3">
              <w:rPr>
                <w:noProof/>
                <w:spacing w:val="-6"/>
                <w:lang w:val="sk-SK"/>
              </w:rPr>
              <w:t>Modernizácia infraštruktúry NHS – krok 2</w:t>
            </w:r>
          </w:p>
        </w:tc>
        <w:tc>
          <w:tcPr>
            <w:tcW w:w="1553" w:type="dxa"/>
            <w:shd w:val="clear" w:color="auto" w:fill="C6EFCE"/>
            <w:noWrap/>
          </w:tcPr>
          <w:p w14:paraId="5C53A56C"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390" w:type="dxa"/>
            <w:shd w:val="clear" w:color="auto" w:fill="C6EFCE"/>
            <w:noWrap/>
          </w:tcPr>
          <w:p w14:paraId="0FFDF73B" w14:textId="77777777" w:rsidR="00302FC1" w:rsidRPr="00AB26B3" w:rsidRDefault="00D64F26">
            <w:pPr>
              <w:pStyle w:val="P68B1DB1-Normal24"/>
              <w:spacing w:after="0" w:line="240" w:lineRule="auto"/>
              <w:rPr>
                <w:noProof/>
                <w:spacing w:val="-6"/>
                <w:lang w:val="sk-SK"/>
              </w:rPr>
            </w:pPr>
            <w:r w:rsidRPr="00AB26B3">
              <w:rPr>
                <w:noProof/>
                <w:spacing w:val="-6"/>
                <w:lang w:val="sk-SK"/>
              </w:rPr>
              <w:t>Renovované nemocnice</w:t>
            </w:r>
          </w:p>
        </w:tc>
        <w:tc>
          <w:tcPr>
            <w:tcW w:w="1134" w:type="dxa"/>
            <w:shd w:val="clear" w:color="auto" w:fill="C6EFCE"/>
            <w:noWrap/>
          </w:tcPr>
          <w:p w14:paraId="1D02417E" w14:textId="77777777" w:rsidR="00302FC1" w:rsidRPr="00AB26B3" w:rsidRDefault="00D64F26">
            <w:pPr>
              <w:pStyle w:val="P68B1DB1-Normal24"/>
              <w:spacing w:after="0" w:line="240" w:lineRule="auto"/>
              <w:rPr>
                <w:noProof/>
                <w:spacing w:val="-6"/>
                <w:lang w:val="sk-SK"/>
              </w:rPr>
            </w:pPr>
            <w:r w:rsidRPr="00AB26B3">
              <w:rPr>
                <w:noProof/>
                <w:spacing w:val="-6"/>
                <w:lang w:val="sk-SK"/>
              </w:rPr>
              <w:t>0</w:t>
            </w:r>
          </w:p>
        </w:tc>
        <w:tc>
          <w:tcPr>
            <w:tcW w:w="708" w:type="dxa"/>
            <w:shd w:val="clear" w:color="auto" w:fill="C6EFCE"/>
            <w:noWrap/>
          </w:tcPr>
          <w:p w14:paraId="7A9734F1" w14:textId="77777777" w:rsidR="00302FC1" w:rsidRPr="00AB26B3" w:rsidRDefault="00D64F26">
            <w:pPr>
              <w:pStyle w:val="P68B1DB1-Normal24"/>
              <w:spacing w:after="0" w:line="240" w:lineRule="auto"/>
              <w:rPr>
                <w:noProof/>
                <w:spacing w:val="-6"/>
                <w:lang w:val="sk-SK"/>
              </w:rPr>
            </w:pPr>
            <w:r w:rsidRPr="00AB26B3">
              <w:rPr>
                <w:noProof/>
                <w:spacing w:val="-6"/>
                <w:lang w:val="sk-SK"/>
              </w:rPr>
              <w:t>10</w:t>
            </w:r>
          </w:p>
        </w:tc>
        <w:tc>
          <w:tcPr>
            <w:tcW w:w="851" w:type="dxa"/>
            <w:shd w:val="clear" w:color="auto" w:fill="C6EFCE"/>
            <w:noWrap/>
          </w:tcPr>
          <w:p w14:paraId="15D70E45"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709" w:type="dxa"/>
            <w:shd w:val="clear" w:color="auto" w:fill="C6EFCE"/>
            <w:noWrap/>
          </w:tcPr>
          <w:p w14:paraId="764B2556"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880" w:type="dxa"/>
            <w:shd w:val="clear" w:color="auto" w:fill="C6EFCE"/>
            <w:noWrap/>
          </w:tcPr>
          <w:p w14:paraId="3BE43DE4" w14:textId="35CFF3D8" w:rsidR="00302FC1" w:rsidRPr="00AB26B3" w:rsidRDefault="00D64F26">
            <w:pPr>
              <w:pStyle w:val="P68B1DB1-Normal12"/>
              <w:spacing w:after="0" w:line="240" w:lineRule="auto"/>
              <w:rPr>
                <w:noProof/>
                <w:spacing w:val="-6"/>
                <w:lang w:val="sk-SK"/>
              </w:rPr>
            </w:pPr>
            <w:r w:rsidRPr="00AB26B3">
              <w:rPr>
                <w:noProof/>
                <w:spacing w:val="-6"/>
                <w:lang w:val="sk-SK"/>
              </w:rPr>
              <w:t>Renovačné a/alebo stavebné práce pre celkovo 10 nemocníc</w:t>
            </w:r>
            <w:r w:rsidR="00AB26B3" w:rsidRPr="00AB26B3">
              <w:rPr>
                <w:noProof/>
                <w:spacing w:val="-6"/>
                <w:lang w:val="sk-SK"/>
              </w:rPr>
              <w:t xml:space="preserve"> v </w:t>
            </w:r>
            <w:r w:rsidRPr="00AB26B3">
              <w:rPr>
                <w:noProof/>
                <w:spacing w:val="-6"/>
                <w:lang w:val="sk-SK"/>
              </w:rPr>
              <w:t>1</w:t>
            </w:r>
            <w:r w:rsidR="00AB26B3" w:rsidRPr="00AB26B3">
              <w:rPr>
                <w:noProof/>
                <w:spacing w:val="-6"/>
                <w:lang w:val="sk-SK"/>
              </w:rPr>
              <w:t>. a </w:t>
            </w:r>
            <w:r w:rsidRPr="00AB26B3">
              <w:rPr>
                <w:noProof/>
                <w:spacing w:val="-6"/>
                <w:lang w:val="sk-SK"/>
              </w:rPr>
              <w:t>2. zdravotníckom regióne. </w:t>
            </w:r>
          </w:p>
        </w:tc>
      </w:tr>
      <w:tr w:rsidR="00302FC1" w:rsidRPr="00AB26B3" w14:paraId="6D2E7FF3" w14:textId="77777777">
        <w:trPr>
          <w:trHeight w:val="313"/>
          <w:jc w:val="center"/>
        </w:trPr>
        <w:tc>
          <w:tcPr>
            <w:tcW w:w="607" w:type="dxa"/>
            <w:shd w:val="clear" w:color="auto" w:fill="C6EFCE"/>
            <w:noWrap/>
          </w:tcPr>
          <w:p w14:paraId="00BC430A" w14:textId="77777777" w:rsidR="00302FC1" w:rsidRPr="00AB26B3" w:rsidRDefault="00D64F26">
            <w:pPr>
              <w:pStyle w:val="P68B1DB1-Normal12"/>
              <w:spacing w:after="0" w:line="240" w:lineRule="auto"/>
              <w:rPr>
                <w:noProof/>
                <w:spacing w:val="-6"/>
                <w:lang w:val="sk-SK"/>
              </w:rPr>
            </w:pPr>
            <w:r w:rsidRPr="00AB26B3">
              <w:rPr>
                <w:noProof/>
                <w:spacing w:val="-6"/>
                <w:lang w:val="sk-SK"/>
              </w:rPr>
              <w:t>170b</w:t>
            </w:r>
          </w:p>
        </w:tc>
        <w:tc>
          <w:tcPr>
            <w:tcW w:w="2040" w:type="dxa"/>
            <w:shd w:val="clear" w:color="auto" w:fill="C6EFCE"/>
            <w:noWrap/>
          </w:tcPr>
          <w:p w14:paraId="51647893" w14:textId="28BC8B94" w:rsidR="00302FC1" w:rsidRPr="00AB26B3" w:rsidRDefault="00D64F26">
            <w:pPr>
              <w:pStyle w:val="P68B1DB1-Normal12"/>
              <w:spacing w:after="0" w:line="240" w:lineRule="auto"/>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16795_ Zdravotnícka infraštruktúra</w:t>
            </w:r>
          </w:p>
        </w:tc>
        <w:tc>
          <w:tcPr>
            <w:tcW w:w="1144" w:type="dxa"/>
            <w:shd w:val="clear" w:color="auto" w:fill="C6EFCE"/>
            <w:noWrap/>
          </w:tcPr>
          <w:p w14:paraId="1672841C"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877" w:type="dxa"/>
            <w:shd w:val="clear" w:color="auto" w:fill="C6EFCE"/>
            <w:noWrap/>
          </w:tcPr>
          <w:p w14:paraId="4242E9E8" w14:textId="77777777" w:rsidR="00302FC1" w:rsidRPr="00AB26B3" w:rsidRDefault="00D64F26">
            <w:pPr>
              <w:pStyle w:val="P68B1DB1-Normal12"/>
              <w:spacing w:after="0" w:line="240" w:lineRule="auto"/>
              <w:rPr>
                <w:noProof/>
                <w:spacing w:val="-6"/>
                <w:lang w:val="sk-SK"/>
              </w:rPr>
            </w:pPr>
            <w:r w:rsidRPr="00AB26B3">
              <w:rPr>
                <w:noProof/>
                <w:spacing w:val="-6"/>
                <w:lang w:val="sk-SK"/>
              </w:rPr>
              <w:t>Modernizácia infraštruktúry NHS – krok 3</w:t>
            </w:r>
          </w:p>
        </w:tc>
        <w:tc>
          <w:tcPr>
            <w:tcW w:w="1553" w:type="dxa"/>
            <w:shd w:val="clear" w:color="auto" w:fill="C6EFCE"/>
            <w:noWrap/>
          </w:tcPr>
          <w:p w14:paraId="1C144AEA"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390" w:type="dxa"/>
            <w:shd w:val="clear" w:color="auto" w:fill="C6EFCE"/>
            <w:noWrap/>
          </w:tcPr>
          <w:p w14:paraId="518AC07C" w14:textId="77777777" w:rsidR="00302FC1" w:rsidRPr="00AB26B3" w:rsidRDefault="00D64F26">
            <w:pPr>
              <w:pStyle w:val="P68B1DB1-Normal24"/>
              <w:spacing w:after="0" w:line="240" w:lineRule="auto"/>
              <w:rPr>
                <w:noProof/>
                <w:spacing w:val="-6"/>
                <w:lang w:val="sk-SK"/>
              </w:rPr>
            </w:pPr>
            <w:r w:rsidRPr="00AB26B3">
              <w:rPr>
                <w:noProof/>
                <w:spacing w:val="-6"/>
                <w:lang w:val="sk-SK"/>
              </w:rPr>
              <w:t>Renovované nemocnice</w:t>
            </w:r>
          </w:p>
        </w:tc>
        <w:tc>
          <w:tcPr>
            <w:tcW w:w="1134" w:type="dxa"/>
            <w:shd w:val="clear" w:color="auto" w:fill="C6EFCE"/>
            <w:noWrap/>
          </w:tcPr>
          <w:p w14:paraId="530727D8" w14:textId="77777777" w:rsidR="00302FC1" w:rsidRPr="00AB26B3" w:rsidRDefault="00D64F26">
            <w:pPr>
              <w:pStyle w:val="P68B1DB1-Normal24"/>
              <w:spacing w:after="0" w:line="240" w:lineRule="auto"/>
              <w:rPr>
                <w:noProof/>
                <w:spacing w:val="-6"/>
                <w:lang w:val="sk-SK"/>
              </w:rPr>
            </w:pPr>
            <w:r w:rsidRPr="00AB26B3">
              <w:rPr>
                <w:noProof/>
                <w:spacing w:val="-6"/>
                <w:lang w:val="sk-SK"/>
              </w:rPr>
              <w:t>0</w:t>
            </w:r>
          </w:p>
        </w:tc>
        <w:tc>
          <w:tcPr>
            <w:tcW w:w="708" w:type="dxa"/>
            <w:shd w:val="clear" w:color="auto" w:fill="C6EFCE"/>
            <w:noWrap/>
          </w:tcPr>
          <w:p w14:paraId="5490584B" w14:textId="77777777" w:rsidR="00302FC1" w:rsidRPr="00AB26B3" w:rsidRDefault="00D64F26">
            <w:pPr>
              <w:pStyle w:val="P68B1DB1-Normal24"/>
              <w:spacing w:after="0" w:line="240" w:lineRule="auto"/>
              <w:rPr>
                <w:noProof/>
                <w:spacing w:val="-6"/>
                <w:lang w:val="sk-SK"/>
              </w:rPr>
            </w:pPr>
            <w:r w:rsidRPr="00AB26B3">
              <w:rPr>
                <w:noProof/>
                <w:spacing w:val="-6"/>
                <w:lang w:val="sk-SK"/>
              </w:rPr>
              <w:t>9</w:t>
            </w:r>
          </w:p>
        </w:tc>
        <w:tc>
          <w:tcPr>
            <w:tcW w:w="851" w:type="dxa"/>
            <w:shd w:val="clear" w:color="auto" w:fill="C6EFCE"/>
            <w:noWrap/>
          </w:tcPr>
          <w:p w14:paraId="40981262"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709" w:type="dxa"/>
            <w:shd w:val="clear" w:color="auto" w:fill="C6EFCE"/>
            <w:noWrap/>
          </w:tcPr>
          <w:p w14:paraId="25060AFA"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880" w:type="dxa"/>
            <w:shd w:val="clear" w:color="auto" w:fill="C6EFCE"/>
            <w:noWrap/>
          </w:tcPr>
          <w:p w14:paraId="73DFD655" w14:textId="0BF1CC9B" w:rsidR="00302FC1" w:rsidRPr="00AB26B3" w:rsidRDefault="00D64F26">
            <w:pPr>
              <w:pStyle w:val="P68B1DB1-Normal12"/>
              <w:spacing w:after="0" w:line="240" w:lineRule="auto"/>
              <w:rPr>
                <w:noProof/>
                <w:spacing w:val="-6"/>
                <w:lang w:val="sk-SK"/>
              </w:rPr>
            </w:pPr>
            <w:r w:rsidRPr="00AB26B3">
              <w:rPr>
                <w:noProof/>
                <w:spacing w:val="-6"/>
                <w:lang w:val="sk-SK"/>
              </w:rPr>
              <w:t>Renovačné a/alebo stavebné práce pre celkovo 9 nemocníc</w:t>
            </w:r>
            <w:r w:rsidR="00AB26B3" w:rsidRPr="00AB26B3">
              <w:rPr>
                <w:noProof/>
                <w:spacing w:val="-6"/>
                <w:lang w:val="sk-SK"/>
              </w:rPr>
              <w:t xml:space="preserve"> v </w:t>
            </w:r>
            <w:r w:rsidRPr="00AB26B3">
              <w:rPr>
                <w:noProof/>
                <w:spacing w:val="-6"/>
                <w:lang w:val="sk-SK"/>
              </w:rPr>
              <w:t>zdravotníckych regiónoch iných ako 1</w:t>
            </w:r>
            <w:r w:rsidR="00AB26B3" w:rsidRPr="00AB26B3">
              <w:rPr>
                <w:noProof/>
                <w:spacing w:val="-6"/>
                <w:lang w:val="sk-SK"/>
              </w:rPr>
              <w:t xml:space="preserve"> a </w:t>
            </w:r>
            <w:r w:rsidRPr="00AB26B3">
              <w:rPr>
                <w:noProof/>
                <w:spacing w:val="-6"/>
                <w:lang w:val="sk-SK"/>
              </w:rPr>
              <w:t>2.</w:t>
            </w:r>
          </w:p>
        </w:tc>
      </w:tr>
      <w:tr w:rsidR="00302FC1" w:rsidRPr="00AB26B3" w14:paraId="04DC410D" w14:textId="77777777">
        <w:trPr>
          <w:trHeight w:val="313"/>
          <w:jc w:val="center"/>
        </w:trPr>
        <w:tc>
          <w:tcPr>
            <w:tcW w:w="607" w:type="dxa"/>
            <w:shd w:val="clear" w:color="auto" w:fill="C6EFCE"/>
            <w:noWrap/>
          </w:tcPr>
          <w:p w14:paraId="2BEF7DE5" w14:textId="77777777" w:rsidR="00302FC1" w:rsidRPr="00AB26B3" w:rsidRDefault="00D64F26">
            <w:pPr>
              <w:pStyle w:val="P68B1DB1-Normal12"/>
              <w:spacing w:after="0" w:line="240" w:lineRule="auto"/>
              <w:rPr>
                <w:noProof/>
                <w:spacing w:val="-6"/>
                <w:lang w:val="sk-SK"/>
              </w:rPr>
            </w:pPr>
            <w:r w:rsidRPr="00AB26B3">
              <w:rPr>
                <w:noProof/>
                <w:spacing w:val="-6"/>
                <w:lang w:val="sk-SK"/>
              </w:rPr>
              <w:t>170c</w:t>
            </w:r>
          </w:p>
        </w:tc>
        <w:tc>
          <w:tcPr>
            <w:tcW w:w="2040" w:type="dxa"/>
            <w:shd w:val="clear" w:color="auto" w:fill="C6EFCE"/>
            <w:noWrap/>
          </w:tcPr>
          <w:p w14:paraId="1DBD9455" w14:textId="677BD76D" w:rsidR="00302FC1" w:rsidRPr="00AB26B3" w:rsidRDefault="00D64F26">
            <w:pPr>
              <w:pStyle w:val="P68B1DB1-Normal12"/>
              <w:spacing w:after="0" w:line="240" w:lineRule="auto"/>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16795_ Zdravotnícka infraštruktúra</w:t>
            </w:r>
          </w:p>
        </w:tc>
        <w:tc>
          <w:tcPr>
            <w:tcW w:w="1144" w:type="dxa"/>
            <w:shd w:val="clear" w:color="auto" w:fill="C6EFCE"/>
            <w:noWrap/>
          </w:tcPr>
          <w:p w14:paraId="0CF04810"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877" w:type="dxa"/>
            <w:shd w:val="clear" w:color="auto" w:fill="C6EFCE"/>
            <w:noWrap/>
          </w:tcPr>
          <w:p w14:paraId="790956B7" w14:textId="77777777" w:rsidR="00302FC1" w:rsidRPr="00AB26B3" w:rsidRDefault="00D64F26">
            <w:pPr>
              <w:pStyle w:val="P68B1DB1-Normal12"/>
              <w:spacing w:after="0" w:line="240" w:lineRule="auto"/>
              <w:rPr>
                <w:noProof/>
                <w:spacing w:val="-6"/>
                <w:lang w:val="sk-SK"/>
              </w:rPr>
            </w:pPr>
            <w:r w:rsidRPr="00AB26B3">
              <w:rPr>
                <w:noProof/>
                <w:spacing w:val="-6"/>
                <w:lang w:val="sk-SK"/>
              </w:rPr>
              <w:t>Modernizácia infraštruktúry NHS – krok 4</w:t>
            </w:r>
          </w:p>
        </w:tc>
        <w:tc>
          <w:tcPr>
            <w:tcW w:w="1553" w:type="dxa"/>
            <w:shd w:val="clear" w:color="auto" w:fill="C6EFCE"/>
            <w:noWrap/>
          </w:tcPr>
          <w:p w14:paraId="7650A091"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390" w:type="dxa"/>
            <w:shd w:val="clear" w:color="auto" w:fill="C6EFCE"/>
            <w:noWrap/>
          </w:tcPr>
          <w:p w14:paraId="0E2CBEB5" w14:textId="77777777" w:rsidR="00302FC1" w:rsidRPr="00AB26B3" w:rsidRDefault="00D64F26">
            <w:pPr>
              <w:pStyle w:val="P68B1DB1-Normal24"/>
              <w:spacing w:after="0" w:line="240" w:lineRule="auto"/>
              <w:rPr>
                <w:noProof/>
                <w:spacing w:val="-6"/>
                <w:lang w:val="sk-SK"/>
              </w:rPr>
            </w:pPr>
            <w:r w:rsidRPr="00AB26B3">
              <w:rPr>
                <w:noProof/>
                <w:spacing w:val="-6"/>
                <w:lang w:val="sk-SK"/>
              </w:rPr>
              <w:t>Renovované nemocnice</w:t>
            </w:r>
          </w:p>
        </w:tc>
        <w:tc>
          <w:tcPr>
            <w:tcW w:w="1134" w:type="dxa"/>
            <w:shd w:val="clear" w:color="auto" w:fill="C6EFCE"/>
            <w:noWrap/>
          </w:tcPr>
          <w:p w14:paraId="659CEC1C" w14:textId="77777777" w:rsidR="00302FC1" w:rsidRPr="00AB26B3" w:rsidRDefault="00D64F26">
            <w:pPr>
              <w:pStyle w:val="P68B1DB1-Normal24"/>
              <w:spacing w:after="0" w:line="240" w:lineRule="auto"/>
              <w:rPr>
                <w:noProof/>
                <w:spacing w:val="-6"/>
                <w:lang w:val="sk-SK"/>
              </w:rPr>
            </w:pPr>
            <w:r w:rsidRPr="00AB26B3">
              <w:rPr>
                <w:noProof/>
                <w:spacing w:val="-6"/>
                <w:lang w:val="sk-SK"/>
              </w:rPr>
              <w:t>10</w:t>
            </w:r>
          </w:p>
        </w:tc>
        <w:tc>
          <w:tcPr>
            <w:tcW w:w="708" w:type="dxa"/>
            <w:shd w:val="clear" w:color="auto" w:fill="C6EFCE"/>
            <w:noWrap/>
          </w:tcPr>
          <w:p w14:paraId="501ADD84" w14:textId="77777777" w:rsidR="00302FC1" w:rsidRPr="00AB26B3" w:rsidRDefault="00D64F26">
            <w:pPr>
              <w:pStyle w:val="P68B1DB1-Normal24"/>
              <w:spacing w:after="0" w:line="240" w:lineRule="auto"/>
              <w:rPr>
                <w:noProof/>
                <w:spacing w:val="-6"/>
                <w:lang w:val="sk-SK"/>
              </w:rPr>
            </w:pPr>
            <w:r w:rsidRPr="00AB26B3">
              <w:rPr>
                <w:noProof/>
                <w:spacing w:val="-6"/>
                <w:lang w:val="sk-SK"/>
              </w:rPr>
              <w:t>23</w:t>
            </w:r>
          </w:p>
        </w:tc>
        <w:tc>
          <w:tcPr>
            <w:tcW w:w="851" w:type="dxa"/>
            <w:shd w:val="clear" w:color="auto" w:fill="C6EFCE"/>
            <w:noWrap/>
          </w:tcPr>
          <w:p w14:paraId="31B0E7A5"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709" w:type="dxa"/>
            <w:shd w:val="clear" w:color="auto" w:fill="C6EFCE"/>
            <w:noWrap/>
          </w:tcPr>
          <w:p w14:paraId="6AB384D9"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880" w:type="dxa"/>
            <w:shd w:val="clear" w:color="auto" w:fill="C6EFCE"/>
            <w:noWrap/>
          </w:tcPr>
          <w:p w14:paraId="03FC65DB" w14:textId="40557B7B" w:rsidR="00302FC1" w:rsidRPr="00AB26B3" w:rsidRDefault="00D64F26">
            <w:pPr>
              <w:pStyle w:val="P68B1DB1-Normal12"/>
              <w:spacing w:after="0" w:line="240" w:lineRule="auto"/>
              <w:rPr>
                <w:noProof/>
                <w:spacing w:val="-6"/>
                <w:lang w:val="sk-SK"/>
              </w:rPr>
            </w:pPr>
            <w:r w:rsidRPr="00AB26B3">
              <w:rPr>
                <w:noProof/>
                <w:spacing w:val="-6"/>
                <w:lang w:val="sk-SK"/>
              </w:rPr>
              <w:t>Renovačné a/alebo stavebné práce pre ďalších 13 nemocníc</w:t>
            </w:r>
            <w:r w:rsidR="00AB26B3" w:rsidRPr="00AB26B3">
              <w:rPr>
                <w:noProof/>
                <w:spacing w:val="-6"/>
                <w:lang w:val="sk-SK"/>
              </w:rPr>
              <w:t xml:space="preserve"> v </w:t>
            </w:r>
            <w:r w:rsidRPr="00AB26B3">
              <w:rPr>
                <w:noProof/>
                <w:spacing w:val="-6"/>
                <w:lang w:val="sk-SK"/>
              </w:rPr>
              <w:t>1</w:t>
            </w:r>
            <w:r w:rsidR="00AB26B3" w:rsidRPr="00AB26B3">
              <w:rPr>
                <w:noProof/>
                <w:spacing w:val="-6"/>
                <w:lang w:val="sk-SK"/>
              </w:rPr>
              <w:t>. a </w:t>
            </w:r>
            <w:r w:rsidRPr="00AB26B3">
              <w:rPr>
                <w:noProof/>
                <w:spacing w:val="-6"/>
                <w:lang w:val="sk-SK"/>
              </w:rPr>
              <w:t>2. zdravotníckom regióne.</w:t>
            </w:r>
          </w:p>
        </w:tc>
      </w:tr>
      <w:tr w:rsidR="00302FC1" w:rsidRPr="00AB26B3" w14:paraId="555CE368" w14:textId="77777777">
        <w:trPr>
          <w:trHeight w:val="313"/>
          <w:jc w:val="center"/>
        </w:trPr>
        <w:tc>
          <w:tcPr>
            <w:tcW w:w="607" w:type="dxa"/>
            <w:shd w:val="clear" w:color="auto" w:fill="C6EFCE"/>
            <w:noWrap/>
          </w:tcPr>
          <w:p w14:paraId="10B855EF" w14:textId="77777777" w:rsidR="00302FC1" w:rsidRPr="00AB26B3" w:rsidRDefault="00D64F26">
            <w:pPr>
              <w:pStyle w:val="P68B1DB1-Normal12"/>
              <w:spacing w:after="0" w:line="240" w:lineRule="auto"/>
              <w:rPr>
                <w:noProof/>
                <w:spacing w:val="-6"/>
                <w:lang w:val="sk-SK"/>
              </w:rPr>
            </w:pPr>
            <w:r w:rsidRPr="00AB26B3">
              <w:rPr>
                <w:noProof/>
                <w:spacing w:val="-6"/>
                <w:lang w:val="sk-SK"/>
              </w:rPr>
              <w:t>170d</w:t>
            </w:r>
          </w:p>
        </w:tc>
        <w:tc>
          <w:tcPr>
            <w:tcW w:w="2040" w:type="dxa"/>
            <w:shd w:val="clear" w:color="auto" w:fill="C6EFCE"/>
            <w:noWrap/>
          </w:tcPr>
          <w:p w14:paraId="0AC56CDF" w14:textId="51B2C831" w:rsidR="00302FC1" w:rsidRPr="00AB26B3" w:rsidRDefault="00D64F26">
            <w:pPr>
              <w:pStyle w:val="P68B1DB1-Normal12"/>
              <w:spacing w:after="0" w:line="240" w:lineRule="auto"/>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16795_ Zdravotnícka infraštruktúra</w:t>
            </w:r>
          </w:p>
        </w:tc>
        <w:tc>
          <w:tcPr>
            <w:tcW w:w="1144" w:type="dxa"/>
            <w:shd w:val="clear" w:color="auto" w:fill="C6EFCE"/>
            <w:noWrap/>
          </w:tcPr>
          <w:p w14:paraId="52EE5F95"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877" w:type="dxa"/>
            <w:shd w:val="clear" w:color="auto" w:fill="C6EFCE"/>
            <w:noWrap/>
          </w:tcPr>
          <w:p w14:paraId="1DD5B64A" w14:textId="77777777" w:rsidR="00302FC1" w:rsidRPr="00AB26B3" w:rsidRDefault="00D64F26">
            <w:pPr>
              <w:pStyle w:val="P68B1DB1-Normal12"/>
              <w:spacing w:after="0" w:line="240" w:lineRule="auto"/>
              <w:rPr>
                <w:noProof/>
                <w:spacing w:val="-6"/>
                <w:lang w:val="sk-SK"/>
              </w:rPr>
            </w:pPr>
            <w:r w:rsidRPr="00AB26B3">
              <w:rPr>
                <w:noProof/>
                <w:spacing w:val="-6"/>
                <w:lang w:val="sk-SK"/>
              </w:rPr>
              <w:t>Modernizácia infraštruktúry NHS – krok 5</w:t>
            </w:r>
          </w:p>
        </w:tc>
        <w:tc>
          <w:tcPr>
            <w:tcW w:w="1553" w:type="dxa"/>
            <w:shd w:val="clear" w:color="auto" w:fill="C6EFCE"/>
            <w:noWrap/>
          </w:tcPr>
          <w:p w14:paraId="2ABF0296"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390" w:type="dxa"/>
            <w:shd w:val="clear" w:color="auto" w:fill="C6EFCE"/>
            <w:noWrap/>
          </w:tcPr>
          <w:p w14:paraId="7CD2F5D4" w14:textId="77777777" w:rsidR="00302FC1" w:rsidRPr="00AB26B3" w:rsidRDefault="00D64F26">
            <w:pPr>
              <w:pStyle w:val="P68B1DB1-Normal24"/>
              <w:spacing w:after="0" w:line="240" w:lineRule="auto"/>
              <w:rPr>
                <w:noProof/>
                <w:spacing w:val="-6"/>
                <w:lang w:val="sk-SK"/>
              </w:rPr>
            </w:pPr>
            <w:r w:rsidRPr="00AB26B3">
              <w:rPr>
                <w:noProof/>
                <w:spacing w:val="-6"/>
                <w:lang w:val="sk-SK"/>
              </w:rPr>
              <w:t>Renovované nemocnice</w:t>
            </w:r>
          </w:p>
        </w:tc>
        <w:tc>
          <w:tcPr>
            <w:tcW w:w="1134" w:type="dxa"/>
            <w:shd w:val="clear" w:color="auto" w:fill="C6EFCE"/>
            <w:noWrap/>
          </w:tcPr>
          <w:p w14:paraId="442DAED7" w14:textId="77777777" w:rsidR="00302FC1" w:rsidRPr="00AB26B3" w:rsidRDefault="00D64F26">
            <w:pPr>
              <w:pStyle w:val="P68B1DB1-Normal24"/>
              <w:spacing w:after="0" w:line="240" w:lineRule="auto"/>
              <w:rPr>
                <w:noProof/>
                <w:spacing w:val="-6"/>
                <w:lang w:val="sk-SK"/>
              </w:rPr>
            </w:pPr>
            <w:r w:rsidRPr="00AB26B3">
              <w:rPr>
                <w:noProof/>
                <w:spacing w:val="-6"/>
                <w:lang w:val="sk-SK"/>
              </w:rPr>
              <w:t>9</w:t>
            </w:r>
          </w:p>
        </w:tc>
        <w:tc>
          <w:tcPr>
            <w:tcW w:w="708" w:type="dxa"/>
            <w:shd w:val="clear" w:color="auto" w:fill="C6EFCE"/>
            <w:noWrap/>
          </w:tcPr>
          <w:p w14:paraId="27994C71" w14:textId="77777777" w:rsidR="00302FC1" w:rsidRPr="00AB26B3" w:rsidRDefault="00D64F26">
            <w:pPr>
              <w:pStyle w:val="P68B1DB1-Normal24"/>
              <w:spacing w:after="0" w:line="240" w:lineRule="auto"/>
              <w:rPr>
                <w:noProof/>
                <w:spacing w:val="-6"/>
                <w:lang w:val="sk-SK"/>
              </w:rPr>
            </w:pPr>
            <w:r w:rsidRPr="00AB26B3">
              <w:rPr>
                <w:noProof/>
                <w:spacing w:val="-6"/>
                <w:lang w:val="sk-SK"/>
              </w:rPr>
              <w:t>48</w:t>
            </w:r>
          </w:p>
        </w:tc>
        <w:tc>
          <w:tcPr>
            <w:tcW w:w="851" w:type="dxa"/>
            <w:shd w:val="clear" w:color="auto" w:fill="C6EFCE"/>
            <w:noWrap/>
          </w:tcPr>
          <w:p w14:paraId="3F1658D4"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709" w:type="dxa"/>
            <w:shd w:val="clear" w:color="auto" w:fill="C6EFCE"/>
            <w:noWrap/>
          </w:tcPr>
          <w:p w14:paraId="575A8552"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880" w:type="dxa"/>
            <w:shd w:val="clear" w:color="auto" w:fill="C6EFCE"/>
            <w:noWrap/>
          </w:tcPr>
          <w:p w14:paraId="46B97F7E" w14:textId="4F4911E6" w:rsidR="00302FC1" w:rsidRPr="00AB26B3" w:rsidRDefault="00D64F26">
            <w:pPr>
              <w:pStyle w:val="P68B1DB1-Normal12"/>
              <w:spacing w:after="0" w:line="240" w:lineRule="auto"/>
              <w:rPr>
                <w:noProof/>
                <w:spacing w:val="-6"/>
                <w:lang w:val="sk-SK"/>
              </w:rPr>
            </w:pPr>
            <w:r w:rsidRPr="00AB26B3">
              <w:rPr>
                <w:noProof/>
                <w:spacing w:val="-6"/>
                <w:lang w:val="sk-SK"/>
              </w:rPr>
              <w:t>Renovačné a/alebo stavebné práce pre ďalších 39 nemocníc</w:t>
            </w:r>
            <w:r w:rsidR="00AB26B3" w:rsidRPr="00AB26B3">
              <w:rPr>
                <w:noProof/>
                <w:spacing w:val="-6"/>
                <w:lang w:val="sk-SK"/>
              </w:rPr>
              <w:t xml:space="preserve"> v </w:t>
            </w:r>
            <w:r w:rsidRPr="00AB26B3">
              <w:rPr>
                <w:noProof/>
                <w:spacing w:val="-6"/>
                <w:lang w:val="sk-SK"/>
              </w:rPr>
              <w:t>zdravotníckych regiónoch iných ako 1</w:t>
            </w:r>
            <w:r w:rsidR="00AB26B3" w:rsidRPr="00AB26B3">
              <w:rPr>
                <w:noProof/>
                <w:spacing w:val="-6"/>
                <w:lang w:val="sk-SK"/>
              </w:rPr>
              <w:t xml:space="preserve"> a </w:t>
            </w:r>
            <w:r w:rsidRPr="00AB26B3">
              <w:rPr>
                <w:noProof/>
                <w:spacing w:val="-6"/>
                <w:lang w:val="sk-SK"/>
              </w:rPr>
              <w:t>2.</w:t>
            </w:r>
          </w:p>
        </w:tc>
      </w:tr>
      <w:tr w:rsidR="00302FC1" w:rsidRPr="00AB26B3" w14:paraId="39487EED" w14:textId="77777777">
        <w:trPr>
          <w:trHeight w:val="313"/>
          <w:jc w:val="center"/>
        </w:trPr>
        <w:tc>
          <w:tcPr>
            <w:tcW w:w="607" w:type="dxa"/>
            <w:shd w:val="clear" w:color="auto" w:fill="C6EFCE"/>
            <w:noWrap/>
          </w:tcPr>
          <w:p w14:paraId="678CF66E" w14:textId="77777777" w:rsidR="00302FC1" w:rsidRPr="00AB26B3" w:rsidRDefault="00D64F26">
            <w:pPr>
              <w:pStyle w:val="P68B1DB1-Normal12"/>
              <w:spacing w:after="0" w:line="240" w:lineRule="auto"/>
              <w:rPr>
                <w:noProof/>
                <w:spacing w:val="-6"/>
                <w:lang w:val="sk-SK"/>
              </w:rPr>
            </w:pPr>
            <w:r w:rsidRPr="00AB26B3">
              <w:rPr>
                <w:noProof/>
                <w:spacing w:val="-6"/>
                <w:lang w:val="sk-SK"/>
              </w:rPr>
              <w:t>170e</w:t>
            </w:r>
          </w:p>
        </w:tc>
        <w:tc>
          <w:tcPr>
            <w:tcW w:w="2040" w:type="dxa"/>
            <w:shd w:val="clear" w:color="auto" w:fill="C6EFCE"/>
            <w:noWrap/>
          </w:tcPr>
          <w:p w14:paraId="25D6B826" w14:textId="64F55B11" w:rsidR="00302FC1" w:rsidRPr="00AB26B3" w:rsidRDefault="00D64F26">
            <w:pPr>
              <w:pStyle w:val="P68B1DB1-Normal12"/>
              <w:spacing w:after="0" w:line="240" w:lineRule="auto"/>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16795_ Zdravotnícka infraštruktúra</w:t>
            </w:r>
          </w:p>
        </w:tc>
        <w:tc>
          <w:tcPr>
            <w:tcW w:w="1144" w:type="dxa"/>
            <w:shd w:val="clear" w:color="auto" w:fill="C6EFCE"/>
            <w:noWrap/>
          </w:tcPr>
          <w:p w14:paraId="396349A5"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877" w:type="dxa"/>
            <w:shd w:val="clear" w:color="auto" w:fill="C6EFCE"/>
            <w:noWrap/>
          </w:tcPr>
          <w:p w14:paraId="310D0F7E" w14:textId="77777777" w:rsidR="00302FC1" w:rsidRPr="00AB26B3" w:rsidRDefault="00D64F26">
            <w:pPr>
              <w:pStyle w:val="P68B1DB1-Normal12"/>
              <w:spacing w:after="0" w:line="240" w:lineRule="auto"/>
              <w:rPr>
                <w:noProof/>
                <w:spacing w:val="-6"/>
                <w:lang w:val="sk-SK"/>
              </w:rPr>
            </w:pPr>
            <w:r w:rsidRPr="00AB26B3">
              <w:rPr>
                <w:noProof/>
                <w:spacing w:val="-6"/>
                <w:lang w:val="sk-SK"/>
              </w:rPr>
              <w:t>Modernizácia infraštruktúry NHS – zdravotnícke vybavenie</w:t>
            </w:r>
          </w:p>
        </w:tc>
        <w:tc>
          <w:tcPr>
            <w:tcW w:w="1553" w:type="dxa"/>
            <w:shd w:val="clear" w:color="auto" w:fill="C6EFCE"/>
            <w:noWrap/>
          </w:tcPr>
          <w:p w14:paraId="5D18125D" w14:textId="77777777" w:rsidR="00302FC1" w:rsidRPr="00AB26B3" w:rsidRDefault="00D64F26">
            <w:pPr>
              <w:pStyle w:val="P68B1DB1-Normal12"/>
              <w:spacing w:after="0" w:line="240" w:lineRule="auto"/>
              <w:rPr>
                <w:noProof/>
                <w:spacing w:val="-6"/>
                <w:lang w:val="sk-SK"/>
              </w:rPr>
            </w:pPr>
            <w:r w:rsidRPr="00AB26B3">
              <w:rPr>
                <w:noProof/>
                <w:spacing w:val="-6"/>
                <w:lang w:val="sk-SK"/>
              </w:rPr>
              <w:t>Dodanie zdravotníckeho vybavenia</w:t>
            </w:r>
          </w:p>
        </w:tc>
        <w:tc>
          <w:tcPr>
            <w:tcW w:w="1390" w:type="dxa"/>
            <w:shd w:val="clear" w:color="auto" w:fill="C6EFCE"/>
            <w:noWrap/>
          </w:tcPr>
          <w:p w14:paraId="7F855F7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3AAC1E5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7815B03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73165DC2"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709" w:type="dxa"/>
            <w:shd w:val="clear" w:color="auto" w:fill="C6EFCE"/>
            <w:noWrap/>
          </w:tcPr>
          <w:p w14:paraId="3C17E0C6"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3880" w:type="dxa"/>
            <w:shd w:val="clear" w:color="auto" w:fill="C6EFCE"/>
            <w:noWrap/>
          </w:tcPr>
          <w:p w14:paraId="7B16EB29" w14:textId="06916CA5" w:rsidR="00302FC1" w:rsidRPr="00AB26B3" w:rsidRDefault="00D64F26">
            <w:pPr>
              <w:pStyle w:val="P68B1DB1-Normal12"/>
              <w:spacing w:after="0" w:line="240" w:lineRule="auto"/>
              <w:rPr>
                <w:noProof/>
                <w:spacing w:val="-6"/>
                <w:lang w:val="sk-SK"/>
              </w:rPr>
            </w:pPr>
            <w:r w:rsidRPr="00AB26B3">
              <w:rPr>
                <w:noProof/>
                <w:spacing w:val="-6"/>
                <w:lang w:val="sk-SK"/>
              </w:rPr>
              <w:t>Dodávka zdravotníckeho vybavenia</w:t>
            </w:r>
            <w:r w:rsidR="00AB26B3" w:rsidRPr="00AB26B3">
              <w:rPr>
                <w:noProof/>
                <w:spacing w:val="-6"/>
                <w:lang w:val="sk-SK"/>
              </w:rPr>
              <w:t xml:space="preserve"> a </w:t>
            </w:r>
            <w:r w:rsidRPr="00AB26B3">
              <w:rPr>
                <w:noProof/>
                <w:spacing w:val="-6"/>
                <w:lang w:val="sk-SK"/>
              </w:rPr>
              <w:t>prístrojov pre 80 nemocníc.</w:t>
            </w:r>
          </w:p>
        </w:tc>
      </w:tr>
      <w:tr w:rsidR="00302FC1" w:rsidRPr="00AB26B3" w14:paraId="769D406A" w14:textId="77777777">
        <w:trPr>
          <w:trHeight w:val="313"/>
          <w:jc w:val="center"/>
        </w:trPr>
        <w:tc>
          <w:tcPr>
            <w:tcW w:w="607" w:type="dxa"/>
            <w:shd w:val="clear" w:color="auto" w:fill="C6EFCE"/>
            <w:noWrap/>
          </w:tcPr>
          <w:p w14:paraId="2D3A2D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171</w:t>
            </w:r>
          </w:p>
        </w:tc>
        <w:tc>
          <w:tcPr>
            <w:tcW w:w="2040" w:type="dxa"/>
            <w:shd w:val="clear" w:color="auto" w:fill="C6EFCE"/>
            <w:noWrap/>
          </w:tcPr>
          <w:p w14:paraId="21618DE2" w14:textId="213463D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16757_Zriadenie rádioterapeutického centra</w:t>
            </w:r>
            <w:r w:rsidR="00AB26B3" w:rsidRPr="00AB26B3">
              <w:rPr>
                <w:noProof/>
                <w:spacing w:val="-6"/>
                <w:lang w:val="sk-SK"/>
              </w:rPr>
              <w:t xml:space="preserve"> v </w:t>
            </w:r>
            <w:r w:rsidRPr="00AB26B3">
              <w:rPr>
                <w:noProof/>
                <w:spacing w:val="-6"/>
                <w:lang w:val="sk-SK"/>
              </w:rPr>
              <w:t>nemocnici pre hrudníkové choroby „Sotiria“</w:t>
            </w:r>
            <w:r w:rsidR="00AB26B3" w:rsidRPr="00AB26B3">
              <w:rPr>
                <w:noProof/>
                <w:spacing w:val="-6"/>
                <w:lang w:val="sk-SK"/>
              </w:rPr>
              <w:t xml:space="preserve"> v </w:t>
            </w:r>
            <w:r w:rsidRPr="00AB26B3">
              <w:rPr>
                <w:noProof/>
                <w:spacing w:val="-6"/>
                <w:lang w:val="sk-SK"/>
              </w:rPr>
              <w:t>Aténach</w:t>
            </w:r>
          </w:p>
        </w:tc>
        <w:tc>
          <w:tcPr>
            <w:tcW w:w="1144" w:type="dxa"/>
            <w:shd w:val="clear" w:color="auto" w:fill="C6EFCE"/>
            <w:noWrap/>
          </w:tcPr>
          <w:p w14:paraId="368CCA0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77" w:type="dxa"/>
            <w:shd w:val="clear" w:color="auto" w:fill="C6EFCE"/>
            <w:noWrap/>
          </w:tcPr>
          <w:p w14:paraId="5230425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Rádioterapeutické centrum Sotiria</w:t>
            </w:r>
          </w:p>
          <w:p w14:paraId="206DF9D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553" w:type="dxa"/>
            <w:shd w:val="clear" w:color="auto" w:fill="C6EFCE"/>
            <w:noWrap/>
          </w:tcPr>
          <w:p w14:paraId="36169F13" w14:textId="6F8D2E1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Výstavba</w:t>
            </w:r>
            <w:r w:rsidR="00AB26B3" w:rsidRPr="00AB26B3">
              <w:rPr>
                <w:noProof/>
                <w:spacing w:val="-6"/>
                <w:lang w:val="sk-SK"/>
              </w:rPr>
              <w:t xml:space="preserve"> a </w:t>
            </w:r>
            <w:r w:rsidRPr="00AB26B3">
              <w:rPr>
                <w:noProof/>
                <w:spacing w:val="-6"/>
                <w:lang w:val="sk-SK"/>
              </w:rPr>
              <w:t xml:space="preserve">zriadenie rádioterapeutického oddelenia Sotiria </w:t>
            </w:r>
          </w:p>
        </w:tc>
        <w:tc>
          <w:tcPr>
            <w:tcW w:w="1390" w:type="dxa"/>
            <w:shd w:val="clear" w:color="auto" w:fill="C6EFCE"/>
            <w:noWrap/>
          </w:tcPr>
          <w:p w14:paraId="1CE159F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0C445BA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357DCF9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3692BD1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366CC2E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880" w:type="dxa"/>
            <w:shd w:val="clear" w:color="auto" w:fill="C6EFCE"/>
            <w:noWrap/>
          </w:tcPr>
          <w:p w14:paraId="057E879E" w14:textId="0DD4B02D" w:rsidR="00302FC1" w:rsidRPr="00AB26B3" w:rsidRDefault="00D64F26">
            <w:pPr>
              <w:pStyle w:val="P68B1DB1-Normal28"/>
              <w:spacing w:after="0" w:line="240" w:lineRule="auto"/>
              <w:rPr>
                <w:noProof/>
                <w:spacing w:val="-6"/>
                <w:lang w:val="sk-SK"/>
              </w:rPr>
            </w:pPr>
            <w:r w:rsidRPr="00AB26B3">
              <w:rPr>
                <w:noProof/>
                <w:spacing w:val="-6"/>
                <w:lang w:val="sk-SK"/>
              </w:rPr>
              <w:t>Výstavba budovy</w:t>
            </w:r>
            <w:r w:rsidR="00AB26B3" w:rsidRPr="00AB26B3">
              <w:rPr>
                <w:noProof/>
                <w:spacing w:val="-6"/>
                <w:lang w:val="sk-SK"/>
              </w:rPr>
              <w:t xml:space="preserve"> v </w:t>
            </w:r>
            <w:r w:rsidRPr="00AB26B3">
              <w:rPr>
                <w:noProof/>
                <w:spacing w:val="-6"/>
                <w:lang w:val="sk-SK"/>
              </w:rPr>
              <w:t>nemocnici Sotiria na umiestnenie rádioterapeutických</w:t>
            </w:r>
            <w:r w:rsidR="00AB26B3" w:rsidRPr="00AB26B3">
              <w:rPr>
                <w:noProof/>
                <w:spacing w:val="-6"/>
                <w:lang w:val="sk-SK"/>
              </w:rPr>
              <w:t xml:space="preserve"> a </w:t>
            </w:r>
            <w:r w:rsidRPr="00AB26B3">
              <w:rPr>
                <w:noProof/>
                <w:spacing w:val="-6"/>
                <w:lang w:val="sk-SK"/>
              </w:rPr>
              <w:t>chemoterapeutických jednotiek, ambulancií</w:t>
            </w:r>
            <w:r w:rsidR="00AB26B3" w:rsidRPr="00AB26B3">
              <w:rPr>
                <w:noProof/>
                <w:spacing w:val="-6"/>
                <w:lang w:val="sk-SK"/>
              </w:rPr>
              <w:t xml:space="preserve"> a </w:t>
            </w:r>
            <w:r w:rsidRPr="00AB26B3">
              <w:rPr>
                <w:noProof/>
                <w:spacing w:val="-6"/>
                <w:lang w:val="sk-SK"/>
              </w:rPr>
              <w:t>nových laboratórnych oddelení.</w:t>
            </w:r>
          </w:p>
          <w:p w14:paraId="62256E7F" w14:textId="77777777" w:rsidR="00302FC1" w:rsidRPr="00AB26B3" w:rsidRDefault="00302FC1">
            <w:pPr>
              <w:spacing w:after="0" w:line="240" w:lineRule="auto"/>
              <w:rPr>
                <w:rFonts w:ascii="Times New Roman" w:eastAsiaTheme="minorEastAsia" w:hAnsi="Times New Roman" w:cs="Times New Roman"/>
                <w:noProof/>
                <w:color w:val="006100"/>
                <w:spacing w:val="-6"/>
                <w:sz w:val="18"/>
                <w:szCs w:val="18"/>
                <w:lang w:val="sk-SK"/>
              </w:rPr>
            </w:pPr>
          </w:p>
          <w:p w14:paraId="510CDD85" w14:textId="77777777" w:rsidR="00302FC1" w:rsidRPr="00AB26B3" w:rsidRDefault="00D64F26">
            <w:pPr>
              <w:pStyle w:val="P68B1DB1-Normal12"/>
              <w:spacing w:after="0" w:line="240" w:lineRule="auto"/>
              <w:rPr>
                <w:rFonts w:eastAsiaTheme="minorEastAsia"/>
                <w:noProof/>
                <w:spacing w:val="-6"/>
                <w:lang w:val="sk-SK"/>
              </w:rPr>
            </w:pPr>
            <w:r w:rsidRPr="00AB26B3">
              <w:rPr>
                <w:noProof/>
                <w:spacing w:val="-6"/>
                <w:lang w:val="sk-SK"/>
              </w:rPr>
              <w:t>Nové oddelenie rádioterapie nemocnice Sotiria získalo licenciu na usadenie sa.</w:t>
            </w:r>
          </w:p>
          <w:p w14:paraId="759B19EB" w14:textId="77777777" w:rsidR="00302FC1" w:rsidRPr="00AB26B3" w:rsidRDefault="00302FC1">
            <w:pPr>
              <w:spacing w:after="0" w:line="240" w:lineRule="auto"/>
              <w:rPr>
                <w:rFonts w:ascii="Times New Roman" w:eastAsiaTheme="minorEastAsia" w:hAnsi="Times New Roman" w:cs="Times New Roman"/>
                <w:noProof/>
                <w:color w:val="006100"/>
                <w:spacing w:val="-6"/>
                <w:sz w:val="18"/>
                <w:szCs w:val="18"/>
                <w:lang w:val="sk-SK"/>
              </w:rPr>
            </w:pPr>
          </w:p>
          <w:p w14:paraId="4D8F0C4E" w14:textId="77777777" w:rsidR="00AB26B3" w:rsidRPr="00AB26B3" w:rsidRDefault="00D64F26">
            <w:pPr>
              <w:pStyle w:val="P68B1DB1-Normal28"/>
              <w:spacing w:after="0" w:line="240" w:lineRule="auto"/>
              <w:rPr>
                <w:noProof/>
                <w:spacing w:val="-6"/>
                <w:lang w:val="sk-SK"/>
              </w:rPr>
            </w:pPr>
            <w:r w:rsidRPr="00AB26B3">
              <w:rPr>
                <w:noProof/>
                <w:spacing w:val="-6"/>
                <w:lang w:val="sk-SK"/>
              </w:rPr>
              <w:t>Renovácia budovy „300 Andron Men“ vrátane kliník</w:t>
            </w:r>
            <w:r w:rsidR="00AB26B3" w:rsidRPr="00AB26B3">
              <w:rPr>
                <w:noProof/>
                <w:spacing w:val="-6"/>
                <w:lang w:val="sk-SK"/>
              </w:rPr>
              <w:t>.</w:t>
            </w:r>
          </w:p>
          <w:p w14:paraId="2345F291" w14:textId="70A38E17" w:rsidR="00302FC1" w:rsidRPr="00AB26B3" w:rsidRDefault="00302FC1">
            <w:pPr>
              <w:spacing w:after="0" w:line="240" w:lineRule="auto"/>
              <w:rPr>
                <w:rFonts w:ascii="Times New Roman" w:eastAsiaTheme="minorEastAsia" w:hAnsi="Times New Roman" w:cs="Times New Roman"/>
                <w:noProof/>
                <w:color w:val="006100"/>
                <w:spacing w:val="-6"/>
                <w:sz w:val="18"/>
                <w:szCs w:val="18"/>
                <w:lang w:val="sk-SK"/>
              </w:rPr>
            </w:pPr>
          </w:p>
          <w:p w14:paraId="4D7758FA" w14:textId="0815CBA1" w:rsidR="00302FC1" w:rsidRPr="00AB26B3" w:rsidRDefault="00D64F26">
            <w:pPr>
              <w:pStyle w:val="P68B1DB1-Normal28"/>
              <w:spacing w:after="0" w:line="240" w:lineRule="auto"/>
              <w:rPr>
                <w:noProof/>
                <w:spacing w:val="-6"/>
                <w:lang w:val="sk-SK"/>
              </w:rPr>
            </w:pPr>
            <w:r w:rsidRPr="00AB26B3">
              <w:rPr>
                <w:noProof/>
                <w:spacing w:val="-6"/>
                <w:lang w:val="sk-SK"/>
              </w:rPr>
              <w:t>Výstavba mosta spájajúceho budovu „300 Andron Men“</w:t>
            </w:r>
            <w:r w:rsidR="00AB26B3" w:rsidRPr="00AB26B3">
              <w:rPr>
                <w:noProof/>
                <w:spacing w:val="-6"/>
                <w:lang w:val="sk-SK"/>
              </w:rPr>
              <w:t xml:space="preserve"> a </w:t>
            </w:r>
            <w:r w:rsidRPr="00AB26B3">
              <w:rPr>
                <w:noProof/>
                <w:spacing w:val="-6"/>
                <w:lang w:val="sk-SK"/>
              </w:rPr>
              <w:t xml:space="preserve">existujúcu sieť mostov nemocnice. </w:t>
            </w:r>
          </w:p>
        </w:tc>
      </w:tr>
      <w:tr w:rsidR="00302FC1" w:rsidRPr="00AB26B3" w14:paraId="374C52A8" w14:textId="77777777">
        <w:trPr>
          <w:trHeight w:val="313"/>
          <w:jc w:val="center"/>
        </w:trPr>
        <w:tc>
          <w:tcPr>
            <w:tcW w:w="607" w:type="dxa"/>
            <w:shd w:val="clear" w:color="auto" w:fill="C6EFCE"/>
            <w:noWrap/>
          </w:tcPr>
          <w:p w14:paraId="09BD1B4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172</w:t>
            </w:r>
          </w:p>
        </w:tc>
        <w:tc>
          <w:tcPr>
            <w:tcW w:w="2040" w:type="dxa"/>
            <w:shd w:val="clear" w:color="auto" w:fill="C6EFCE"/>
            <w:noWrap/>
          </w:tcPr>
          <w:p w14:paraId="36CCDE98" w14:textId="5538CFE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16793_ Cell &amp; Gene Therapies and Hematology Clinic Laboratories</w:t>
            </w:r>
            <w:r w:rsidR="00AB26B3" w:rsidRPr="00AB26B3">
              <w:rPr>
                <w:noProof/>
                <w:spacing w:val="-6"/>
                <w:lang w:val="sk-SK"/>
              </w:rPr>
              <w:t xml:space="preserve"> v </w:t>
            </w:r>
            <w:r w:rsidRPr="00AB26B3">
              <w:rPr>
                <w:noProof/>
                <w:spacing w:val="-6"/>
                <w:lang w:val="sk-SK"/>
              </w:rPr>
              <w:t>rámci všeobecnej nemocnice</w:t>
            </w:r>
            <w:r w:rsidR="00AB26B3" w:rsidRPr="00AB26B3">
              <w:rPr>
                <w:noProof/>
                <w:spacing w:val="-6"/>
                <w:lang w:val="sk-SK"/>
              </w:rPr>
              <w:t xml:space="preserve"> v </w:t>
            </w:r>
            <w:r w:rsidRPr="00AB26B3">
              <w:rPr>
                <w:noProof/>
                <w:spacing w:val="-6"/>
                <w:lang w:val="sk-SK"/>
              </w:rPr>
              <w:t>Solúne „Papanikolaou“</w:t>
            </w:r>
          </w:p>
        </w:tc>
        <w:tc>
          <w:tcPr>
            <w:tcW w:w="1144" w:type="dxa"/>
            <w:shd w:val="clear" w:color="auto" w:fill="C6EFCE"/>
            <w:noWrap/>
          </w:tcPr>
          <w:p w14:paraId="6C8438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77" w:type="dxa"/>
            <w:shd w:val="clear" w:color="auto" w:fill="C6EFCE"/>
            <w:noWrap/>
          </w:tcPr>
          <w:p w14:paraId="277C1515" w14:textId="2680226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Nemocnica</w:t>
            </w:r>
            <w:r w:rsidR="00AB26B3" w:rsidRPr="00AB26B3">
              <w:rPr>
                <w:noProof/>
                <w:spacing w:val="-6"/>
                <w:lang w:val="sk-SK"/>
              </w:rPr>
              <w:t xml:space="preserve"> v </w:t>
            </w:r>
            <w:r w:rsidRPr="00AB26B3">
              <w:rPr>
                <w:noProof/>
                <w:spacing w:val="-6"/>
                <w:lang w:val="sk-SK"/>
              </w:rPr>
              <w:t xml:space="preserve">Papanikolaou </w:t>
            </w:r>
          </w:p>
        </w:tc>
        <w:tc>
          <w:tcPr>
            <w:tcW w:w="1553" w:type="dxa"/>
            <w:shd w:val="clear" w:color="auto" w:fill="C6EFCE"/>
            <w:noWrap/>
          </w:tcPr>
          <w:p w14:paraId="5E4195D4" w14:textId="38FFC47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Výstavba budovy pre Cell &amp; Gene Therapy and Hematology Clinic (Klinika pre bunku</w:t>
            </w:r>
            <w:r w:rsidR="00AB26B3" w:rsidRPr="00AB26B3">
              <w:rPr>
                <w:noProof/>
                <w:spacing w:val="-6"/>
                <w:lang w:val="sk-SK"/>
              </w:rPr>
              <w:t xml:space="preserve"> a </w:t>
            </w:r>
            <w:r w:rsidRPr="00AB26B3">
              <w:rPr>
                <w:noProof/>
                <w:spacing w:val="-6"/>
                <w:lang w:val="sk-SK"/>
              </w:rPr>
              <w:t>génovú terapiu</w:t>
            </w:r>
            <w:r w:rsidR="00AB26B3" w:rsidRPr="00AB26B3">
              <w:rPr>
                <w:noProof/>
                <w:spacing w:val="-6"/>
                <w:lang w:val="sk-SK"/>
              </w:rPr>
              <w:t xml:space="preserve"> a </w:t>
            </w:r>
            <w:r w:rsidRPr="00AB26B3">
              <w:rPr>
                <w:noProof/>
                <w:spacing w:val="-6"/>
                <w:lang w:val="sk-SK"/>
              </w:rPr>
              <w:t xml:space="preserve">hematológiu) </w:t>
            </w:r>
          </w:p>
        </w:tc>
        <w:tc>
          <w:tcPr>
            <w:tcW w:w="1390" w:type="dxa"/>
            <w:shd w:val="clear" w:color="auto" w:fill="C6EFCE"/>
            <w:noWrap/>
          </w:tcPr>
          <w:p w14:paraId="151DBFA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314D669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0166A12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5941224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32CC876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880" w:type="dxa"/>
            <w:shd w:val="clear" w:color="auto" w:fill="C6EFCE"/>
            <w:noWrap/>
          </w:tcPr>
          <w:p w14:paraId="0BE8668F" w14:textId="37348371" w:rsidR="00AB26B3" w:rsidRPr="00AB26B3" w:rsidRDefault="00D64F26">
            <w:pPr>
              <w:pStyle w:val="P68B1DB1-Normal12"/>
              <w:spacing w:after="0" w:line="240" w:lineRule="auto"/>
              <w:rPr>
                <w:noProof/>
                <w:spacing w:val="-6"/>
                <w:lang w:val="sk-SK"/>
              </w:rPr>
            </w:pPr>
            <w:r w:rsidRPr="00AB26B3">
              <w:rPr>
                <w:noProof/>
                <w:spacing w:val="-6"/>
                <w:lang w:val="sk-SK"/>
              </w:rPr>
              <w:t>Výstavba budovy na umiestnenie 1) špecializovaných laboratórií Cell &amp; Gene Therapy and Hematology Clinic</w:t>
            </w:r>
            <w:r w:rsidR="00AB26B3" w:rsidRPr="00AB26B3">
              <w:rPr>
                <w:noProof/>
                <w:spacing w:val="-6"/>
                <w:lang w:val="sk-SK"/>
              </w:rPr>
              <w:t xml:space="preserve"> a </w:t>
            </w:r>
            <w:r w:rsidRPr="00AB26B3">
              <w:rPr>
                <w:noProof/>
                <w:spacing w:val="-6"/>
                <w:lang w:val="sk-SK"/>
              </w:rPr>
              <w:t>2) špeciálnej ošetrovateľskej jednotky</w:t>
            </w:r>
            <w:r w:rsidR="00AB26B3" w:rsidRPr="00AB26B3">
              <w:rPr>
                <w:noProof/>
                <w:spacing w:val="-6"/>
                <w:lang w:val="sk-SK"/>
              </w:rPr>
              <w:t>.</w:t>
            </w:r>
          </w:p>
          <w:p w14:paraId="28DD4062" w14:textId="03D7E13C"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4AFBC1F3" w14:textId="281B526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Nová budova musí dosiahnuť dopyt po primárnej energii, ktorý je aspoň</w:t>
            </w:r>
            <w:r w:rsidR="00AB26B3" w:rsidRPr="00AB26B3">
              <w:rPr>
                <w:noProof/>
                <w:spacing w:val="-6"/>
                <w:lang w:val="sk-SK"/>
              </w:rPr>
              <w:t xml:space="preserve"> o </w:t>
            </w:r>
            <w:r w:rsidRPr="00AB26B3">
              <w:rPr>
                <w:noProof/>
                <w:spacing w:val="-6"/>
                <w:lang w:val="sk-SK"/>
              </w:rPr>
              <w:t>20</w:t>
            </w:r>
            <w:r w:rsidR="00AB26B3" w:rsidRPr="00AB26B3">
              <w:rPr>
                <w:noProof/>
                <w:spacing w:val="-6"/>
                <w:lang w:val="sk-SK"/>
              </w:rPr>
              <w:t> %</w:t>
            </w:r>
            <w:r w:rsidRPr="00AB26B3">
              <w:rPr>
                <w:noProof/>
                <w:spacing w:val="-6"/>
                <w:lang w:val="sk-SK"/>
              </w:rPr>
              <w:t xml:space="preserve"> nižší ako požiadavka na budovy</w:t>
            </w:r>
            <w:r w:rsidR="00AB26B3" w:rsidRPr="00AB26B3">
              <w:rPr>
                <w:noProof/>
                <w:spacing w:val="-6"/>
                <w:lang w:val="sk-SK"/>
              </w:rPr>
              <w:t xml:space="preserve"> s </w:t>
            </w:r>
            <w:r w:rsidRPr="00AB26B3">
              <w:rPr>
                <w:noProof/>
                <w:spacing w:val="-6"/>
                <w:lang w:val="sk-SK"/>
              </w:rPr>
              <w:t>takmer nulovou spotrebou energie.</w:t>
            </w:r>
          </w:p>
        </w:tc>
      </w:tr>
      <w:tr w:rsidR="00302FC1" w:rsidRPr="00AB26B3" w14:paraId="78CF1157" w14:textId="77777777">
        <w:trPr>
          <w:trHeight w:val="313"/>
          <w:jc w:val="center"/>
        </w:trPr>
        <w:tc>
          <w:tcPr>
            <w:tcW w:w="607" w:type="dxa"/>
            <w:shd w:val="clear" w:color="auto" w:fill="C6EFCE"/>
            <w:noWrap/>
          </w:tcPr>
          <w:p w14:paraId="060BC68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173</w:t>
            </w:r>
          </w:p>
        </w:tc>
        <w:tc>
          <w:tcPr>
            <w:tcW w:w="2040" w:type="dxa"/>
            <w:shd w:val="clear" w:color="auto" w:fill="C6EFCE"/>
            <w:noWrap/>
          </w:tcPr>
          <w:p w14:paraId="0CCC1E89" w14:textId="387A985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p w14:paraId="0DBC1A0E" w14:textId="77777777" w:rsidR="00302FC1" w:rsidRPr="00AB26B3" w:rsidRDefault="00302FC1">
            <w:pPr>
              <w:spacing w:before="120" w:after="120" w:line="240" w:lineRule="auto"/>
              <w:jc w:val="center"/>
              <w:rPr>
                <w:rFonts w:ascii="Times New Roman" w:eastAsia="Times New Roman" w:hAnsi="Times New Roman" w:cs="Times New Roman"/>
                <w:noProof/>
                <w:spacing w:val="-6"/>
                <w:sz w:val="18"/>
                <w:szCs w:val="18"/>
                <w:lang w:val="sk-SK"/>
              </w:rPr>
            </w:pPr>
          </w:p>
        </w:tc>
        <w:tc>
          <w:tcPr>
            <w:tcW w:w="1144" w:type="dxa"/>
            <w:shd w:val="clear" w:color="auto" w:fill="C6EFCE"/>
            <w:noWrap/>
          </w:tcPr>
          <w:p w14:paraId="04404B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77" w:type="dxa"/>
            <w:shd w:val="clear" w:color="auto" w:fill="C6EFCE"/>
            <w:noWrap/>
          </w:tcPr>
          <w:p w14:paraId="31AF74D6" w14:textId="1A5C26E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Digitálna transformácia – všetky realizované čiastkové projekty, krok 1</w:t>
            </w:r>
          </w:p>
        </w:tc>
        <w:tc>
          <w:tcPr>
            <w:tcW w:w="1553" w:type="dxa"/>
            <w:shd w:val="clear" w:color="auto" w:fill="C6EFCE"/>
            <w:noWrap/>
          </w:tcPr>
          <w:p w14:paraId="3322065E" w14:textId="7FFDD3DC" w:rsidR="00302FC1" w:rsidRPr="00AB26B3" w:rsidRDefault="00D64F26">
            <w:pPr>
              <w:pStyle w:val="P68B1DB1-Normal12"/>
              <w:spacing w:after="0" w:line="240" w:lineRule="auto"/>
              <w:rPr>
                <w:noProof/>
                <w:spacing w:val="-6"/>
                <w:lang w:val="sk-SK"/>
              </w:rPr>
            </w:pPr>
            <w:r w:rsidRPr="00AB26B3">
              <w:rPr>
                <w:noProof/>
                <w:spacing w:val="-6"/>
                <w:lang w:val="sk-SK"/>
              </w:rPr>
              <w:t>Poskytuje sa národný digitálny zdravotný záznam pacienta</w:t>
            </w:r>
            <w:r w:rsidR="00AB26B3" w:rsidRPr="00AB26B3">
              <w:rPr>
                <w:noProof/>
                <w:spacing w:val="-6"/>
                <w:lang w:val="sk-SK"/>
              </w:rPr>
              <w:t xml:space="preserve"> a </w:t>
            </w:r>
            <w:r w:rsidRPr="00AB26B3">
              <w:rPr>
                <w:noProof/>
                <w:spacing w:val="-6"/>
                <w:lang w:val="sk-SK"/>
              </w:rPr>
              <w:t>rozširuje sa kapacita národnej siete telemedicíny</w:t>
            </w:r>
          </w:p>
        </w:tc>
        <w:tc>
          <w:tcPr>
            <w:tcW w:w="1390" w:type="dxa"/>
            <w:shd w:val="clear" w:color="auto" w:fill="C6EFCE"/>
            <w:noWrap/>
          </w:tcPr>
          <w:p w14:paraId="3B5B08B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2E69E95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3028689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19407FF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5A79A87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880" w:type="dxa"/>
            <w:shd w:val="clear" w:color="auto" w:fill="C6EFCE"/>
            <w:noWrap/>
          </w:tcPr>
          <w:p w14:paraId="08404ACD"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25825A17" w14:textId="77777777" w:rsidR="00302FC1" w:rsidRPr="00AB26B3" w:rsidRDefault="00D64F26">
            <w:pPr>
              <w:pStyle w:val="P68B1DB1-Normal12"/>
              <w:spacing w:after="0" w:line="240" w:lineRule="auto"/>
              <w:rPr>
                <w:noProof/>
                <w:spacing w:val="-6"/>
                <w:lang w:val="sk-SK"/>
              </w:rPr>
            </w:pPr>
            <w:r w:rsidRPr="00AB26B3">
              <w:rPr>
                <w:noProof/>
                <w:spacing w:val="-6"/>
                <w:lang w:val="sk-SK"/>
              </w:rPr>
              <w:t>Splnenie míľnika si vyžaduje:</w:t>
            </w:r>
          </w:p>
          <w:p w14:paraId="14C6E000" w14:textId="3B93BE73" w:rsidR="00302FC1" w:rsidRPr="00AB26B3" w:rsidRDefault="00D64F26">
            <w:pPr>
              <w:pStyle w:val="P68B1DB1-Normal12"/>
              <w:spacing w:after="0" w:line="240" w:lineRule="auto"/>
              <w:rPr>
                <w:noProof/>
                <w:spacing w:val="-6"/>
                <w:lang w:val="sk-SK"/>
              </w:rPr>
            </w:pPr>
            <w:r w:rsidRPr="00AB26B3">
              <w:rPr>
                <w:noProof/>
                <w:spacing w:val="-6"/>
                <w:lang w:val="sk-SK"/>
              </w:rPr>
              <w:t>a) poskytovanie vnútroštátnych digitálnych zdravotných záznamov vrátane rečových technológií využívajúcich umelú inteligenciu, zahrnutie rádiologických vyšetrení vykonaných</w:t>
            </w:r>
            <w:r w:rsidR="00AB26B3" w:rsidRPr="00AB26B3">
              <w:rPr>
                <w:noProof/>
                <w:spacing w:val="-6"/>
                <w:lang w:val="sk-SK"/>
              </w:rPr>
              <w:t xml:space="preserve"> v </w:t>
            </w:r>
            <w:r w:rsidRPr="00AB26B3">
              <w:rPr>
                <w:noProof/>
                <w:spacing w:val="-6"/>
                <w:lang w:val="sk-SK"/>
              </w:rPr>
              <w:t>súkromnom sektore, začlenenie procesu diagnostikovania na diaľku do registra rádiologických snímok;</w:t>
            </w:r>
          </w:p>
          <w:p w14:paraId="5EBB00DC"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471CE9D0" w14:textId="47F9D14A" w:rsidR="00302FC1" w:rsidRPr="00AB26B3" w:rsidRDefault="00D64F26">
            <w:pPr>
              <w:pStyle w:val="P68B1DB1-Normal12"/>
              <w:spacing w:after="0" w:line="240" w:lineRule="auto"/>
              <w:rPr>
                <w:noProof/>
                <w:spacing w:val="-6"/>
                <w:lang w:val="sk-SK"/>
              </w:rPr>
            </w:pPr>
            <w:r w:rsidRPr="00AB26B3">
              <w:rPr>
                <w:noProof/>
                <w:spacing w:val="-6"/>
                <w:lang w:val="sk-SK"/>
              </w:rPr>
              <w:t>b) rozšírenie kapacity národnej siete telemedicíny vrátane nových staníc telemedicíny</w:t>
            </w:r>
          </w:p>
          <w:p w14:paraId="68073D7F"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6B45B48A" w14:textId="77777777">
        <w:trPr>
          <w:trHeight w:val="313"/>
          <w:jc w:val="center"/>
        </w:trPr>
        <w:tc>
          <w:tcPr>
            <w:tcW w:w="607" w:type="dxa"/>
            <w:shd w:val="clear" w:color="auto" w:fill="C6EFCE"/>
            <w:noWrap/>
          </w:tcPr>
          <w:p w14:paraId="3AD93F80" w14:textId="77777777" w:rsidR="00302FC1" w:rsidRPr="00AB26B3" w:rsidRDefault="00D64F26">
            <w:pPr>
              <w:pStyle w:val="P68B1DB1-Normal12"/>
              <w:spacing w:after="0" w:line="240" w:lineRule="auto"/>
              <w:rPr>
                <w:noProof/>
                <w:spacing w:val="-6"/>
                <w:lang w:val="sk-SK"/>
              </w:rPr>
            </w:pPr>
            <w:r w:rsidRPr="00AB26B3">
              <w:rPr>
                <w:noProof/>
                <w:spacing w:val="-6"/>
                <w:lang w:val="sk-SK"/>
              </w:rPr>
              <w:t>173a</w:t>
            </w:r>
          </w:p>
        </w:tc>
        <w:tc>
          <w:tcPr>
            <w:tcW w:w="2040" w:type="dxa"/>
            <w:shd w:val="clear" w:color="auto" w:fill="C6EFCE"/>
            <w:noWrap/>
          </w:tcPr>
          <w:p w14:paraId="3B65E5F2" w14:textId="1DE59D8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p w14:paraId="4F334397"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144" w:type="dxa"/>
            <w:shd w:val="clear" w:color="auto" w:fill="C6EFCE"/>
            <w:noWrap/>
          </w:tcPr>
          <w:p w14:paraId="7CB4C70D"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877" w:type="dxa"/>
            <w:shd w:val="clear" w:color="auto" w:fill="C6EFCE"/>
            <w:noWrap/>
          </w:tcPr>
          <w:p w14:paraId="3E453DB3" w14:textId="2930CD2F" w:rsidR="00302FC1" w:rsidRPr="00AB26B3" w:rsidRDefault="00D64F26">
            <w:pPr>
              <w:pStyle w:val="P68B1DB1-Normal12"/>
              <w:spacing w:after="0" w:line="240" w:lineRule="auto"/>
              <w:rPr>
                <w:noProof/>
                <w:spacing w:val="-6"/>
                <w:lang w:val="sk-SK"/>
              </w:rPr>
            </w:pPr>
            <w:r w:rsidRPr="00AB26B3">
              <w:rPr>
                <w:noProof/>
                <w:spacing w:val="-6"/>
                <w:lang w:val="sk-SK"/>
              </w:rPr>
              <w:t>Digitálna transformácia – všetky realizované čiastkové projekty, krok 2</w:t>
            </w:r>
          </w:p>
        </w:tc>
        <w:tc>
          <w:tcPr>
            <w:tcW w:w="1553" w:type="dxa"/>
            <w:shd w:val="clear" w:color="auto" w:fill="C6EFCE"/>
            <w:noWrap/>
          </w:tcPr>
          <w:p w14:paraId="015CDF29" w14:textId="77777777" w:rsidR="00302FC1" w:rsidRPr="00AB26B3" w:rsidRDefault="00D64F26">
            <w:pPr>
              <w:pStyle w:val="P68B1DB1-Normal12"/>
              <w:spacing w:after="0" w:line="240" w:lineRule="auto"/>
              <w:rPr>
                <w:noProof/>
                <w:spacing w:val="-6"/>
                <w:lang w:val="sk-SK"/>
              </w:rPr>
            </w:pPr>
            <w:r w:rsidRPr="00AB26B3">
              <w:rPr>
                <w:noProof/>
                <w:spacing w:val="-6"/>
                <w:lang w:val="sk-SK"/>
              </w:rPr>
              <w:t>Zabezpečí sa digitálna pripravenosť nemocnice</w:t>
            </w:r>
          </w:p>
        </w:tc>
        <w:tc>
          <w:tcPr>
            <w:tcW w:w="1390" w:type="dxa"/>
            <w:shd w:val="clear" w:color="auto" w:fill="C6EFCE"/>
            <w:noWrap/>
          </w:tcPr>
          <w:p w14:paraId="62E9E74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425AA89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2B03BD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498B58E9"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9" w:type="dxa"/>
            <w:shd w:val="clear" w:color="auto" w:fill="C6EFCE"/>
            <w:noWrap/>
          </w:tcPr>
          <w:p w14:paraId="01DEAD34"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3880" w:type="dxa"/>
            <w:shd w:val="clear" w:color="auto" w:fill="C6EFCE"/>
            <w:noWrap/>
          </w:tcPr>
          <w:p w14:paraId="56A74D1A" w14:textId="0603AA44" w:rsidR="00302FC1" w:rsidRPr="00AB26B3" w:rsidRDefault="00D64F26">
            <w:pPr>
              <w:pStyle w:val="P68B1DB1-Normal12"/>
              <w:spacing w:after="0" w:line="240" w:lineRule="auto"/>
              <w:rPr>
                <w:noProof/>
                <w:spacing w:val="-6"/>
                <w:lang w:val="sk-SK"/>
              </w:rPr>
            </w:pPr>
            <w:r w:rsidRPr="00AB26B3">
              <w:rPr>
                <w:noProof/>
                <w:spacing w:val="-6"/>
                <w:lang w:val="sk-SK"/>
              </w:rPr>
              <w:t>Zabezpečenie digitálnej pripravenosti nemocníc vrátane: vytvorenie inventára zdravotníckeho vybavenia, interoperabilita DRG, elektronické objednávky, zriadenie a/alebo modernizácia systémov klinických informácií tak, aby zahŕňali zdravotné záznamy</w:t>
            </w:r>
            <w:r w:rsidR="00AB26B3" w:rsidRPr="00AB26B3">
              <w:rPr>
                <w:noProof/>
                <w:spacing w:val="-6"/>
                <w:lang w:val="sk-SK"/>
              </w:rPr>
              <w:t xml:space="preserve"> v </w:t>
            </w:r>
            <w:r w:rsidRPr="00AB26B3">
              <w:rPr>
                <w:noProof/>
                <w:spacing w:val="-6"/>
                <w:lang w:val="sk-SK"/>
              </w:rPr>
              <w:t>nemocniciach.</w:t>
            </w:r>
          </w:p>
        </w:tc>
      </w:tr>
      <w:tr w:rsidR="00302FC1" w:rsidRPr="00AB26B3" w14:paraId="0F16AA39" w14:textId="77777777">
        <w:trPr>
          <w:trHeight w:val="313"/>
          <w:jc w:val="center"/>
        </w:trPr>
        <w:tc>
          <w:tcPr>
            <w:tcW w:w="607" w:type="dxa"/>
            <w:shd w:val="clear" w:color="auto" w:fill="C6EFCE"/>
            <w:noWrap/>
          </w:tcPr>
          <w:p w14:paraId="6C2BF7A9" w14:textId="77777777" w:rsidR="00302FC1" w:rsidRPr="00AB26B3" w:rsidRDefault="00D64F26">
            <w:pPr>
              <w:pStyle w:val="P68B1DB1-Normal12"/>
              <w:spacing w:after="0" w:line="240" w:lineRule="auto"/>
              <w:rPr>
                <w:noProof/>
                <w:spacing w:val="-6"/>
                <w:lang w:val="sk-SK"/>
              </w:rPr>
            </w:pPr>
            <w:r w:rsidRPr="00AB26B3">
              <w:rPr>
                <w:noProof/>
                <w:spacing w:val="-6"/>
                <w:lang w:val="sk-SK"/>
              </w:rPr>
              <w:t>173b</w:t>
            </w:r>
          </w:p>
        </w:tc>
        <w:tc>
          <w:tcPr>
            <w:tcW w:w="2040" w:type="dxa"/>
            <w:shd w:val="clear" w:color="auto" w:fill="C6EFCE"/>
            <w:noWrap/>
          </w:tcPr>
          <w:p w14:paraId="6DC8ED07" w14:textId="7F3FA59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p w14:paraId="503A0F44"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144" w:type="dxa"/>
            <w:shd w:val="clear" w:color="auto" w:fill="C6EFCE"/>
            <w:noWrap/>
          </w:tcPr>
          <w:p w14:paraId="5E6888EE"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877" w:type="dxa"/>
            <w:shd w:val="clear" w:color="auto" w:fill="C6EFCE"/>
            <w:noWrap/>
          </w:tcPr>
          <w:p w14:paraId="6B59FB82" w14:textId="66992A48" w:rsidR="00302FC1" w:rsidRPr="00AB26B3" w:rsidRDefault="00D64F26">
            <w:pPr>
              <w:pStyle w:val="P68B1DB1-Normal12"/>
              <w:spacing w:after="0" w:line="240" w:lineRule="auto"/>
              <w:rPr>
                <w:noProof/>
                <w:spacing w:val="-6"/>
                <w:lang w:val="sk-SK"/>
              </w:rPr>
            </w:pPr>
            <w:r w:rsidRPr="00AB26B3">
              <w:rPr>
                <w:noProof/>
                <w:spacing w:val="-6"/>
                <w:lang w:val="sk-SK"/>
              </w:rPr>
              <w:t>Digitálna transformácia – všetky realizované čiastkové projekty, krok 3</w:t>
            </w:r>
          </w:p>
        </w:tc>
        <w:tc>
          <w:tcPr>
            <w:tcW w:w="1553" w:type="dxa"/>
            <w:shd w:val="clear" w:color="auto" w:fill="C6EFCE"/>
            <w:noWrap/>
          </w:tcPr>
          <w:p w14:paraId="2C887A36" w14:textId="28865D18" w:rsidR="00302FC1" w:rsidRPr="00AB26B3" w:rsidRDefault="00D64F26">
            <w:pPr>
              <w:pStyle w:val="P68B1DB1-Normal12"/>
              <w:spacing w:after="0" w:line="240" w:lineRule="auto"/>
              <w:rPr>
                <w:noProof/>
                <w:spacing w:val="-6"/>
                <w:lang w:val="sk-SK"/>
              </w:rPr>
            </w:pPr>
            <w:r w:rsidRPr="00AB26B3">
              <w:rPr>
                <w:noProof/>
                <w:spacing w:val="-6"/>
                <w:lang w:val="sk-SK"/>
              </w:rPr>
              <w:t>Realizuje sa program digitálnej transformácie onkologickej/hematologickej starostlivosti, modernizuje sa integrovaný informačný systém EOPYY</w:t>
            </w:r>
            <w:r w:rsidR="00AB26B3" w:rsidRPr="00AB26B3">
              <w:rPr>
                <w:noProof/>
                <w:spacing w:val="-6"/>
                <w:lang w:val="sk-SK"/>
              </w:rPr>
              <w:t xml:space="preserve"> a </w:t>
            </w:r>
            <w:r w:rsidRPr="00AB26B3">
              <w:rPr>
                <w:noProof/>
                <w:spacing w:val="-6"/>
                <w:lang w:val="sk-SK"/>
              </w:rPr>
              <w:t>systém elektronického predpisovania liekov sa rozširuje tak, aby zahŕňal ústavnú starostlivosť.</w:t>
            </w:r>
          </w:p>
        </w:tc>
        <w:tc>
          <w:tcPr>
            <w:tcW w:w="1390" w:type="dxa"/>
            <w:shd w:val="clear" w:color="auto" w:fill="C6EFCE"/>
            <w:noWrap/>
          </w:tcPr>
          <w:p w14:paraId="0AC5463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4D240C6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8" w:type="dxa"/>
            <w:shd w:val="clear" w:color="auto" w:fill="C6EFCE"/>
            <w:noWrap/>
          </w:tcPr>
          <w:p w14:paraId="7AFC32B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38318C63"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9" w:type="dxa"/>
            <w:shd w:val="clear" w:color="auto" w:fill="C6EFCE"/>
            <w:noWrap/>
          </w:tcPr>
          <w:p w14:paraId="5FE394F2"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3880" w:type="dxa"/>
            <w:shd w:val="clear" w:color="auto" w:fill="C6EFCE"/>
            <w:noWrap/>
          </w:tcPr>
          <w:p w14:paraId="38D5DFBB" w14:textId="1DF4E97C" w:rsidR="00302FC1" w:rsidRPr="00AB26B3" w:rsidRDefault="00D64F26">
            <w:pPr>
              <w:pStyle w:val="P68B1DB1-ListParagraph30"/>
              <w:numPr>
                <w:ilvl w:val="0"/>
                <w:numId w:val="25"/>
              </w:numPr>
              <w:spacing w:after="0" w:line="240" w:lineRule="auto"/>
              <w:rPr>
                <w:noProof/>
                <w:spacing w:val="-6"/>
                <w:lang w:val="sk-SK"/>
              </w:rPr>
            </w:pPr>
            <w:r w:rsidRPr="00AB26B3">
              <w:rPr>
                <w:noProof/>
                <w:spacing w:val="-6"/>
                <w:lang w:val="sk-SK"/>
              </w:rPr>
              <w:t>realizácia programu digitálnej transformácie onkologickej/hematologickej starostlivosti vrátane: Informačný systém pre liečbu rakoviny</w:t>
            </w:r>
            <w:r w:rsidR="00AB26B3" w:rsidRPr="00AB26B3">
              <w:rPr>
                <w:noProof/>
                <w:spacing w:val="-6"/>
                <w:lang w:val="sk-SK"/>
              </w:rPr>
              <w:t xml:space="preserve"> v </w:t>
            </w:r>
            <w:r w:rsidRPr="00AB26B3">
              <w:rPr>
                <w:noProof/>
                <w:spacing w:val="-6"/>
                <w:lang w:val="sk-SK"/>
              </w:rPr>
              <w:t>najmenej 12 nemocniciach (vrátane terapeutických protokolov pre chemoterapiu), zavedenie/zriadenie národného registra rakoviny, rozšírenie registra pacientov</w:t>
            </w:r>
            <w:r w:rsidR="00AB26B3" w:rsidRPr="00AB26B3">
              <w:rPr>
                <w:noProof/>
                <w:spacing w:val="-6"/>
                <w:lang w:val="sk-SK"/>
              </w:rPr>
              <w:t xml:space="preserve"> o </w:t>
            </w:r>
            <w:r w:rsidRPr="00AB26B3">
              <w:rPr>
                <w:noProof/>
                <w:spacing w:val="-6"/>
                <w:lang w:val="sk-SK"/>
              </w:rPr>
              <w:t>pacientov</w:t>
            </w:r>
            <w:r w:rsidR="00AB26B3" w:rsidRPr="00AB26B3">
              <w:rPr>
                <w:noProof/>
                <w:spacing w:val="-6"/>
                <w:lang w:val="sk-SK"/>
              </w:rPr>
              <w:t xml:space="preserve"> s </w:t>
            </w:r>
            <w:r w:rsidRPr="00AB26B3">
              <w:rPr>
                <w:noProof/>
                <w:spacing w:val="-6"/>
                <w:lang w:val="sk-SK"/>
              </w:rPr>
              <w:t>nezhubnými nádormi</w:t>
            </w:r>
          </w:p>
          <w:p w14:paraId="7FF4DE46" w14:textId="77777777" w:rsidR="00302FC1" w:rsidRPr="00AB26B3" w:rsidRDefault="00302FC1">
            <w:pPr>
              <w:pStyle w:val="ListParagraph"/>
              <w:spacing w:after="0" w:line="240" w:lineRule="auto"/>
              <w:ind w:hanging="360"/>
              <w:rPr>
                <w:rFonts w:ascii="Times New Roman" w:eastAsiaTheme="minorEastAsia" w:hAnsi="Times New Roman" w:cs="Times New Roman"/>
                <w:noProof/>
                <w:color w:val="006100"/>
                <w:spacing w:val="-6"/>
                <w:sz w:val="18"/>
                <w:szCs w:val="18"/>
                <w:lang w:val="sk-SK"/>
              </w:rPr>
            </w:pPr>
          </w:p>
          <w:p w14:paraId="746BF9C4" w14:textId="112A2E4D" w:rsidR="00302FC1" w:rsidRPr="00AB26B3" w:rsidRDefault="00D64F26">
            <w:pPr>
              <w:pStyle w:val="P68B1DB1-ListParagraph30"/>
              <w:numPr>
                <w:ilvl w:val="0"/>
                <w:numId w:val="25"/>
              </w:numPr>
              <w:spacing w:after="0" w:line="240" w:lineRule="auto"/>
              <w:rPr>
                <w:noProof/>
                <w:spacing w:val="-6"/>
                <w:lang w:val="sk-SK"/>
              </w:rPr>
            </w:pPr>
            <w:r w:rsidRPr="00AB26B3">
              <w:rPr>
                <w:noProof/>
                <w:spacing w:val="-6"/>
                <w:lang w:val="sk-SK"/>
              </w:rPr>
              <w:t>digitálna modernizácia integrovaného informačného systému EOPYY (Národná organizácia pre poskytovanie zdravotníckych služieb) vrátane riadenia</w:t>
            </w:r>
            <w:r w:rsidR="00AB26B3" w:rsidRPr="00AB26B3">
              <w:rPr>
                <w:noProof/>
                <w:spacing w:val="-6"/>
                <w:lang w:val="sk-SK"/>
              </w:rPr>
              <w:t xml:space="preserve"> a </w:t>
            </w:r>
            <w:r w:rsidRPr="00AB26B3">
              <w:rPr>
                <w:noProof/>
                <w:spacing w:val="-6"/>
                <w:lang w:val="sk-SK"/>
              </w:rPr>
              <w:t>monitorovania výdavkov, správy údajov, analýzy</w:t>
            </w:r>
            <w:r w:rsidR="00AB26B3" w:rsidRPr="00AB26B3">
              <w:rPr>
                <w:noProof/>
                <w:spacing w:val="-6"/>
                <w:lang w:val="sk-SK"/>
              </w:rPr>
              <w:t xml:space="preserve"> a </w:t>
            </w:r>
            <w:r w:rsidRPr="00AB26B3">
              <w:rPr>
                <w:noProof/>
                <w:spacing w:val="-6"/>
                <w:lang w:val="sk-SK"/>
              </w:rPr>
              <w:t>interoperability</w:t>
            </w:r>
            <w:r w:rsidR="00AB26B3" w:rsidRPr="00AB26B3">
              <w:rPr>
                <w:noProof/>
                <w:spacing w:val="-6"/>
                <w:lang w:val="sk-SK"/>
              </w:rPr>
              <w:t xml:space="preserve"> s </w:t>
            </w:r>
            <w:r w:rsidRPr="00AB26B3">
              <w:rPr>
                <w:noProof/>
                <w:spacing w:val="-6"/>
                <w:lang w:val="sk-SK"/>
              </w:rPr>
              <w:t>tretími stranami</w:t>
            </w:r>
          </w:p>
          <w:p w14:paraId="4FBFF70B" w14:textId="047CCF06" w:rsidR="00302FC1" w:rsidRPr="00AB26B3" w:rsidRDefault="00D64F26">
            <w:pPr>
              <w:pStyle w:val="P68B1DB1-ListParagraph30"/>
              <w:numPr>
                <w:ilvl w:val="0"/>
                <w:numId w:val="25"/>
              </w:numPr>
              <w:spacing w:after="0" w:line="240" w:lineRule="auto"/>
              <w:rPr>
                <w:noProof/>
                <w:spacing w:val="-6"/>
                <w:lang w:val="sk-SK"/>
              </w:rPr>
            </w:pPr>
            <w:r w:rsidRPr="00AB26B3">
              <w:rPr>
                <w:noProof/>
                <w:spacing w:val="-6"/>
                <w:lang w:val="sk-SK"/>
              </w:rPr>
              <w:t>Rozšírenie systému elektronického predpisovania liekov na nemocničnú starostlivosť</w:t>
            </w:r>
          </w:p>
          <w:p w14:paraId="391C55DC" w14:textId="77777777" w:rsidR="00302FC1" w:rsidRPr="00AB26B3" w:rsidRDefault="00302FC1">
            <w:pPr>
              <w:spacing w:after="0" w:line="240" w:lineRule="auto"/>
              <w:rPr>
                <w:rFonts w:ascii="Times New Roman" w:eastAsiaTheme="minorEastAsia" w:hAnsi="Times New Roman" w:cs="Times New Roman"/>
                <w:noProof/>
                <w:color w:val="006100"/>
                <w:spacing w:val="-6"/>
                <w:sz w:val="18"/>
                <w:szCs w:val="18"/>
                <w:lang w:val="sk-SK"/>
              </w:rPr>
            </w:pPr>
          </w:p>
        </w:tc>
      </w:tr>
    </w:tbl>
    <w:p w14:paraId="738D0341" w14:textId="7777777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15FC0">
          <w:headerReference w:type="default" r:id="rId190"/>
          <w:footerReference w:type="default" r:id="rId191"/>
          <w:pgSz w:w="16839" w:h="11907" w:orient="landscape"/>
          <w:pgMar w:top="720" w:right="720" w:bottom="720" w:left="720" w:header="709" w:footer="217" w:gutter="0"/>
          <w:cols w:space="720"/>
          <w:docGrid w:linePitch="360"/>
        </w:sectPr>
      </w:pPr>
    </w:p>
    <w:p w14:paraId="753F9E0E" w14:textId="35A9E8D8" w:rsidR="00302FC1" w:rsidRPr="00AB26B3" w:rsidRDefault="00D64F26">
      <w:pPr>
        <w:pStyle w:val="P68B1DB1-Normal16"/>
        <w:spacing w:before="120" w:after="120" w:line="240" w:lineRule="auto"/>
        <w:ind w:firstLine="6"/>
        <w:jc w:val="both"/>
        <w:outlineLvl w:val="3"/>
        <w:rPr>
          <w:rFonts w:cs="Times New Roman"/>
          <w:noProof/>
          <w:spacing w:val="-6"/>
          <w:szCs w:val="24"/>
          <w:lang w:val="sk-SK"/>
        </w:rPr>
      </w:pPr>
      <w:r w:rsidRPr="00AB26B3">
        <w:rPr>
          <w:noProof/>
          <w:spacing w:val="-6"/>
          <w:lang w:val="sk-SK"/>
        </w:rPr>
        <w:t>K. ZLOŽKA 3.4: ZLEPŠENIE PRÍSTUPU</w:t>
      </w:r>
      <w:r w:rsidR="00AB26B3" w:rsidRPr="00AB26B3">
        <w:rPr>
          <w:noProof/>
          <w:spacing w:val="-6"/>
          <w:lang w:val="sk-SK"/>
        </w:rPr>
        <w:t xml:space="preserve"> K </w:t>
      </w:r>
      <w:r w:rsidRPr="00AB26B3">
        <w:rPr>
          <w:noProof/>
          <w:spacing w:val="-6"/>
          <w:lang w:val="sk-SK"/>
        </w:rPr>
        <w:t>ÚČINNÝM A INKLUZÍVNYM SOCIÁLNYM POLITIKÁM</w:t>
      </w:r>
    </w:p>
    <w:p w14:paraId="249F77CC" w14:textId="36154CE7"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Cieľom tejto zložky gréckeho plánu obnovy</w:t>
      </w:r>
      <w:r w:rsidR="00AB26B3" w:rsidRPr="00AB26B3">
        <w:rPr>
          <w:noProof/>
          <w:spacing w:val="-6"/>
          <w:lang w:val="sk-SK"/>
        </w:rPr>
        <w:t xml:space="preserve"> a </w:t>
      </w:r>
      <w:r w:rsidRPr="00AB26B3">
        <w:rPr>
          <w:noProof/>
          <w:spacing w:val="-6"/>
          <w:lang w:val="sk-SK"/>
        </w:rPr>
        <w:t>riešenia krízových situácií je podporovať sociálne začlenenie</w:t>
      </w:r>
      <w:r w:rsidR="00AB26B3" w:rsidRPr="00AB26B3">
        <w:rPr>
          <w:noProof/>
          <w:spacing w:val="-6"/>
          <w:lang w:val="sk-SK"/>
        </w:rPr>
        <w:t xml:space="preserve"> s </w:t>
      </w:r>
      <w:r w:rsidRPr="00AB26B3">
        <w:rPr>
          <w:noProof/>
          <w:spacing w:val="-6"/>
          <w:lang w:val="sk-SK"/>
        </w:rPr>
        <w:t>osobitným zameraním na zraniteľné skupiny</w:t>
      </w:r>
      <w:r w:rsidR="00AB26B3" w:rsidRPr="00AB26B3">
        <w:rPr>
          <w:noProof/>
          <w:spacing w:val="-6"/>
          <w:lang w:val="sk-SK"/>
        </w:rPr>
        <w:t xml:space="preserve"> a </w:t>
      </w:r>
      <w:r w:rsidRPr="00AB26B3">
        <w:rPr>
          <w:noProof/>
          <w:spacing w:val="-6"/>
          <w:lang w:val="sk-SK"/>
        </w:rPr>
        <w:t>zároveň podporovať účasť žien na trhu práce. Veľká časť tohto komponentu je určená na vzdelávanie</w:t>
      </w:r>
      <w:r w:rsidR="00AB26B3" w:rsidRPr="00AB26B3">
        <w:rPr>
          <w:noProof/>
          <w:spacing w:val="-6"/>
          <w:lang w:val="sk-SK"/>
        </w:rPr>
        <w:t xml:space="preserve"> a </w:t>
      </w:r>
      <w:r w:rsidRPr="00AB26B3">
        <w:rPr>
          <w:noProof/>
          <w:spacing w:val="-6"/>
          <w:lang w:val="sk-SK"/>
        </w:rPr>
        <w:t>starostlivosť</w:t>
      </w:r>
      <w:r w:rsidR="00AB26B3" w:rsidRPr="00AB26B3">
        <w:rPr>
          <w:noProof/>
          <w:spacing w:val="-6"/>
          <w:lang w:val="sk-SK"/>
        </w:rPr>
        <w:t xml:space="preserve"> v </w:t>
      </w:r>
      <w:r w:rsidRPr="00AB26B3">
        <w:rPr>
          <w:noProof/>
          <w:spacing w:val="-6"/>
          <w:lang w:val="sk-SK"/>
        </w:rPr>
        <w:t>ranom detstve, najmä vo forme dotácií na vytvorenie 1000 nových zariadení starostlivosti</w:t>
      </w:r>
      <w:r w:rsidR="00AB26B3" w:rsidRPr="00AB26B3">
        <w:rPr>
          <w:noProof/>
          <w:spacing w:val="-6"/>
          <w:lang w:val="sk-SK"/>
        </w:rPr>
        <w:t xml:space="preserve"> o </w:t>
      </w:r>
      <w:r w:rsidRPr="00AB26B3">
        <w:rPr>
          <w:noProof/>
          <w:spacing w:val="-6"/>
          <w:lang w:val="sk-SK"/>
        </w:rPr>
        <w:t>deti</w:t>
      </w:r>
      <w:r w:rsidR="00AB26B3" w:rsidRPr="00AB26B3">
        <w:rPr>
          <w:noProof/>
          <w:spacing w:val="-6"/>
          <w:lang w:val="sk-SK"/>
        </w:rPr>
        <w:t xml:space="preserve"> v </w:t>
      </w:r>
      <w:r w:rsidRPr="00AB26B3">
        <w:rPr>
          <w:noProof/>
          <w:spacing w:val="-6"/>
          <w:lang w:val="sk-SK"/>
        </w:rPr>
        <w:t>obciach. Plán umožňuje aj aktivačné opatrenia na trhu práce pre zraniteľné skupiny vrátane príjemcov zaručeného minimálneho príjmu, utečencov, bezdomovcov, Rómov</w:t>
      </w:r>
      <w:r w:rsidR="00AB26B3" w:rsidRPr="00AB26B3">
        <w:rPr>
          <w:noProof/>
          <w:spacing w:val="-6"/>
          <w:lang w:val="sk-SK"/>
        </w:rPr>
        <w:t xml:space="preserve"> a </w:t>
      </w:r>
      <w:r w:rsidRPr="00AB26B3">
        <w:rPr>
          <w:noProof/>
          <w:spacing w:val="-6"/>
          <w:lang w:val="sk-SK"/>
        </w:rPr>
        <w:t>ľudí trpiacich poruchami autistického spektra. Medzi kľúčové prvky plánu patrí aj rozsiahly program odbornej prípravy pre malé podniky</w:t>
      </w:r>
      <w:r w:rsidR="00AB26B3" w:rsidRPr="00AB26B3">
        <w:rPr>
          <w:noProof/>
          <w:spacing w:val="-6"/>
          <w:lang w:val="sk-SK"/>
        </w:rPr>
        <w:t xml:space="preserve"> v </w:t>
      </w:r>
      <w:r w:rsidRPr="00AB26B3">
        <w:rPr>
          <w:noProof/>
          <w:spacing w:val="-6"/>
          <w:lang w:val="sk-SK"/>
        </w:rPr>
        <w:t>oblasti informovanosti</w:t>
      </w:r>
      <w:r w:rsidR="00AB26B3" w:rsidRPr="00AB26B3">
        <w:rPr>
          <w:noProof/>
          <w:spacing w:val="-6"/>
          <w:lang w:val="sk-SK"/>
        </w:rPr>
        <w:t xml:space="preserve"> o </w:t>
      </w:r>
      <w:r w:rsidRPr="00AB26B3">
        <w:rPr>
          <w:noProof/>
          <w:spacing w:val="-6"/>
          <w:lang w:val="sk-SK"/>
        </w:rPr>
        <w:t>rozmanitosti</w:t>
      </w:r>
      <w:r w:rsidR="00AB26B3" w:rsidRPr="00AB26B3">
        <w:rPr>
          <w:noProof/>
          <w:spacing w:val="-6"/>
          <w:lang w:val="sk-SK"/>
        </w:rPr>
        <w:t xml:space="preserve"> a </w:t>
      </w:r>
      <w:r w:rsidRPr="00AB26B3">
        <w:rPr>
          <w:noProof/>
          <w:spacing w:val="-6"/>
          <w:lang w:val="sk-SK"/>
        </w:rPr>
        <w:t>niekoľko malých pilotných projektov, ako je deinštitucionalizácia detí, podpora osôb so zdravotným postihnutím</w:t>
      </w:r>
      <w:r w:rsidR="00AB26B3" w:rsidRPr="00AB26B3">
        <w:rPr>
          <w:noProof/>
          <w:spacing w:val="-6"/>
          <w:lang w:val="sk-SK"/>
        </w:rPr>
        <w:t xml:space="preserve"> a </w:t>
      </w:r>
      <w:r w:rsidRPr="00AB26B3">
        <w:rPr>
          <w:noProof/>
          <w:spacing w:val="-6"/>
          <w:lang w:val="sk-SK"/>
        </w:rPr>
        <w:t>sociálne bývanie.</w:t>
      </w:r>
      <w:r w:rsidRPr="00AB26B3">
        <w:rPr>
          <w:noProof/>
          <w:color w:val="000000"/>
          <w:spacing w:val="-6"/>
          <w:shd w:val="clear" w:color="auto" w:fill="FFFFFF"/>
          <w:lang w:val="sk-SK"/>
        </w:rPr>
        <w:t xml:space="preserve"> Zložka je</w:t>
      </w:r>
      <w:r w:rsidR="00AB26B3" w:rsidRPr="00AB26B3">
        <w:rPr>
          <w:noProof/>
          <w:color w:val="000000"/>
          <w:spacing w:val="-6"/>
          <w:shd w:val="clear" w:color="auto" w:fill="FFFFFF"/>
          <w:lang w:val="sk-SK"/>
        </w:rPr>
        <w:t xml:space="preserve"> v </w:t>
      </w:r>
      <w:r w:rsidRPr="00AB26B3">
        <w:rPr>
          <w:noProof/>
          <w:color w:val="000000"/>
          <w:spacing w:val="-6"/>
          <w:shd w:val="clear" w:color="auto" w:fill="FFFFFF"/>
          <w:lang w:val="sk-SK"/>
        </w:rPr>
        <w:t>súlade</w:t>
      </w:r>
      <w:r w:rsidR="00AB26B3" w:rsidRPr="00AB26B3">
        <w:rPr>
          <w:noProof/>
          <w:color w:val="000000"/>
          <w:spacing w:val="-6"/>
          <w:shd w:val="clear" w:color="auto" w:fill="FFFFFF"/>
          <w:lang w:val="sk-SK"/>
        </w:rPr>
        <w:t xml:space="preserve"> s </w:t>
      </w:r>
      <w:r w:rsidRPr="00AB26B3">
        <w:rPr>
          <w:noProof/>
          <w:color w:val="000000"/>
          <w:spacing w:val="-6"/>
          <w:shd w:val="clear" w:color="auto" w:fill="FFFFFF"/>
          <w:lang w:val="sk-SK"/>
        </w:rPr>
        <w:t>odporúčaniami pre Španielsko týkajúcimi sa trhu práce</w:t>
      </w:r>
      <w:r w:rsidR="00AB26B3" w:rsidRPr="00AB26B3">
        <w:rPr>
          <w:noProof/>
          <w:color w:val="000000"/>
          <w:spacing w:val="-6"/>
          <w:shd w:val="clear" w:color="auto" w:fill="FFFFFF"/>
          <w:lang w:val="sk-SK"/>
        </w:rPr>
        <w:t xml:space="preserve"> a </w:t>
      </w:r>
      <w:r w:rsidRPr="00AB26B3">
        <w:rPr>
          <w:noProof/>
          <w:color w:val="000000"/>
          <w:spacing w:val="-6"/>
          <w:shd w:val="clear" w:color="auto" w:fill="FFFFFF"/>
          <w:lang w:val="sk-SK"/>
        </w:rPr>
        <w:t xml:space="preserve">sociálnej politiky (odporúčania pre Španielsko </w:t>
      </w:r>
      <w:r w:rsidR="00AB26B3" w:rsidRPr="00AB26B3">
        <w:rPr>
          <w:noProof/>
          <w:color w:val="000000"/>
          <w:spacing w:val="-6"/>
          <w:shd w:val="clear" w:color="auto" w:fill="FFFFFF"/>
          <w:lang w:val="sk-SK"/>
        </w:rPr>
        <w:t>č. </w:t>
      </w:r>
      <w:r w:rsidRPr="00AB26B3">
        <w:rPr>
          <w:noProof/>
          <w:color w:val="000000"/>
          <w:spacing w:val="-6"/>
          <w:shd w:val="clear" w:color="auto" w:fill="FFFFFF"/>
          <w:lang w:val="sk-SK"/>
        </w:rPr>
        <w:t>2 2020</w:t>
      </w:r>
      <w:r w:rsidR="00AB26B3" w:rsidRPr="00AB26B3">
        <w:rPr>
          <w:noProof/>
          <w:color w:val="000000"/>
          <w:spacing w:val="-6"/>
          <w:shd w:val="clear" w:color="auto" w:fill="FFFFFF"/>
          <w:lang w:val="sk-SK"/>
        </w:rPr>
        <w:t xml:space="preserve"> a </w:t>
      </w:r>
      <w:r w:rsidRPr="00AB26B3">
        <w:rPr>
          <w:noProof/>
          <w:color w:val="000000"/>
          <w:spacing w:val="-6"/>
          <w:shd w:val="clear" w:color="auto" w:fill="FFFFFF"/>
          <w:lang w:val="sk-SK"/>
        </w:rPr>
        <w:t>1 2019)</w:t>
      </w:r>
      <w:r w:rsidR="00AB26B3" w:rsidRPr="00AB26B3">
        <w:rPr>
          <w:noProof/>
          <w:color w:val="000000"/>
          <w:spacing w:val="-6"/>
          <w:shd w:val="clear" w:color="auto" w:fill="FFFFFF"/>
          <w:lang w:val="sk-SK"/>
        </w:rPr>
        <w:t xml:space="preserve"> a </w:t>
      </w:r>
      <w:r w:rsidRPr="00AB26B3">
        <w:rPr>
          <w:noProof/>
          <w:color w:val="000000"/>
          <w:spacing w:val="-6"/>
          <w:shd w:val="clear" w:color="auto" w:fill="FFFFFF"/>
          <w:lang w:val="sk-SK"/>
        </w:rPr>
        <w:t xml:space="preserve">investícií (odporúčania pre Španielsko </w:t>
      </w:r>
      <w:r w:rsidR="00AB26B3" w:rsidRPr="00AB26B3">
        <w:rPr>
          <w:noProof/>
          <w:color w:val="000000"/>
          <w:spacing w:val="-6"/>
          <w:shd w:val="clear" w:color="auto" w:fill="FFFFFF"/>
          <w:lang w:val="sk-SK"/>
        </w:rPr>
        <w:t>č. </w:t>
      </w:r>
      <w:r w:rsidRPr="00AB26B3">
        <w:rPr>
          <w:noProof/>
          <w:color w:val="000000"/>
          <w:spacing w:val="-6"/>
          <w:shd w:val="clear" w:color="auto" w:fill="FFFFFF"/>
          <w:lang w:val="sk-SK"/>
        </w:rPr>
        <w:t>3 2020</w:t>
      </w:r>
      <w:r w:rsidR="00AB26B3" w:rsidRPr="00AB26B3">
        <w:rPr>
          <w:noProof/>
          <w:color w:val="000000"/>
          <w:spacing w:val="-6"/>
          <w:shd w:val="clear" w:color="auto" w:fill="FFFFFF"/>
          <w:lang w:val="sk-SK"/>
        </w:rPr>
        <w:t xml:space="preserve"> a </w:t>
      </w:r>
      <w:r w:rsidRPr="00AB26B3">
        <w:rPr>
          <w:noProof/>
          <w:color w:val="000000"/>
          <w:spacing w:val="-6"/>
          <w:shd w:val="clear" w:color="auto" w:fill="FFFFFF"/>
          <w:lang w:val="sk-SK"/>
        </w:rPr>
        <w:t xml:space="preserve">2 2019). </w:t>
      </w:r>
      <w:r w:rsidRPr="00AB26B3">
        <w:rPr>
          <w:noProof/>
          <w:spacing w:val="-6"/>
          <w:lang w:val="sk-SK"/>
        </w:rPr>
        <w:t>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574DDE51" w14:textId="77777777" w:rsidR="00302FC1" w:rsidRPr="00AB26B3" w:rsidRDefault="00302FC1">
      <w:pPr>
        <w:spacing w:before="120" w:after="120" w:line="240" w:lineRule="auto"/>
        <w:jc w:val="both"/>
        <w:rPr>
          <w:rFonts w:ascii="Times New Roman" w:hAnsi="Times New Roman"/>
          <w:b/>
          <w:noProof/>
          <w:spacing w:val="-6"/>
          <w:sz w:val="24"/>
          <w:u w:val="single"/>
          <w:lang w:val="sk-SK"/>
        </w:rPr>
      </w:pPr>
    </w:p>
    <w:p w14:paraId="14C39891" w14:textId="012FC414" w:rsidR="00302FC1" w:rsidRPr="00AB26B3" w:rsidRDefault="00D64F26">
      <w:pPr>
        <w:pStyle w:val="P68B1DB1-Normal6"/>
        <w:spacing w:before="120" w:after="120" w:line="240" w:lineRule="auto"/>
        <w:jc w:val="both"/>
        <w:rPr>
          <w:rFonts w:cs="Times New Roman"/>
          <w:i/>
          <w:noProof/>
          <w:color w:val="4F81BD"/>
          <w:spacing w:val="-6"/>
          <w:szCs w:val="24"/>
          <w:lang w:val="sk-SK"/>
        </w:rPr>
      </w:pPr>
      <w:r w:rsidRPr="00AB26B3">
        <w:rPr>
          <w:noProof/>
          <w:spacing w:val="-6"/>
          <w:lang w:val="sk-SK"/>
        </w:rPr>
        <w:t>K.1.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2EC0A2C8" w14:textId="77777777" w:rsidR="00302FC1" w:rsidRPr="00AB26B3" w:rsidRDefault="00D64F26">
      <w:pPr>
        <w:pStyle w:val="P68B1DB1-Normal5"/>
        <w:spacing w:before="120" w:after="120" w:line="240" w:lineRule="auto"/>
        <w:jc w:val="both"/>
        <w:rPr>
          <w:rFonts w:cs="Times New Roman"/>
          <w:noProof/>
          <w:spacing w:val="-6"/>
          <w:szCs w:val="24"/>
          <w:lang w:val="sk-SK"/>
        </w:rPr>
      </w:pPr>
      <w:r w:rsidRPr="00AB26B3">
        <w:rPr>
          <w:b/>
          <w:noProof/>
          <w:spacing w:val="-6"/>
          <w:lang w:val="sk-SK"/>
        </w:rPr>
        <w:t xml:space="preserve">Reforma: Ochrana </w:t>
      </w:r>
      <w:r w:rsidRPr="00AB26B3">
        <w:rPr>
          <w:noProof/>
          <w:spacing w:val="-6"/>
          <w:lang w:val="sk-SK"/>
        </w:rPr>
        <w:t>dieťaťa (identifikačné číslo opatrenia: 16919)</w:t>
      </w:r>
    </w:p>
    <w:p w14:paraId="2E839895" w14:textId="34E94CD4"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podporiť ochranu detí. Opatrenie pozostáva</w:t>
      </w:r>
      <w:r w:rsidR="00AB26B3" w:rsidRPr="00AB26B3">
        <w:rPr>
          <w:noProof/>
          <w:spacing w:val="-6"/>
          <w:lang w:val="sk-SK"/>
        </w:rPr>
        <w:t xml:space="preserve"> z </w:t>
      </w:r>
      <w:r w:rsidRPr="00AB26B3">
        <w:rPr>
          <w:noProof/>
          <w:spacing w:val="-6"/>
          <w:lang w:val="sk-SK"/>
        </w:rPr>
        <w:t>investícií umožňujúcich deinštitucionalizáciu</w:t>
      </w:r>
      <w:r w:rsidR="00AB26B3" w:rsidRPr="00AB26B3">
        <w:rPr>
          <w:noProof/>
          <w:spacing w:val="-6"/>
          <w:lang w:val="sk-SK"/>
        </w:rPr>
        <w:t xml:space="preserve"> a </w:t>
      </w:r>
      <w:r w:rsidRPr="00AB26B3">
        <w:rPr>
          <w:noProof/>
          <w:spacing w:val="-6"/>
          <w:lang w:val="sk-SK"/>
        </w:rPr>
        <w:t>zlepšenie zamestnateľnosti osôb do 26 rokov</w:t>
      </w:r>
      <w:r w:rsidR="00AB26B3" w:rsidRPr="00AB26B3">
        <w:rPr>
          <w:noProof/>
          <w:spacing w:val="-6"/>
          <w:lang w:val="sk-SK"/>
        </w:rPr>
        <w:t>.</w:t>
      </w:r>
    </w:p>
    <w:p w14:paraId="1D7A2F6B" w14:textId="7FDBCE3B"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Zdravotné postihnutie (identifikačné číslo opatrenia: 16904)</w:t>
      </w:r>
    </w:p>
    <w:p w14:paraId="42C1BD52" w14:textId="6F09E280"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podporiť sociálne začlenenie, nezávislý život, zamestnateľnosť</w:t>
      </w:r>
      <w:r w:rsidR="00AB26B3" w:rsidRPr="00AB26B3">
        <w:rPr>
          <w:noProof/>
          <w:spacing w:val="-6"/>
          <w:lang w:val="sk-SK"/>
        </w:rPr>
        <w:t xml:space="preserve"> a </w:t>
      </w:r>
      <w:r w:rsidRPr="00AB26B3">
        <w:rPr>
          <w:noProof/>
          <w:spacing w:val="-6"/>
          <w:lang w:val="sk-SK"/>
        </w:rPr>
        <w:t>intervenciu</w:t>
      </w:r>
      <w:r w:rsidR="00AB26B3" w:rsidRPr="00AB26B3">
        <w:rPr>
          <w:noProof/>
          <w:spacing w:val="-6"/>
          <w:lang w:val="sk-SK"/>
        </w:rPr>
        <w:t xml:space="preserve"> v </w:t>
      </w:r>
      <w:r w:rsidRPr="00AB26B3">
        <w:rPr>
          <w:noProof/>
          <w:spacing w:val="-6"/>
          <w:lang w:val="sk-SK"/>
        </w:rPr>
        <w:t>ranom detstve pre osoby so zdravotným postihnutím. Opatrenie spočíva</w:t>
      </w:r>
      <w:r w:rsidR="00AB26B3" w:rsidRPr="00AB26B3">
        <w:rPr>
          <w:noProof/>
          <w:spacing w:val="-6"/>
          <w:lang w:val="sk-SK"/>
        </w:rPr>
        <w:t xml:space="preserve"> v </w:t>
      </w:r>
      <w:r w:rsidRPr="00AB26B3">
        <w:rPr>
          <w:noProof/>
          <w:spacing w:val="-6"/>
          <w:lang w:val="sk-SK"/>
        </w:rPr>
        <w:t>poskytovaní: a) financovanie prístupnosti</w:t>
      </w:r>
      <w:r w:rsidR="00AB26B3" w:rsidRPr="00AB26B3">
        <w:rPr>
          <w:noProof/>
          <w:spacing w:val="-6"/>
          <w:lang w:val="sk-SK"/>
        </w:rPr>
        <w:t xml:space="preserve"> a </w:t>
      </w:r>
      <w:r w:rsidRPr="00AB26B3">
        <w:rPr>
          <w:noProof/>
          <w:spacing w:val="-6"/>
          <w:lang w:val="sk-SK"/>
        </w:rPr>
        <w:t>podpornej infraštruktúry pre osoby</w:t>
      </w:r>
      <w:r w:rsidR="00AB26B3" w:rsidRPr="00AB26B3">
        <w:rPr>
          <w:noProof/>
          <w:spacing w:val="-6"/>
          <w:lang w:val="sk-SK"/>
        </w:rPr>
        <w:t xml:space="preserve"> s </w:t>
      </w:r>
      <w:r w:rsidRPr="00AB26B3">
        <w:rPr>
          <w:noProof/>
          <w:spacing w:val="-6"/>
          <w:lang w:val="sk-SK"/>
        </w:rPr>
        <w:t>mobilitou</w:t>
      </w:r>
      <w:r w:rsidR="00AB26B3" w:rsidRPr="00AB26B3">
        <w:rPr>
          <w:noProof/>
          <w:spacing w:val="-6"/>
          <w:lang w:val="sk-SK"/>
        </w:rPr>
        <w:t xml:space="preserve"> a </w:t>
      </w:r>
      <w:r w:rsidRPr="00AB26B3">
        <w:rPr>
          <w:noProof/>
          <w:spacing w:val="-6"/>
          <w:lang w:val="sk-SK"/>
        </w:rPr>
        <w:t>zmyslovým postihnutím</w:t>
      </w:r>
      <w:r w:rsidR="00AB26B3" w:rsidRPr="00AB26B3">
        <w:rPr>
          <w:noProof/>
          <w:spacing w:val="-6"/>
          <w:lang w:val="sk-SK"/>
        </w:rPr>
        <w:t xml:space="preserve"> a </w:t>
      </w:r>
      <w:r w:rsidRPr="00AB26B3">
        <w:rPr>
          <w:noProof/>
          <w:spacing w:val="-6"/>
          <w:lang w:val="sk-SK"/>
        </w:rPr>
        <w:t>pomoc pri nezávislom živote pre osoby so zdravotným postihnutím; b) podpora intervencií</w:t>
      </w:r>
      <w:r w:rsidR="00AB26B3" w:rsidRPr="00AB26B3">
        <w:rPr>
          <w:noProof/>
          <w:spacing w:val="-6"/>
          <w:lang w:val="sk-SK"/>
        </w:rPr>
        <w:t xml:space="preserve"> v </w:t>
      </w:r>
      <w:r w:rsidRPr="00AB26B3">
        <w:rPr>
          <w:noProof/>
          <w:spacing w:val="-6"/>
          <w:lang w:val="sk-SK"/>
        </w:rPr>
        <w:t>ranom detstve (terapeutické alebo vzdelávacie programy)</w:t>
      </w:r>
      <w:r w:rsidR="00AB26B3" w:rsidRPr="00AB26B3">
        <w:rPr>
          <w:noProof/>
          <w:spacing w:val="-6"/>
          <w:lang w:val="sk-SK"/>
        </w:rPr>
        <w:t>.</w:t>
      </w:r>
    </w:p>
    <w:p w14:paraId="248FC9EF" w14:textId="09815C61" w:rsidR="00302FC1" w:rsidRPr="00AB26B3" w:rsidRDefault="00D64F26">
      <w:pPr>
        <w:pStyle w:val="P68B1DB1-Normal5"/>
        <w:rPr>
          <w:b/>
          <w:noProof/>
          <w:spacing w:val="-6"/>
          <w:lang w:val="sk-SK"/>
        </w:rPr>
      </w:pPr>
      <w:r w:rsidRPr="00AB26B3">
        <w:rPr>
          <w:b/>
          <w:noProof/>
          <w:spacing w:val="-6"/>
          <w:lang w:val="sk-SK"/>
        </w:rPr>
        <w:t>Investície:</w:t>
      </w:r>
      <w:r w:rsidRPr="00AB26B3">
        <w:rPr>
          <w:noProof/>
          <w:spacing w:val="-6"/>
          <w:lang w:val="sk-SK"/>
        </w:rPr>
        <w:t xml:space="preserve"> Sociálna integrácia (identifikačné číslo opatrenia: 16922)</w:t>
      </w:r>
    </w:p>
    <w:p w14:paraId="5B858DDB" w14:textId="342718AD"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zvýšiť sociálnu integráciu zraniteľných osôb vrátane príjemcov zaručeného minimálneho príjmu, starších osôb</w:t>
      </w:r>
      <w:r w:rsidR="00AB26B3" w:rsidRPr="00AB26B3">
        <w:rPr>
          <w:noProof/>
          <w:spacing w:val="-6"/>
          <w:lang w:val="sk-SK"/>
        </w:rPr>
        <w:t xml:space="preserve"> a </w:t>
      </w:r>
      <w:r w:rsidRPr="00AB26B3">
        <w:rPr>
          <w:noProof/>
          <w:spacing w:val="-6"/>
          <w:lang w:val="sk-SK"/>
        </w:rPr>
        <w:t>osôb so zdravotným postihnutím. Opatrenie pozostáva z: a) podpora najzraniteľnejších skupín pri ich (opätovnom) začlenení do trhu práce; b) digitálna odborná príprava starších ľudí</w:t>
      </w:r>
      <w:r w:rsidR="00AB26B3" w:rsidRPr="00AB26B3">
        <w:rPr>
          <w:noProof/>
          <w:spacing w:val="-6"/>
          <w:lang w:val="sk-SK"/>
        </w:rPr>
        <w:t xml:space="preserve"> a </w:t>
      </w:r>
      <w:r w:rsidRPr="00AB26B3">
        <w:rPr>
          <w:noProof/>
          <w:spacing w:val="-6"/>
          <w:lang w:val="sk-SK"/>
        </w:rPr>
        <w:t>osôb so zdravotným postihnutím; C) podpora sociálneho bývania</w:t>
      </w:r>
      <w:r w:rsidR="00AB26B3" w:rsidRPr="00AB26B3">
        <w:rPr>
          <w:noProof/>
          <w:spacing w:val="-6"/>
          <w:lang w:val="sk-SK"/>
        </w:rPr>
        <w:t>.</w:t>
      </w:r>
    </w:p>
    <w:p w14:paraId="0745EAD9" w14:textId="4F67C88C"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systému sociálnej podpory (identifikačné číslo opatrenia: 16925)</w:t>
      </w:r>
    </w:p>
    <w:p w14:paraId="204F45D9" w14:textId="67C19518"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tohto opatrenia je uľahčiť modernizáciu</w:t>
      </w:r>
      <w:r w:rsidR="00AB26B3" w:rsidRPr="00AB26B3">
        <w:rPr>
          <w:noProof/>
          <w:spacing w:val="-6"/>
          <w:lang w:val="sk-SK"/>
        </w:rPr>
        <w:t xml:space="preserve"> a </w:t>
      </w:r>
      <w:r w:rsidRPr="00AB26B3">
        <w:rPr>
          <w:noProof/>
          <w:spacing w:val="-6"/>
          <w:lang w:val="sk-SK"/>
        </w:rPr>
        <w:t>digitálnu transformáciu systémov sociálnej ochrany</w:t>
      </w:r>
      <w:r w:rsidR="00AB26B3" w:rsidRPr="00AB26B3">
        <w:rPr>
          <w:noProof/>
          <w:spacing w:val="-6"/>
          <w:lang w:val="sk-SK"/>
        </w:rPr>
        <w:t xml:space="preserve"> a </w:t>
      </w:r>
      <w:r w:rsidRPr="00AB26B3">
        <w:rPr>
          <w:noProof/>
          <w:spacing w:val="-6"/>
          <w:lang w:val="sk-SK"/>
        </w:rPr>
        <w:t>sociálneho zabezpečenia. Opatrenie pozostáva zo zriadenia národného portálu dávok pre osoby so zdravotným postihnutím</w:t>
      </w:r>
      <w:r w:rsidR="00AB26B3" w:rsidRPr="00AB26B3">
        <w:rPr>
          <w:noProof/>
          <w:spacing w:val="-6"/>
          <w:lang w:val="sk-SK"/>
        </w:rPr>
        <w:t xml:space="preserve"> a z </w:t>
      </w:r>
      <w:r w:rsidRPr="00AB26B3">
        <w:rPr>
          <w:noProof/>
          <w:spacing w:val="-6"/>
          <w:lang w:val="sk-SK"/>
        </w:rPr>
        <w:t>vydávania preukazov pre osoby so zdravotným postihnutím príjemcom.</w:t>
      </w:r>
    </w:p>
    <w:p w14:paraId="1C376675"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Optimalizácia sociálnych prínosov (identifikačné číslo opatrenia: 16726)</w:t>
      </w:r>
    </w:p>
    <w:p w14:paraId="229DDF7E" w14:textId="71CF5B09" w:rsidR="00AB26B3" w:rsidRPr="00AB26B3" w:rsidRDefault="00D64F26">
      <w:pPr>
        <w:pStyle w:val="P68B1DB1-Normal5"/>
        <w:spacing w:before="120" w:after="120" w:line="240" w:lineRule="auto"/>
        <w:jc w:val="both"/>
        <w:rPr>
          <w:noProof/>
          <w:spacing w:val="-6"/>
          <w:szCs w:val="24"/>
          <w:lang w:val="sk-SK"/>
        </w:rPr>
      </w:pPr>
      <w:r w:rsidRPr="00AB26B3">
        <w:rPr>
          <w:noProof/>
          <w:spacing w:val="-6"/>
          <w:szCs w:val="24"/>
          <w:lang w:val="sk-SK"/>
        </w:rPr>
        <w:t>Cieľom opatrenia je optimalizovať prevod sociálnych dávok prostredníctvom predplatených kariet. Opatrenie spočíva v</w:t>
      </w:r>
      <w:r w:rsidRPr="00AB26B3">
        <w:rPr>
          <w:noProof/>
          <w:spacing w:val="-6"/>
          <w:lang w:val="sk-SK"/>
        </w:rPr>
        <w:t>zavedení predplatených kariet na vyplácanie väčšiny sociálnych dávok vrátane</w:t>
      </w:r>
      <w:r w:rsidRPr="00AB26B3">
        <w:rPr>
          <w:noProof/>
          <w:spacing w:val="-6"/>
          <w:szCs w:val="24"/>
          <w:lang w:val="sk-SK"/>
        </w:rPr>
        <w:t xml:space="preserve"> stimulov pre príjemcov, aby ich používali na nákup tovaru</w:t>
      </w:r>
      <w:r w:rsidR="00AB26B3" w:rsidRPr="00AB26B3">
        <w:rPr>
          <w:noProof/>
          <w:spacing w:val="-6"/>
          <w:szCs w:val="24"/>
          <w:lang w:val="sk-SK"/>
        </w:rPr>
        <w:t xml:space="preserve"> a </w:t>
      </w:r>
      <w:r w:rsidRPr="00AB26B3">
        <w:rPr>
          <w:noProof/>
          <w:spacing w:val="-6"/>
          <w:szCs w:val="24"/>
          <w:lang w:val="sk-SK"/>
        </w:rPr>
        <w:t>služieb</w:t>
      </w:r>
      <w:r w:rsidR="00AB26B3" w:rsidRPr="00AB26B3">
        <w:rPr>
          <w:noProof/>
          <w:spacing w:val="-6"/>
          <w:szCs w:val="24"/>
          <w:lang w:val="sk-SK"/>
        </w:rPr>
        <w:t>.</w:t>
      </w:r>
    </w:p>
    <w:p w14:paraId="1C4C565F" w14:textId="31FEFB9F"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Informovanosť</w:t>
      </w:r>
      <w:r w:rsidR="00AB26B3" w:rsidRPr="00AB26B3">
        <w:rPr>
          <w:noProof/>
          <w:spacing w:val="-6"/>
          <w:lang w:val="sk-SK"/>
        </w:rPr>
        <w:t xml:space="preserve"> o </w:t>
      </w:r>
      <w:r w:rsidRPr="00AB26B3">
        <w:rPr>
          <w:noProof/>
          <w:spacing w:val="-6"/>
          <w:lang w:val="sk-SK"/>
        </w:rPr>
        <w:t>rozmanitosti (identifikačné číslo opatrenia: 16685)</w:t>
      </w:r>
    </w:p>
    <w:p w14:paraId="2FBCECE6" w14:textId="664F69E0"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zvýšiť informovanosť</w:t>
      </w:r>
      <w:r w:rsidR="00AB26B3" w:rsidRPr="00AB26B3">
        <w:rPr>
          <w:noProof/>
          <w:spacing w:val="-6"/>
          <w:lang w:val="sk-SK"/>
        </w:rPr>
        <w:t xml:space="preserve"> o </w:t>
      </w:r>
      <w:r w:rsidRPr="00AB26B3">
        <w:rPr>
          <w:noProof/>
          <w:spacing w:val="-6"/>
          <w:lang w:val="sk-SK"/>
        </w:rPr>
        <w:t>rozmanitosti. Opatrenie pozostáva z: a) programy odbornej prípravy</w:t>
      </w:r>
      <w:r w:rsidR="00AB26B3" w:rsidRPr="00AB26B3">
        <w:rPr>
          <w:noProof/>
          <w:spacing w:val="-6"/>
          <w:lang w:val="sk-SK"/>
        </w:rPr>
        <w:t xml:space="preserve"> v </w:t>
      </w:r>
      <w:r w:rsidRPr="00AB26B3">
        <w:rPr>
          <w:noProof/>
          <w:spacing w:val="-6"/>
          <w:lang w:val="sk-SK"/>
        </w:rPr>
        <w:t>oblasti rozmanitosti pre zamestnancov</w:t>
      </w:r>
      <w:r w:rsidR="00AB26B3" w:rsidRPr="00AB26B3">
        <w:rPr>
          <w:noProof/>
          <w:spacing w:val="-6"/>
          <w:lang w:val="sk-SK"/>
        </w:rPr>
        <w:t xml:space="preserve"> v </w:t>
      </w:r>
      <w:r w:rsidRPr="00AB26B3">
        <w:rPr>
          <w:noProof/>
          <w:spacing w:val="-6"/>
          <w:lang w:val="sk-SK"/>
        </w:rPr>
        <w:t>súkromnom sektore; b) nadobudnutie účinnosti právneho aktu, ktorým sa stanovuje mechanizmus systému oceňovania pre podniky/organizácie podporujúce rozmanitosť</w:t>
      </w:r>
      <w:r w:rsidR="00AB26B3" w:rsidRPr="00AB26B3">
        <w:rPr>
          <w:noProof/>
          <w:spacing w:val="-6"/>
          <w:lang w:val="sk-SK"/>
        </w:rPr>
        <w:t xml:space="preserve"> a </w:t>
      </w:r>
      <w:r w:rsidRPr="00AB26B3">
        <w:rPr>
          <w:noProof/>
          <w:spacing w:val="-6"/>
          <w:lang w:val="sk-SK"/>
        </w:rPr>
        <w:t>začlenenie.</w:t>
      </w:r>
    </w:p>
    <w:p w14:paraId="33BD33BC"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Podporovať integráciu utečencov do trhu práce (opatrenie ID: 16688)</w:t>
      </w:r>
    </w:p>
    <w:p w14:paraId="44780793" w14:textId="147EBAF7" w:rsidR="00AB26B3" w:rsidRPr="00AB26B3" w:rsidRDefault="00D64F26">
      <w:pPr>
        <w:pStyle w:val="P68B1DB1-Normal7"/>
        <w:spacing w:before="120" w:after="0" w:line="240" w:lineRule="auto"/>
        <w:jc w:val="both"/>
        <w:rPr>
          <w:noProof/>
          <w:spacing w:val="-6"/>
          <w:lang w:val="sk-SK"/>
        </w:rPr>
      </w:pPr>
      <w:r w:rsidRPr="00AB26B3">
        <w:rPr>
          <w:noProof/>
          <w:spacing w:val="-6"/>
          <w:lang w:val="sk-SK"/>
        </w:rPr>
        <w:t>Cieľom opatrenia je podporiť integráciu utečencov do trhu práce. Opatrenie pozostáva</w:t>
      </w:r>
      <w:r w:rsidR="00AB26B3" w:rsidRPr="00AB26B3">
        <w:rPr>
          <w:noProof/>
          <w:spacing w:val="-6"/>
          <w:lang w:val="sk-SK"/>
        </w:rPr>
        <w:t xml:space="preserve"> z </w:t>
      </w:r>
      <w:r w:rsidRPr="00AB26B3">
        <w:rPr>
          <w:noProof/>
          <w:spacing w:val="-6"/>
          <w:lang w:val="sk-SK"/>
        </w:rPr>
        <w:t>odbornej prípravy</w:t>
      </w:r>
      <w:r w:rsidR="00AB26B3" w:rsidRPr="00AB26B3">
        <w:rPr>
          <w:noProof/>
          <w:spacing w:val="-6"/>
          <w:lang w:val="sk-SK"/>
        </w:rPr>
        <w:t xml:space="preserve"> a </w:t>
      </w:r>
      <w:r w:rsidRPr="00AB26B3">
        <w:rPr>
          <w:noProof/>
          <w:spacing w:val="-6"/>
          <w:lang w:val="sk-SK"/>
        </w:rPr>
        <w:t>stáží pre utečencov, legálnych migrantov</w:t>
      </w:r>
      <w:r w:rsidR="00AB26B3" w:rsidRPr="00AB26B3">
        <w:rPr>
          <w:noProof/>
          <w:spacing w:val="-6"/>
          <w:lang w:val="sk-SK"/>
        </w:rPr>
        <w:t xml:space="preserve"> a </w:t>
      </w:r>
      <w:r w:rsidRPr="00AB26B3">
        <w:rPr>
          <w:noProof/>
          <w:spacing w:val="-6"/>
          <w:lang w:val="sk-SK"/>
        </w:rPr>
        <w:t>žiadateľov</w:t>
      </w:r>
      <w:r w:rsidR="00AB26B3" w:rsidRPr="00AB26B3">
        <w:rPr>
          <w:noProof/>
          <w:spacing w:val="-6"/>
          <w:lang w:val="sk-SK"/>
        </w:rPr>
        <w:t xml:space="preserve"> o </w:t>
      </w:r>
      <w:r w:rsidRPr="00AB26B3">
        <w:rPr>
          <w:noProof/>
          <w:spacing w:val="-6"/>
          <w:lang w:val="sk-SK"/>
        </w:rPr>
        <w:t>azyl</w:t>
      </w:r>
      <w:r w:rsidR="00AB26B3" w:rsidRPr="00AB26B3">
        <w:rPr>
          <w:noProof/>
          <w:spacing w:val="-6"/>
          <w:lang w:val="sk-SK"/>
        </w:rPr>
        <w:t>.</w:t>
      </w:r>
    </w:p>
    <w:p w14:paraId="695C5D0B" w14:textId="48E9D5E5"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prisťahovaleckého</w:t>
      </w:r>
      <w:r w:rsidR="00AB26B3" w:rsidRPr="00AB26B3">
        <w:rPr>
          <w:noProof/>
          <w:spacing w:val="-6"/>
          <w:lang w:val="sk-SK"/>
        </w:rPr>
        <w:t xml:space="preserve"> a </w:t>
      </w:r>
      <w:r w:rsidRPr="00AB26B3">
        <w:rPr>
          <w:noProof/>
          <w:spacing w:val="-6"/>
          <w:lang w:val="sk-SK"/>
        </w:rPr>
        <w:t>azylového systému (opatrenie ID: 16763)</w:t>
      </w:r>
    </w:p>
    <w:p w14:paraId="65507634" w14:textId="541955CC"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zlepšiť kvalitu služieb pre migrantov</w:t>
      </w:r>
      <w:r w:rsidR="00AB26B3" w:rsidRPr="00AB26B3">
        <w:rPr>
          <w:noProof/>
          <w:spacing w:val="-6"/>
          <w:lang w:val="sk-SK"/>
        </w:rPr>
        <w:t xml:space="preserve"> a </w:t>
      </w:r>
      <w:r w:rsidRPr="00AB26B3">
        <w:rPr>
          <w:noProof/>
          <w:spacing w:val="-6"/>
          <w:lang w:val="sk-SK"/>
        </w:rPr>
        <w:t>žiadateľov</w:t>
      </w:r>
      <w:r w:rsidR="00AB26B3" w:rsidRPr="00AB26B3">
        <w:rPr>
          <w:noProof/>
          <w:spacing w:val="-6"/>
          <w:lang w:val="sk-SK"/>
        </w:rPr>
        <w:t xml:space="preserve"> o </w:t>
      </w:r>
      <w:r w:rsidRPr="00AB26B3">
        <w:rPr>
          <w:noProof/>
          <w:spacing w:val="-6"/>
          <w:lang w:val="sk-SK"/>
        </w:rPr>
        <w:t>azyl. Opatrenie spočíva</w:t>
      </w:r>
      <w:r w:rsidR="00AB26B3" w:rsidRPr="00AB26B3">
        <w:rPr>
          <w:noProof/>
          <w:spacing w:val="-6"/>
          <w:lang w:val="sk-SK"/>
        </w:rPr>
        <w:t xml:space="preserve"> v </w:t>
      </w:r>
      <w:r w:rsidRPr="00AB26B3">
        <w:rPr>
          <w:noProof/>
          <w:spacing w:val="-6"/>
          <w:lang w:val="sk-SK"/>
        </w:rPr>
        <w:t>poskytovaní tovaru</w:t>
      </w:r>
      <w:r w:rsidR="00AB26B3" w:rsidRPr="00AB26B3">
        <w:rPr>
          <w:noProof/>
          <w:spacing w:val="-6"/>
          <w:lang w:val="sk-SK"/>
        </w:rPr>
        <w:t xml:space="preserve"> a </w:t>
      </w:r>
      <w:r w:rsidRPr="00AB26B3">
        <w:rPr>
          <w:noProof/>
          <w:spacing w:val="-6"/>
          <w:lang w:val="sk-SK"/>
        </w:rPr>
        <w:t>služieb na digitalizáciu migračného</w:t>
      </w:r>
      <w:r w:rsidR="00AB26B3" w:rsidRPr="00AB26B3">
        <w:rPr>
          <w:noProof/>
          <w:spacing w:val="-6"/>
          <w:lang w:val="sk-SK"/>
        </w:rPr>
        <w:t xml:space="preserve"> a </w:t>
      </w:r>
      <w:r w:rsidRPr="00AB26B3">
        <w:rPr>
          <w:noProof/>
          <w:spacing w:val="-6"/>
          <w:lang w:val="sk-SK"/>
        </w:rPr>
        <w:t>azylového systému.</w:t>
      </w:r>
    </w:p>
    <w:p w14:paraId="5AD390F7" w14:textId="1699F701" w:rsidR="00302FC1" w:rsidRPr="00AB26B3" w:rsidRDefault="00D64F26">
      <w:pPr>
        <w:spacing w:before="120" w:after="120" w:line="240" w:lineRule="auto"/>
        <w:jc w:val="both"/>
        <w:rPr>
          <w:rFonts w:ascii="Times New Roman" w:hAnsi="Times New Roman" w:cs="Times New Roman"/>
          <w:noProof/>
          <w:color w:val="000000" w:themeColor="text1"/>
          <w:spacing w:val="-6"/>
          <w:sz w:val="24"/>
          <w:szCs w:val="24"/>
          <w:lang w:val="sk-SK"/>
        </w:rPr>
      </w:pPr>
      <w:r w:rsidRPr="00AB26B3">
        <w:rPr>
          <w:rFonts w:ascii="Times New Roman" w:hAnsi="Times New Roman" w:cs="Times New Roman"/>
          <w:b/>
          <w:noProof/>
          <w:color w:val="000000" w:themeColor="text1"/>
          <w:spacing w:val="-6"/>
          <w:sz w:val="24"/>
          <w:szCs w:val="24"/>
          <w:lang w:val="sk-SK"/>
        </w:rPr>
        <w:t>Reforma:</w:t>
      </w:r>
      <w:r w:rsidRPr="00AB26B3">
        <w:rPr>
          <w:rFonts w:ascii="Times New Roman" w:hAnsi="Times New Roman" w:cs="Times New Roman"/>
          <w:noProof/>
          <w:color w:val="000000" w:themeColor="text1"/>
          <w:spacing w:val="-6"/>
          <w:sz w:val="24"/>
          <w:szCs w:val="24"/>
          <w:lang w:val="sk-SK"/>
        </w:rPr>
        <w:t xml:space="preserve"> </w:t>
      </w:r>
      <w:r w:rsidRPr="00AB26B3">
        <w:rPr>
          <w:rStyle w:val="normaltextrun"/>
          <w:rFonts w:ascii="Times New Roman" w:eastAsiaTheme="minorHAnsi" w:hAnsi="Times New Roman" w:cs="Times New Roman"/>
          <w:noProof/>
          <w:color w:val="000000" w:themeColor="text1"/>
          <w:spacing w:val="-6"/>
          <w:sz w:val="24"/>
          <w:szCs w:val="24"/>
          <w:bdr w:val="none" w:sz="0" w:space="0" w:color="auto" w:frame="1"/>
          <w:lang w:val="sk-SK"/>
        </w:rPr>
        <w:t>Sociálne</w:t>
      </w:r>
      <w:r w:rsidRPr="00AB26B3">
        <w:rPr>
          <w:rFonts w:ascii="Times New Roman" w:hAnsi="Times New Roman" w:cs="Times New Roman"/>
          <w:noProof/>
          <w:color w:val="000000" w:themeColor="text1"/>
          <w:spacing w:val="-6"/>
          <w:sz w:val="24"/>
          <w:szCs w:val="24"/>
          <w:lang w:val="sk-SK"/>
        </w:rPr>
        <w:t xml:space="preserve"> bývanie</w:t>
      </w:r>
      <w:r w:rsidR="00AB26B3" w:rsidRPr="00AB26B3">
        <w:rPr>
          <w:rFonts w:ascii="Times New Roman" w:hAnsi="Times New Roman" w:cs="Times New Roman"/>
          <w:noProof/>
          <w:color w:val="000000" w:themeColor="text1"/>
          <w:spacing w:val="-6"/>
          <w:sz w:val="24"/>
          <w:szCs w:val="24"/>
          <w:lang w:val="sk-SK"/>
        </w:rPr>
        <w:t xml:space="preserve"> a </w:t>
      </w:r>
      <w:r w:rsidRPr="00AB26B3">
        <w:rPr>
          <w:rFonts w:ascii="Times New Roman" w:hAnsi="Times New Roman" w:cs="Times New Roman"/>
          <w:noProof/>
          <w:color w:val="000000" w:themeColor="text1"/>
          <w:spacing w:val="-6"/>
          <w:sz w:val="24"/>
          <w:szCs w:val="24"/>
          <w:lang w:val="sk-SK"/>
        </w:rPr>
        <w:t>cenovo dostupné bývanie (identifikačné číslo opatrenia: 16402)</w:t>
      </w:r>
    </w:p>
    <w:p w14:paraId="016D390A" w14:textId="4FEFD1DA" w:rsidR="00302FC1" w:rsidRPr="00AB26B3" w:rsidRDefault="00D64F26">
      <w:pPr>
        <w:pStyle w:val="paragraph"/>
        <w:jc w:val="both"/>
        <w:textAlignment w:val="baseline"/>
        <w:rPr>
          <w:noProof/>
          <w:spacing w:val="-6"/>
          <w:lang w:val="sk-SK"/>
        </w:rPr>
      </w:pPr>
      <w:r w:rsidRPr="00AB26B3">
        <w:rPr>
          <w:noProof/>
          <w:spacing w:val="-6"/>
          <w:lang w:val="sk-SK"/>
        </w:rPr>
        <w:t>Cieľom opatrenia je zlepšiť prístup</w:t>
      </w:r>
      <w:r w:rsidR="00AB26B3" w:rsidRPr="00AB26B3">
        <w:rPr>
          <w:noProof/>
          <w:spacing w:val="-6"/>
          <w:lang w:val="sk-SK"/>
        </w:rPr>
        <w:t xml:space="preserve"> k </w:t>
      </w:r>
      <w:r w:rsidRPr="00AB26B3">
        <w:rPr>
          <w:noProof/>
          <w:spacing w:val="-6"/>
          <w:lang w:val="sk-SK"/>
        </w:rPr>
        <w:t>cenovo dostupnému</w:t>
      </w:r>
      <w:r w:rsidR="00AB26B3" w:rsidRPr="00AB26B3">
        <w:rPr>
          <w:noProof/>
          <w:spacing w:val="-6"/>
          <w:lang w:val="sk-SK"/>
        </w:rPr>
        <w:t xml:space="preserve"> a </w:t>
      </w:r>
      <w:r w:rsidRPr="00AB26B3">
        <w:rPr>
          <w:noProof/>
          <w:spacing w:val="-6"/>
          <w:lang w:val="sk-SK"/>
        </w:rPr>
        <w:t>kvalitnému bývaniu pre domácnosti</w:t>
      </w:r>
      <w:r w:rsidR="00AB26B3" w:rsidRPr="00AB26B3">
        <w:rPr>
          <w:noProof/>
          <w:spacing w:val="-6"/>
          <w:lang w:val="sk-SK"/>
        </w:rPr>
        <w:t xml:space="preserve"> s </w:t>
      </w:r>
      <w:r w:rsidRPr="00AB26B3">
        <w:rPr>
          <w:noProof/>
          <w:spacing w:val="-6"/>
          <w:lang w:val="sk-SK"/>
        </w:rPr>
        <w:t>nízkymi príjmami</w:t>
      </w:r>
      <w:r w:rsidR="00AB26B3" w:rsidRPr="00AB26B3">
        <w:rPr>
          <w:noProof/>
          <w:spacing w:val="-6"/>
          <w:lang w:val="sk-SK"/>
        </w:rPr>
        <w:t xml:space="preserve"> a </w:t>
      </w:r>
      <w:r w:rsidRPr="00AB26B3">
        <w:rPr>
          <w:noProof/>
          <w:spacing w:val="-6"/>
          <w:lang w:val="sk-SK"/>
        </w:rPr>
        <w:t>zvýšiť dostupnosť sociálneho bývania pre zraniteľné skupiny. Opatrenie pozostáva</w:t>
      </w:r>
      <w:r w:rsidR="00AB26B3" w:rsidRPr="00AB26B3">
        <w:rPr>
          <w:noProof/>
          <w:spacing w:val="-6"/>
          <w:lang w:val="sk-SK"/>
        </w:rPr>
        <w:t xml:space="preserve"> z </w:t>
      </w:r>
      <w:r w:rsidRPr="00AB26B3">
        <w:rPr>
          <w:noProof/>
          <w:spacing w:val="-6"/>
          <w:lang w:val="sk-SK"/>
        </w:rPr>
        <w:t>dvoch prvkov: i) prijatia národnej stratégie bývania</w:t>
      </w:r>
      <w:r w:rsidR="00AB26B3" w:rsidRPr="00AB26B3">
        <w:rPr>
          <w:noProof/>
          <w:spacing w:val="-6"/>
          <w:lang w:val="sk-SK"/>
        </w:rPr>
        <w:t xml:space="preserve"> a </w:t>
      </w:r>
      <w:r w:rsidRPr="00AB26B3">
        <w:rPr>
          <w:noProof/>
          <w:spacing w:val="-6"/>
          <w:lang w:val="sk-SK"/>
        </w:rPr>
        <w:t>ii) legislatívnych zmien týkajúcich sa recipročného výmenného programu verejného majetku („Kinoniki Antiparochi“).</w:t>
      </w:r>
    </w:p>
    <w:p w14:paraId="5631D7EC" w14:textId="77777777" w:rsidR="00302FC1" w:rsidRPr="00AB26B3" w:rsidRDefault="00302FC1">
      <w:pPr>
        <w:pStyle w:val="PlainText"/>
        <w:jc w:val="both"/>
        <w:rPr>
          <w:rFonts w:ascii="Times New Roman" w:eastAsia="Times New Roman" w:hAnsi="Times New Roman" w:cs="Times New Roman"/>
          <w:noProof/>
          <w:spacing w:val="-6"/>
          <w:sz w:val="24"/>
          <w:szCs w:val="24"/>
          <w:lang w:val="sk-SK"/>
          <w14:ligatures w14:val="none"/>
        </w:rPr>
      </w:pPr>
    </w:p>
    <w:p w14:paraId="513567C7" w14:textId="77777777" w:rsidR="00302FC1" w:rsidRPr="00AB26B3" w:rsidRDefault="00302FC1">
      <w:pPr>
        <w:spacing w:after="0" w:line="240" w:lineRule="auto"/>
        <w:rPr>
          <w:rFonts w:ascii="Times New Roman" w:eastAsiaTheme="minorHAnsi" w:hAnsi="Times New Roman" w:cs="Times New Roman"/>
          <w:noProof/>
          <w:spacing w:val="-6"/>
          <w:sz w:val="24"/>
          <w:szCs w:val="24"/>
          <w:lang w:val="sk-SK"/>
        </w:rPr>
        <w:sectPr w:rsidR="00302FC1" w:rsidRPr="00AB26B3" w:rsidSect="00315FC0">
          <w:headerReference w:type="default" r:id="rId192"/>
          <w:footerReference w:type="default" r:id="rId193"/>
          <w:pgSz w:w="11906" w:h="16838"/>
          <w:pgMar w:top="1417" w:right="1417" w:bottom="1417" w:left="1417" w:header="708" w:footer="708" w:gutter="0"/>
          <w:cols w:space="708"/>
          <w:docGrid w:linePitch="360"/>
        </w:sectPr>
      </w:pPr>
    </w:p>
    <w:p w14:paraId="08DB29F1" w14:textId="6743364C"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K.2.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5AE4C490" w14:textId="0E09FDFD" w:rsidR="00302FC1" w:rsidRPr="00AB26B3" w:rsidRDefault="00D64F26">
      <w:pPr>
        <w:pStyle w:val="P68B1DB1-Normal9"/>
        <w:keepNext/>
        <w:keepLines/>
        <w:spacing w:before="12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15: Zlepšenie prístupu</w:t>
      </w:r>
      <w:r w:rsidR="00AB26B3" w:rsidRPr="00AB26B3">
        <w:rPr>
          <w:rFonts w:ascii="Times New Roman" w:hAnsi="Times New Roman"/>
          <w:noProof/>
          <w:spacing w:val="-6"/>
          <w:lang w:val="sk-SK"/>
        </w:rPr>
        <w:t xml:space="preserve"> k </w:t>
      </w:r>
      <w:r w:rsidRPr="00AB26B3">
        <w:rPr>
          <w:rFonts w:ascii="Times New Roman" w:hAnsi="Times New Roman"/>
          <w:noProof/>
          <w:spacing w:val="-6"/>
          <w:lang w:val="sk-SK"/>
        </w:rPr>
        <w:t>účinným</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inkluzívnym sociálnym politikám</w:t>
      </w:r>
    </w:p>
    <w:p w14:paraId="1555A321" w14:textId="77777777" w:rsidR="00302FC1" w:rsidRPr="00AB26B3" w:rsidRDefault="00D64F26">
      <w:pPr>
        <w:pStyle w:val="P68B1DB1-Normal5"/>
        <w:numPr>
          <w:ilvl w:val="0"/>
          <w:numId w:val="31"/>
        </w:numPr>
        <w:spacing w:before="120" w:after="0" w:line="240" w:lineRule="auto"/>
        <w:ind w:left="0"/>
        <w:jc w:val="both"/>
        <w:rPr>
          <w:rFonts w:cs="Times New Roman"/>
          <w:noProof/>
          <w:spacing w:val="-6"/>
          <w:lang w:val="sk-SK"/>
        </w:rPr>
      </w:pPr>
      <w:r w:rsidRPr="00AB26B3">
        <w:rPr>
          <w:noProof/>
          <w:spacing w:val="-6"/>
          <w:lang w:val="sk-SK"/>
        </w:rPr>
        <w:t>Ochrana detí (ID: 16919)</w:t>
      </w:r>
    </w:p>
    <w:p w14:paraId="115FE229" w14:textId="77777777" w:rsidR="00302FC1" w:rsidRPr="00AB26B3" w:rsidRDefault="00D64F26">
      <w:pPr>
        <w:pStyle w:val="P68B1DB1-Normal5"/>
        <w:numPr>
          <w:ilvl w:val="0"/>
          <w:numId w:val="31"/>
        </w:numPr>
        <w:spacing w:before="120" w:after="0" w:line="240" w:lineRule="auto"/>
        <w:ind w:left="0" w:hanging="357"/>
        <w:jc w:val="both"/>
        <w:rPr>
          <w:rFonts w:cs="Times New Roman"/>
          <w:noProof/>
          <w:spacing w:val="-6"/>
          <w:lang w:val="sk-SK"/>
        </w:rPr>
      </w:pPr>
      <w:r w:rsidRPr="00AB26B3">
        <w:rPr>
          <w:noProof/>
          <w:spacing w:val="-6"/>
          <w:lang w:val="sk-SK"/>
        </w:rPr>
        <w:t>Zdravotné postihnutie (ID: 16904)</w:t>
      </w:r>
    </w:p>
    <w:p w14:paraId="26740913" w14:textId="77777777" w:rsidR="00302FC1" w:rsidRPr="00AB26B3" w:rsidRDefault="00D64F26">
      <w:pPr>
        <w:pStyle w:val="P68B1DB1-Normal5"/>
        <w:numPr>
          <w:ilvl w:val="0"/>
          <w:numId w:val="31"/>
        </w:numPr>
        <w:spacing w:before="120" w:after="0" w:line="240" w:lineRule="auto"/>
        <w:ind w:left="0" w:hanging="357"/>
        <w:jc w:val="both"/>
        <w:rPr>
          <w:rFonts w:cs="Times New Roman"/>
          <w:noProof/>
          <w:spacing w:val="-6"/>
          <w:lang w:val="sk-SK"/>
        </w:rPr>
      </w:pPr>
      <w:r w:rsidRPr="00AB26B3">
        <w:rPr>
          <w:noProof/>
          <w:spacing w:val="-6"/>
          <w:lang w:val="sk-SK"/>
        </w:rPr>
        <w:t>Optimalizácia sociálnych prínosov (16726)</w:t>
      </w:r>
    </w:p>
    <w:p w14:paraId="4C8CF0FF" w14:textId="2905AEC9" w:rsidR="00302FC1" w:rsidRPr="00AB26B3" w:rsidRDefault="00D64F26">
      <w:pPr>
        <w:pStyle w:val="P68B1DB1-Normal42"/>
        <w:numPr>
          <w:ilvl w:val="0"/>
          <w:numId w:val="31"/>
        </w:numPr>
        <w:spacing w:before="120" w:after="0" w:line="240" w:lineRule="auto"/>
        <w:ind w:left="0" w:hanging="357"/>
        <w:jc w:val="both"/>
        <w:rPr>
          <w:rFonts w:cs="Times New Roman"/>
          <w:noProof/>
          <w:spacing w:val="-6"/>
          <w:lang w:val="sk-SK"/>
        </w:rPr>
      </w:pPr>
      <w:r w:rsidRPr="00AB26B3">
        <w:rPr>
          <w:noProof/>
          <w:spacing w:val="-6"/>
          <w:lang w:val="sk-SK"/>
        </w:rPr>
        <w:t>Sociálne</w:t>
      </w:r>
      <w:r w:rsidR="00AB26B3" w:rsidRPr="00AB26B3">
        <w:rPr>
          <w:noProof/>
          <w:spacing w:val="-6"/>
          <w:lang w:val="sk-SK"/>
        </w:rPr>
        <w:t xml:space="preserve"> a </w:t>
      </w:r>
      <w:r w:rsidRPr="00AB26B3">
        <w:rPr>
          <w:noProof/>
          <w:spacing w:val="-6"/>
          <w:lang w:val="sk-SK"/>
        </w:rPr>
        <w:t>cenovo dostupné bývanie (16402)</w:t>
      </w:r>
    </w:p>
    <w:p w14:paraId="56065155" w14:textId="77777777" w:rsidR="00302FC1" w:rsidRPr="00AB26B3" w:rsidRDefault="00302FC1">
      <w:pPr>
        <w:spacing w:before="120" w:after="0" w:line="240" w:lineRule="auto"/>
        <w:jc w:val="both"/>
        <w:rPr>
          <w:rFonts w:ascii="Times New Roman" w:hAnsi="Times New Roman" w:cs="Times New Roman"/>
          <w:noProof/>
          <w:spacing w:val="-6"/>
          <w:sz w:val="24"/>
          <w:lang w:val="sk-SK"/>
        </w:rPr>
      </w:pPr>
    </w:p>
    <w:tbl>
      <w:tblPr>
        <w:tblW w:w="16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876"/>
        <w:gridCol w:w="1097"/>
        <w:gridCol w:w="1515"/>
        <w:gridCol w:w="2268"/>
        <w:gridCol w:w="992"/>
        <w:gridCol w:w="993"/>
        <w:gridCol w:w="992"/>
        <w:gridCol w:w="997"/>
        <w:gridCol w:w="720"/>
        <w:gridCol w:w="3997"/>
      </w:tblGrid>
      <w:tr w:rsidR="00302FC1" w:rsidRPr="00AB26B3" w14:paraId="37AD476B" w14:textId="77777777">
        <w:trPr>
          <w:trHeight w:val="616"/>
          <w:tblHeader/>
          <w:jc w:val="center"/>
        </w:trPr>
        <w:tc>
          <w:tcPr>
            <w:tcW w:w="616" w:type="dxa"/>
            <w:vMerge w:val="restart"/>
            <w:shd w:val="clear" w:color="auto" w:fill="BDD7EE"/>
            <w:vAlign w:val="center"/>
            <w:hideMark/>
          </w:tcPr>
          <w:p w14:paraId="4B6B1CE5" w14:textId="0872D202"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1876" w:type="dxa"/>
            <w:vMerge w:val="restart"/>
            <w:shd w:val="clear" w:color="auto" w:fill="BDD7EE"/>
            <w:vAlign w:val="center"/>
            <w:hideMark/>
          </w:tcPr>
          <w:p w14:paraId="6740500F"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97" w:type="dxa"/>
            <w:vMerge w:val="restart"/>
            <w:shd w:val="clear" w:color="auto" w:fill="BDD7EE"/>
            <w:vAlign w:val="center"/>
            <w:hideMark/>
          </w:tcPr>
          <w:p w14:paraId="294C4B9B"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515" w:type="dxa"/>
            <w:vMerge w:val="restart"/>
            <w:shd w:val="clear" w:color="auto" w:fill="BDD7EE"/>
            <w:vAlign w:val="center"/>
            <w:hideMark/>
          </w:tcPr>
          <w:p w14:paraId="6EFD5252"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Názov</w:t>
            </w:r>
          </w:p>
        </w:tc>
        <w:tc>
          <w:tcPr>
            <w:tcW w:w="2268" w:type="dxa"/>
            <w:vMerge w:val="restart"/>
            <w:shd w:val="clear" w:color="auto" w:fill="BDD7EE"/>
            <w:vAlign w:val="center"/>
            <w:hideMark/>
          </w:tcPr>
          <w:p w14:paraId="074C0BE7" w14:textId="51E06D6B"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977" w:type="dxa"/>
            <w:gridSpan w:val="3"/>
            <w:shd w:val="clear" w:color="auto" w:fill="BDD7EE"/>
            <w:vAlign w:val="center"/>
            <w:hideMark/>
          </w:tcPr>
          <w:p w14:paraId="0B7156FE" w14:textId="7A251F60" w:rsidR="00302FC1" w:rsidRPr="00AB26B3" w:rsidRDefault="00D64F26">
            <w:pPr>
              <w:pStyle w:val="P68B1DB1-Normal10"/>
              <w:spacing w:before="120" w:after="0" w:line="240" w:lineRule="auto"/>
              <w:jc w:val="center"/>
              <w:rPr>
                <w:noProof/>
                <w:spacing w:val="-6"/>
                <w:lang w:val="sk-SK"/>
              </w:rPr>
            </w:pPr>
            <w:r w:rsidRPr="00AB26B3">
              <w:rPr>
                <w:noProof/>
                <w:spacing w:val="-6"/>
                <w:lang w:val="sk-SK"/>
              </w:rPr>
              <w:t>Kvantitatívne ukazovatele</w:t>
            </w:r>
            <w:r w:rsidRPr="00AB26B3">
              <w:rPr>
                <w:noProof/>
                <w:spacing w:val="-6"/>
                <w:lang w:val="sk-SK"/>
              </w:rPr>
              <w:br/>
              <w:t xml:space="preserve"> (pre ciele)</w:t>
            </w:r>
          </w:p>
        </w:tc>
        <w:tc>
          <w:tcPr>
            <w:tcW w:w="1717" w:type="dxa"/>
            <w:gridSpan w:val="2"/>
            <w:shd w:val="clear" w:color="auto" w:fill="BDD7EE"/>
            <w:vAlign w:val="center"/>
            <w:hideMark/>
          </w:tcPr>
          <w:p w14:paraId="1622F8FC"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997" w:type="dxa"/>
            <w:vMerge w:val="restart"/>
            <w:shd w:val="clear" w:color="auto" w:fill="BDD7EE"/>
            <w:vAlign w:val="center"/>
            <w:hideMark/>
          </w:tcPr>
          <w:p w14:paraId="56B6A38D" w14:textId="0F77CE49"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605649F" w14:textId="77777777">
        <w:trPr>
          <w:trHeight w:val="658"/>
          <w:tblHeader/>
          <w:jc w:val="center"/>
        </w:trPr>
        <w:tc>
          <w:tcPr>
            <w:tcW w:w="616" w:type="dxa"/>
            <w:vMerge/>
            <w:vAlign w:val="center"/>
            <w:hideMark/>
          </w:tcPr>
          <w:p w14:paraId="0D999CA1" w14:textId="77777777" w:rsidR="00302FC1" w:rsidRPr="00AB26B3" w:rsidRDefault="00302FC1">
            <w:pPr>
              <w:spacing w:before="120" w:after="0" w:line="240" w:lineRule="auto"/>
              <w:rPr>
                <w:rFonts w:ascii="Times New Roman" w:eastAsia="Times New Roman" w:hAnsi="Times New Roman" w:cs="Times New Roman"/>
                <w:b/>
                <w:bCs/>
                <w:noProof/>
                <w:spacing w:val="-6"/>
                <w:sz w:val="18"/>
                <w:szCs w:val="18"/>
                <w:lang w:val="sk-SK"/>
              </w:rPr>
            </w:pPr>
          </w:p>
        </w:tc>
        <w:tc>
          <w:tcPr>
            <w:tcW w:w="1876" w:type="dxa"/>
            <w:vMerge/>
            <w:vAlign w:val="center"/>
            <w:hideMark/>
          </w:tcPr>
          <w:p w14:paraId="591A8E46" w14:textId="77777777" w:rsidR="00302FC1" w:rsidRPr="00AB26B3" w:rsidRDefault="00302FC1">
            <w:pPr>
              <w:spacing w:before="120" w:after="0" w:line="240" w:lineRule="auto"/>
              <w:rPr>
                <w:rFonts w:ascii="Times New Roman" w:eastAsia="Times New Roman" w:hAnsi="Times New Roman" w:cs="Times New Roman"/>
                <w:b/>
                <w:bCs/>
                <w:noProof/>
                <w:spacing w:val="-6"/>
                <w:sz w:val="18"/>
                <w:szCs w:val="18"/>
                <w:lang w:val="sk-SK"/>
              </w:rPr>
            </w:pPr>
          </w:p>
        </w:tc>
        <w:tc>
          <w:tcPr>
            <w:tcW w:w="1097" w:type="dxa"/>
            <w:vMerge/>
            <w:vAlign w:val="center"/>
            <w:hideMark/>
          </w:tcPr>
          <w:p w14:paraId="6AD0FFB3" w14:textId="77777777" w:rsidR="00302FC1" w:rsidRPr="00AB26B3" w:rsidRDefault="00302FC1">
            <w:pPr>
              <w:spacing w:before="120" w:after="0" w:line="240" w:lineRule="auto"/>
              <w:rPr>
                <w:rFonts w:ascii="Times New Roman" w:eastAsia="Times New Roman" w:hAnsi="Times New Roman" w:cs="Times New Roman"/>
                <w:b/>
                <w:bCs/>
                <w:noProof/>
                <w:spacing w:val="-6"/>
                <w:sz w:val="18"/>
                <w:szCs w:val="18"/>
                <w:lang w:val="sk-SK"/>
              </w:rPr>
            </w:pPr>
          </w:p>
        </w:tc>
        <w:tc>
          <w:tcPr>
            <w:tcW w:w="1515" w:type="dxa"/>
            <w:vMerge/>
            <w:vAlign w:val="center"/>
            <w:hideMark/>
          </w:tcPr>
          <w:p w14:paraId="6EEE61EC" w14:textId="77777777" w:rsidR="00302FC1" w:rsidRPr="00AB26B3" w:rsidRDefault="00302FC1">
            <w:pPr>
              <w:spacing w:before="120" w:after="0" w:line="240" w:lineRule="auto"/>
              <w:rPr>
                <w:rFonts w:ascii="Times New Roman" w:eastAsia="Times New Roman" w:hAnsi="Times New Roman" w:cs="Times New Roman"/>
                <w:b/>
                <w:bCs/>
                <w:noProof/>
                <w:spacing w:val="-6"/>
                <w:sz w:val="18"/>
                <w:szCs w:val="18"/>
                <w:lang w:val="sk-SK"/>
              </w:rPr>
            </w:pPr>
          </w:p>
        </w:tc>
        <w:tc>
          <w:tcPr>
            <w:tcW w:w="2268" w:type="dxa"/>
            <w:vMerge/>
            <w:vAlign w:val="center"/>
            <w:hideMark/>
          </w:tcPr>
          <w:p w14:paraId="4A2F8A27" w14:textId="77777777" w:rsidR="00302FC1" w:rsidRPr="00AB26B3" w:rsidRDefault="00302FC1">
            <w:pPr>
              <w:spacing w:before="120" w:after="0" w:line="240" w:lineRule="auto"/>
              <w:rPr>
                <w:rFonts w:ascii="Times New Roman" w:eastAsia="Times New Roman" w:hAnsi="Times New Roman" w:cs="Times New Roman"/>
                <w:b/>
                <w:bCs/>
                <w:noProof/>
                <w:spacing w:val="-6"/>
                <w:sz w:val="18"/>
                <w:szCs w:val="18"/>
                <w:lang w:val="sk-SK"/>
              </w:rPr>
            </w:pPr>
          </w:p>
        </w:tc>
        <w:tc>
          <w:tcPr>
            <w:tcW w:w="992" w:type="dxa"/>
            <w:shd w:val="clear" w:color="auto" w:fill="BDD7EE"/>
            <w:vAlign w:val="center"/>
            <w:hideMark/>
          </w:tcPr>
          <w:p w14:paraId="1CD3D7E8"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3" w:type="dxa"/>
            <w:shd w:val="clear" w:color="auto" w:fill="BDD7EE"/>
            <w:vAlign w:val="center"/>
            <w:hideMark/>
          </w:tcPr>
          <w:p w14:paraId="060E9BAD"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992" w:type="dxa"/>
            <w:shd w:val="clear" w:color="auto" w:fill="BDD7EE"/>
            <w:vAlign w:val="center"/>
            <w:hideMark/>
          </w:tcPr>
          <w:p w14:paraId="7976FEC1"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997" w:type="dxa"/>
            <w:shd w:val="clear" w:color="auto" w:fill="BDD7EE"/>
            <w:vAlign w:val="center"/>
            <w:hideMark/>
          </w:tcPr>
          <w:p w14:paraId="65183A2E"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20" w:type="dxa"/>
            <w:shd w:val="clear" w:color="auto" w:fill="BDD7EE"/>
            <w:vAlign w:val="center"/>
            <w:hideMark/>
          </w:tcPr>
          <w:p w14:paraId="6D7CF184"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Rok</w:t>
            </w:r>
          </w:p>
        </w:tc>
        <w:tc>
          <w:tcPr>
            <w:tcW w:w="3997" w:type="dxa"/>
            <w:vMerge/>
            <w:vAlign w:val="center"/>
            <w:hideMark/>
          </w:tcPr>
          <w:p w14:paraId="6D4A49FD" w14:textId="77777777" w:rsidR="00302FC1" w:rsidRPr="00AB26B3" w:rsidRDefault="00302FC1">
            <w:pPr>
              <w:spacing w:before="120" w:after="0" w:line="240" w:lineRule="auto"/>
              <w:rPr>
                <w:rFonts w:ascii="Times New Roman" w:eastAsia="Times New Roman" w:hAnsi="Times New Roman" w:cs="Times New Roman"/>
                <w:b/>
                <w:bCs/>
                <w:noProof/>
                <w:spacing w:val="-6"/>
                <w:sz w:val="18"/>
                <w:szCs w:val="18"/>
                <w:lang w:val="sk-SK"/>
              </w:rPr>
            </w:pPr>
          </w:p>
        </w:tc>
      </w:tr>
      <w:tr w:rsidR="00302FC1" w:rsidRPr="00AB26B3" w14:paraId="53D40EBA" w14:textId="77777777">
        <w:trPr>
          <w:trHeight w:val="313"/>
          <w:jc w:val="center"/>
        </w:trPr>
        <w:tc>
          <w:tcPr>
            <w:tcW w:w="616" w:type="dxa"/>
            <w:shd w:val="clear" w:color="auto" w:fill="C6EFCE"/>
            <w:noWrap/>
          </w:tcPr>
          <w:p w14:paraId="27F20F64"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174</w:t>
            </w:r>
          </w:p>
        </w:tc>
        <w:tc>
          <w:tcPr>
            <w:tcW w:w="1876" w:type="dxa"/>
            <w:shd w:val="clear" w:color="auto" w:fill="C6EFCE"/>
            <w:noWrap/>
          </w:tcPr>
          <w:p w14:paraId="0C452AD3" w14:textId="3DCBECB3"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16904_ Zdravotné postihnutie</w:t>
            </w:r>
          </w:p>
        </w:tc>
        <w:tc>
          <w:tcPr>
            <w:tcW w:w="1097" w:type="dxa"/>
            <w:shd w:val="clear" w:color="auto" w:fill="C6EFCE"/>
            <w:noWrap/>
          </w:tcPr>
          <w:p w14:paraId="54889CAB"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1515" w:type="dxa"/>
            <w:shd w:val="clear" w:color="auto" w:fill="C6EFCE"/>
            <w:noWrap/>
          </w:tcPr>
          <w:p w14:paraId="17EF38EB" w14:textId="0127A475"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Právne predpisy</w:t>
            </w:r>
            <w:r w:rsidR="00AB26B3" w:rsidRPr="00AB26B3">
              <w:rPr>
                <w:noProof/>
                <w:spacing w:val="-6"/>
                <w:lang w:val="sk-SK"/>
              </w:rPr>
              <w:t xml:space="preserve"> v </w:t>
            </w:r>
            <w:r w:rsidRPr="00AB26B3">
              <w:rPr>
                <w:noProof/>
                <w:spacing w:val="-6"/>
                <w:lang w:val="sk-SK"/>
              </w:rPr>
              <w:t>oblasti zdravotného postihnutia týkajúce sa osobnej asistencie</w:t>
            </w:r>
            <w:r w:rsidR="00AB26B3" w:rsidRPr="00AB26B3">
              <w:rPr>
                <w:noProof/>
                <w:spacing w:val="-6"/>
                <w:lang w:val="sk-SK"/>
              </w:rPr>
              <w:t xml:space="preserve"> a </w:t>
            </w:r>
            <w:r w:rsidRPr="00AB26B3">
              <w:rPr>
                <w:noProof/>
                <w:spacing w:val="-6"/>
                <w:lang w:val="sk-SK"/>
              </w:rPr>
              <w:t>zavedenie pilotnej schémy prvej fázy</w:t>
            </w:r>
          </w:p>
        </w:tc>
        <w:tc>
          <w:tcPr>
            <w:tcW w:w="2268" w:type="dxa"/>
            <w:shd w:val="clear" w:color="auto" w:fill="C6EFCE"/>
            <w:noWrap/>
          </w:tcPr>
          <w:p w14:paraId="4F675F52" w14:textId="3375911F"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 (odkaz na úradný vestník)</w:t>
            </w:r>
            <w:r w:rsidR="00AB26B3" w:rsidRPr="00AB26B3">
              <w:rPr>
                <w:noProof/>
                <w:spacing w:val="-6"/>
                <w:lang w:val="sk-SK"/>
              </w:rPr>
              <w:t xml:space="preserve"> a </w:t>
            </w:r>
            <w:r w:rsidRPr="00AB26B3">
              <w:rPr>
                <w:noProof/>
                <w:spacing w:val="-6"/>
                <w:lang w:val="sk-SK"/>
              </w:rPr>
              <w:t>uverejnenie oznámenia</w:t>
            </w:r>
            <w:r w:rsidR="00AB26B3" w:rsidRPr="00AB26B3">
              <w:rPr>
                <w:noProof/>
                <w:spacing w:val="-6"/>
                <w:lang w:val="sk-SK"/>
              </w:rPr>
              <w:t xml:space="preserve"> o </w:t>
            </w:r>
            <w:r w:rsidRPr="00AB26B3">
              <w:rPr>
                <w:noProof/>
                <w:spacing w:val="-6"/>
                <w:lang w:val="sk-SK"/>
              </w:rPr>
              <w:t>výzve na predkladanie žiadostí</w:t>
            </w:r>
            <w:r w:rsidR="00AB26B3" w:rsidRPr="00AB26B3">
              <w:rPr>
                <w:noProof/>
                <w:spacing w:val="-6"/>
                <w:lang w:val="sk-SK"/>
              </w:rPr>
              <w:t xml:space="preserve"> o </w:t>
            </w:r>
            <w:r w:rsidRPr="00AB26B3">
              <w:rPr>
                <w:noProof/>
                <w:spacing w:val="-6"/>
                <w:lang w:val="sk-SK"/>
              </w:rPr>
              <w:t>schému osobnej pomoci.</w:t>
            </w:r>
          </w:p>
        </w:tc>
        <w:tc>
          <w:tcPr>
            <w:tcW w:w="992" w:type="dxa"/>
            <w:shd w:val="clear" w:color="auto" w:fill="C6EFCE"/>
            <w:noWrap/>
          </w:tcPr>
          <w:p w14:paraId="4BC09F5C"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37AE6CB5"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398D1EE4"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7" w:type="dxa"/>
            <w:shd w:val="clear" w:color="auto" w:fill="C6EFCE"/>
            <w:noWrap/>
          </w:tcPr>
          <w:p w14:paraId="75E6E113"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ŠTVRŤROK</w:t>
            </w:r>
          </w:p>
        </w:tc>
        <w:tc>
          <w:tcPr>
            <w:tcW w:w="720" w:type="dxa"/>
            <w:shd w:val="clear" w:color="auto" w:fill="C6EFCE"/>
            <w:noWrap/>
          </w:tcPr>
          <w:p w14:paraId="35558459"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2022</w:t>
            </w:r>
          </w:p>
        </w:tc>
        <w:tc>
          <w:tcPr>
            <w:tcW w:w="3997" w:type="dxa"/>
            <w:shd w:val="clear" w:color="auto" w:fill="C6EFCE"/>
            <w:noWrap/>
          </w:tcPr>
          <w:p w14:paraId="2CC31A48" w14:textId="68CA73D6"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Osobná asistencia: Nadobudnutie účinnosti zákona</w:t>
            </w:r>
            <w:r w:rsidR="00AB26B3" w:rsidRPr="00AB26B3">
              <w:rPr>
                <w:noProof/>
                <w:spacing w:val="-6"/>
                <w:lang w:val="sk-SK"/>
              </w:rPr>
              <w:t xml:space="preserve"> s </w:t>
            </w:r>
            <w:r w:rsidRPr="00AB26B3">
              <w:rPr>
                <w:noProof/>
                <w:spacing w:val="-6"/>
                <w:lang w:val="sk-SK"/>
              </w:rPr>
              <w:t>cieľom umožniť deinštitucionalizáciu starostlivosti</w:t>
            </w:r>
            <w:r w:rsidR="00AB26B3" w:rsidRPr="00AB26B3">
              <w:rPr>
                <w:noProof/>
                <w:spacing w:val="-6"/>
                <w:lang w:val="sk-SK"/>
              </w:rPr>
              <w:t xml:space="preserve"> o </w:t>
            </w:r>
            <w:r w:rsidRPr="00AB26B3">
              <w:rPr>
                <w:noProof/>
                <w:spacing w:val="-6"/>
                <w:lang w:val="sk-SK"/>
              </w:rPr>
              <w:t>osoby so zdravotným postihnutím</w:t>
            </w:r>
            <w:r w:rsidR="00AB26B3" w:rsidRPr="00AB26B3">
              <w:rPr>
                <w:noProof/>
                <w:spacing w:val="-6"/>
                <w:lang w:val="sk-SK"/>
              </w:rPr>
              <w:t xml:space="preserve"> a </w:t>
            </w:r>
            <w:r w:rsidRPr="00AB26B3">
              <w:rPr>
                <w:noProof/>
                <w:spacing w:val="-6"/>
                <w:lang w:val="sk-SK"/>
              </w:rPr>
              <w:t>výzva na predkladanie žiadostí</w:t>
            </w:r>
            <w:r w:rsidR="00AB26B3" w:rsidRPr="00AB26B3">
              <w:rPr>
                <w:noProof/>
                <w:spacing w:val="-6"/>
                <w:lang w:val="sk-SK"/>
              </w:rPr>
              <w:t xml:space="preserve"> o </w:t>
            </w:r>
            <w:r w:rsidRPr="00AB26B3">
              <w:rPr>
                <w:noProof/>
                <w:spacing w:val="-6"/>
                <w:lang w:val="sk-SK"/>
              </w:rPr>
              <w:t>účasť na prvej fáze pilotného projektu vrátane procesu oprávnenosti založeného na lekárskom aj funkčnom posúdení zdravotného postihnutia multidisciplinárnou hodnotiacou komisiou</w:t>
            </w:r>
            <w:r w:rsidRPr="00AB26B3">
              <w:rPr>
                <w:noProof/>
                <w:spacing w:val="-6"/>
                <w:u w:val="single"/>
                <w:lang w:val="sk-SK"/>
              </w:rPr>
              <w:t xml:space="preserve"> </w:t>
            </w:r>
            <w:r w:rsidRPr="00AB26B3">
              <w:rPr>
                <w:noProof/>
                <w:spacing w:val="-6"/>
                <w:lang w:val="sk-SK"/>
              </w:rPr>
              <w:t xml:space="preserve"> </w:t>
            </w:r>
          </w:p>
        </w:tc>
      </w:tr>
      <w:tr w:rsidR="00302FC1" w:rsidRPr="00AB26B3" w14:paraId="7B20CBF1" w14:textId="77777777">
        <w:trPr>
          <w:trHeight w:val="313"/>
          <w:jc w:val="center"/>
        </w:trPr>
        <w:tc>
          <w:tcPr>
            <w:tcW w:w="616" w:type="dxa"/>
            <w:shd w:val="clear" w:color="auto" w:fill="C6EFCE"/>
            <w:noWrap/>
          </w:tcPr>
          <w:p w14:paraId="0945D5DB"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174a</w:t>
            </w:r>
          </w:p>
        </w:tc>
        <w:tc>
          <w:tcPr>
            <w:tcW w:w="1876" w:type="dxa"/>
            <w:shd w:val="clear" w:color="auto" w:fill="C6EFCE"/>
            <w:noWrap/>
          </w:tcPr>
          <w:p w14:paraId="5729F5B1" w14:textId="312624CF"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16904_ Zdravotné postihnutie</w:t>
            </w:r>
          </w:p>
        </w:tc>
        <w:tc>
          <w:tcPr>
            <w:tcW w:w="1097" w:type="dxa"/>
            <w:shd w:val="clear" w:color="auto" w:fill="C6EFCE"/>
            <w:noWrap/>
          </w:tcPr>
          <w:p w14:paraId="7FC37DE9"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1515" w:type="dxa"/>
            <w:shd w:val="clear" w:color="auto" w:fill="C6EFCE"/>
            <w:noWrap/>
          </w:tcPr>
          <w:p w14:paraId="09C24218" w14:textId="17CCC1C0" w:rsidR="00302FC1" w:rsidRPr="00AB26B3" w:rsidRDefault="00D64F26">
            <w:pPr>
              <w:pStyle w:val="P68B1DB1-Normal12"/>
              <w:spacing w:before="120" w:after="0" w:line="240" w:lineRule="auto"/>
              <w:rPr>
                <w:noProof/>
                <w:spacing w:val="-6"/>
                <w:lang w:val="sk-SK"/>
              </w:rPr>
            </w:pPr>
            <w:r w:rsidRPr="00AB26B3">
              <w:rPr>
                <w:noProof/>
                <w:spacing w:val="-6"/>
                <w:lang w:val="sk-SK"/>
              </w:rPr>
              <w:t>Prístupnosť</w:t>
            </w:r>
            <w:r w:rsidR="00AB26B3" w:rsidRPr="00AB26B3">
              <w:rPr>
                <w:noProof/>
                <w:spacing w:val="-6"/>
                <w:lang w:val="sk-SK"/>
              </w:rPr>
              <w:t xml:space="preserve"> a </w:t>
            </w:r>
            <w:r w:rsidRPr="00AB26B3">
              <w:rPr>
                <w:noProof/>
                <w:spacing w:val="-6"/>
                <w:lang w:val="sk-SK"/>
              </w:rPr>
              <w:t>podporná infraštruktúra, intervencie</w:t>
            </w:r>
            <w:r w:rsidR="00AB26B3" w:rsidRPr="00AB26B3">
              <w:rPr>
                <w:noProof/>
                <w:spacing w:val="-6"/>
                <w:lang w:val="sk-SK"/>
              </w:rPr>
              <w:t xml:space="preserve"> v </w:t>
            </w:r>
            <w:r w:rsidRPr="00AB26B3">
              <w:rPr>
                <w:noProof/>
                <w:spacing w:val="-6"/>
                <w:lang w:val="sk-SK"/>
              </w:rPr>
              <w:t>ranom detstve, vnútroštátne zavádzanie systému osobnej asistencie pre osoby so zdravotným postihnutím</w:t>
            </w:r>
          </w:p>
        </w:tc>
        <w:tc>
          <w:tcPr>
            <w:tcW w:w="2268" w:type="dxa"/>
            <w:shd w:val="clear" w:color="auto" w:fill="C6EFCE"/>
            <w:noWrap/>
          </w:tcPr>
          <w:p w14:paraId="7C6E3C4D" w14:textId="7962EBFE"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Dodanie infraštruktúry, podpísanie zmlúv</w:t>
            </w:r>
            <w:r w:rsidR="00AB26B3" w:rsidRPr="00AB26B3">
              <w:rPr>
                <w:noProof/>
                <w:spacing w:val="-6"/>
                <w:lang w:val="sk-SK"/>
              </w:rPr>
              <w:t xml:space="preserve"> a </w:t>
            </w:r>
            <w:r w:rsidRPr="00AB26B3">
              <w:rPr>
                <w:noProof/>
                <w:spacing w:val="-6"/>
                <w:lang w:val="sk-SK"/>
              </w:rPr>
              <w:t>uverejnenie výzvy pre príjemcov</w:t>
            </w:r>
            <w:r w:rsidR="00AB26B3" w:rsidRPr="00AB26B3">
              <w:rPr>
                <w:noProof/>
                <w:spacing w:val="-6"/>
                <w:lang w:val="sk-SK"/>
              </w:rPr>
              <w:t xml:space="preserve"> v </w:t>
            </w:r>
            <w:r w:rsidRPr="00AB26B3">
              <w:rPr>
                <w:noProof/>
                <w:spacing w:val="-6"/>
                <w:lang w:val="sk-SK"/>
              </w:rPr>
              <w:t>rámci vnútroštátneho zavádzania (systém pre osoby so zdravotným postihnutím</w:t>
            </w:r>
            <w:r w:rsidR="00AB26B3" w:rsidRPr="00AB26B3">
              <w:rPr>
                <w:noProof/>
                <w:spacing w:val="-6"/>
                <w:lang w:val="sk-SK"/>
              </w:rPr>
              <w:t xml:space="preserve"> v </w:t>
            </w:r>
            <w:r w:rsidRPr="00AB26B3">
              <w:rPr>
                <w:noProof/>
                <w:spacing w:val="-6"/>
                <w:lang w:val="sk-SK"/>
              </w:rPr>
              <w:t>rámci osobnej pomoci).</w:t>
            </w:r>
          </w:p>
        </w:tc>
        <w:tc>
          <w:tcPr>
            <w:tcW w:w="992" w:type="dxa"/>
            <w:shd w:val="clear" w:color="auto" w:fill="C6EFCE"/>
            <w:noWrap/>
          </w:tcPr>
          <w:p w14:paraId="2C0C4EE9"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6F3BFAB6"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6B0E0F8D"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7" w:type="dxa"/>
            <w:shd w:val="clear" w:color="auto" w:fill="C6EFCE"/>
            <w:noWrap/>
          </w:tcPr>
          <w:p w14:paraId="157782BF"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24DF89DE"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997" w:type="dxa"/>
            <w:shd w:val="clear" w:color="auto" w:fill="C6EFCE"/>
            <w:noWrap/>
          </w:tcPr>
          <w:p w14:paraId="7529CC52" w14:textId="77777777" w:rsidR="00AB26B3" w:rsidRPr="00AB26B3" w:rsidRDefault="00D64F26">
            <w:pPr>
              <w:pStyle w:val="P68B1DB1-Normal12"/>
              <w:spacing w:after="0" w:line="240" w:lineRule="auto"/>
              <w:textAlignment w:val="baseline"/>
              <w:rPr>
                <w:noProof/>
                <w:spacing w:val="-6"/>
                <w:lang w:val="sk-SK"/>
              </w:rPr>
            </w:pPr>
            <w:r w:rsidRPr="00AB26B3">
              <w:rPr>
                <w:noProof/>
                <w:spacing w:val="-6"/>
                <w:lang w:val="sk-SK"/>
              </w:rPr>
              <w:t>1. Dodanie</w:t>
            </w:r>
            <w:r w:rsidR="00AB26B3" w:rsidRPr="00AB26B3">
              <w:rPr>
                <w:noProof/>
                <w:spacing w:val="-6"/>
                <w:lang w:val="sk-SK"/>
              </w:rPr>
              <w:t>:</w:t>
            </w:r>
          </w:p>
          <w:p w14:paraId="033BC3C5" w14:textId="264B5098" w:rsidR="00302FC1" w:rsidRPr="00AB26B3" w:rsidRDefault="00D64F26">
            <w:pPr>
              <w:pStyle w:val="P68B1DB1-Normal12"/>
              <w:spacing w:after="0" w:line="240" w:lineRule="auto"/>
              <w:textAlignment w:val="baseline"/>
              <w:rPr>
                <w:rFonts w:eastAsia="Times New Roman"/>
                <w:noProof/>
                <w:spacing w:val="-6"/>
                <w:lang w:val="sk-SK"/>
              </w:rPr>
            </w:pPr>
            <w:r w:rsidRPr="00AB26B3">
              <w:rPr>
                <w:noProof/>
                <w:spacing w:val="-6"/>
                <w:lang w:val="sk-SK"/>
              </w:rPr>
              <w:t>a) prístupnosť</w:t>
            </w:r>
            <w:r w:rsidR="00AB26B3" w:rsidRPr="00AB26B3">
              <w:rPr>
                <w:noProof/>
                <w:spacing w:val="-6"/>
                <w:lang w:val="sk-SK"/>
              </w:rPr>
              <w:t xml:space="preserve"> a </w:t>
            </w:r>
            <w:r w:rsidRPr="00AB26B3">
              <w:rPr>
                <w:noProof/>
                <w:spacing w:val="-6"/>
                <w:lang w:val="sk-SK"/>
              </w:rPr>
              <w:t>podporná infraštruktúra</w:t>
            </w:r>
            <w:r w:rsidR="00AB26B3" w:rsidRPr="00AB26B3">
              <w:rPr>
                <w:noProof/>
                <w:spacing w:val="-6"/>
                <w:lang w:val="sk-SK"/>
              </w:rPr>
              <w:t xml:space="preserve"> v </w:t>
            </w:r>
            <w:r w:rsidRPr="00AB26B3">
              <w:rPr>
                <w:noProof/>
                <w:spacing w:val="-6"/>
                <w:lang w:val="sk-SK"/>
              </w:rPr>
              <w:t>súkromných domoch, na pracoviskách</w:t>
            </w:r>
            <w:r w:rsidR="00AB26B3" w:rsidRPr="00AB26B3">
              <w:rPr>
                <w:noProof/>
                <w:spacing w:val="-6"/>
                <w:lang w:val="sk-SK"/>
              </w:rPr>
              <w:t xml:space="preserve"> a </w:t>
            </w:r>
            <w:r w:rsidRPr="00AB26B3">
              <w:rPr>
                <w:noProof/>
                <w:spacing w:val="-6"/>
                <w:lang w:val="sk-SK"/>
              </w:rPr>
              <w:t>vo verejných budovách vybraná prostredníctvom výzvy na uľahčenie prístupu pre osoby</w:t>
            </w:r>
            <w:r w:rsidR="00AB26B3" w:rsidRPr="00AB26B3">
              <w:rPr>
                <w:noProof/>
                <w:spacing w:val="-6"/>
                <w:lang w:val="sk-SK"/>
              </w:rPr>
              <w:t xml:space="preserve"> s </w:t>
            </w:r>
            <w:r w:rsidRPr="00AB26B3">
              <w:rPr>
                <w:noProof/>
                <w:spacing w:val="-6"/>
                <w:lang w:val="sk-SK"/>
              </w:rPr>
              <w:t>mobilitou</w:t>
            </w:r>
            <w:r w:rsidR="00AB26B3" w:rsidRPr="00AB26B3">
              <w:rPr>
                <w:noProof/>
                <w:spacing w:val="-6"/>
                <w:lang w:val="sk-SK"/>
              </w:rPr>
              <w:t xml:space="preserve"> a </w:t>
            </w:r>
            <w:r w:rsidRPr="00AB26B3">
              <w:rPr>
                <w:noProof/>
                <w:spacing w:val="-6"/>
                <w:lang w:val="sk-SK"/>
              </w:rPr>
              <w:t>zmyslovými poruchami;</w:t>
            </w:r>
          </w:p>
          <w:p w14:paraId="1508B9D6" w14:textId="77777777" w:rsidR="00AB26B3" w:rsidRPr="00AB26B3" w:rsidRDefault="00D64F26">
            <w:pPr>
              <w:pStyle w:val="P68B1DB1-Normal12"/>
              <w:spacing w:after="0" w:line="240" w:lineRule="auto"/>
              <w:textAlignment w:val="baseline"/>
              <w:rPr>
                <w:noProof/>
                <w:spacing w:val="-6"/>
                <w:lang w:val="sk-SK"/>
              </w:rPr>
            </w:pPr>
            <w:r w:rsidRPr="00AB26B3">
              <w:rPr>
                <w:noProof/>
                <w:spacing w:val="-6"/>
                <w:lang w:val="sk-SK"/>
              </w:rPr>
              <w:t>b) podpísané zmluvy medzi rodičmi</w:t>
            </w:r>
            <w:r w:rsidR="00AB26B3" w:rsidRPr="00AB26B3">
              <w:rPr>
                <w:noProof/>
                <w:spacing w:val="-6"/>
                <w:lang w:val="sk-SK"/>
              </w:rPr>
              <w:t xml:space="preserve"> a </w:t>
            </w:r>
            <w:r w:rsidRPr="00AB26B3">
              <w:rPr>
                <w:noProof/>
                <w:spacing w:val="-6"/>
                <w:lang w:val="sk-SK"/>
              </w:rPr>
              <w:t>organizáciami poskytujúcimi intervencie</w:t>
            </w:r>
            <w:r w:rsidR="00AB26B3" w:rsidRPr="00AB26B3">
              <w:rPr>
                <w:noProof/>
                <w:spacing w:val="-6"/>
                <w:lang w:val="sk-SK"/>
              </w:rPr>
              <w:t xml:space="preserve"> v </w:t>
            </w:r>
            <w:r w:rsidRPr="00AB26B3">
              <w:rPr>
                <w:noProof/>
                <w:spacing w:val="-6"/>
                <w:lang w:val="sk-SK"/>
              </w:rPr>
              <w:t>ranom detstve (terapeutické alebo vzdelávacie programy) pre deti vybrané na základe výzvy</w:t>
            </w:r>
          </w:p>
          <w:p w14:paraId="6581935D" w14:textId="051F18D8" w:rsidR="00302FC1" w:rsidRPr="00AB26B3" w:rsidRDefault="00302FC1">
            <w:pPr>
              <w:spacing w:after="0" w:line="240" w:lineRule="auto"/>
              <w:textAlignment w:val="baseline"/>
              <w:rPr>
                <w:rFonts w:ascii="Times New Roman" w:hAnsi="Times New Roman" w:cs="Times New Roman"/>
                <w:noProof/>
                <w:color w:val="006100"/>
                <w:spacing w:val="-6"/>
                <w:sz w:val="18"/>
                <w:szCs w:val="18"/>
                <w:lang w:val="sk-SK"/>
              </w:rPr>
            </w:pPr>
          </w:p>
          <w:p w14:paraId="36FF4C59" w14:textId="506E7A5A" w:rsidR="00302FC1" w:rsidRPr="00AB26B3" w:rsidRDefault="00D64F26">
            <w:pPr>
              <w:pStyle w:val="P68B1DB1-Normal12"/>
              <w:spacing w:after="0" w:line="240" w:lineRule="auto"/>
              <w:textAlignment w:val="baseline"/>
              <w:rPr>
                <w:noProof/>
                <w:spacing w:val="-6"/>
                <w:lang w:val="sk-SK"/>
              </w:rPr>
            </w:pPr>
            <w:r w:rsidRPr="00AB26B3">
              <w:rPr>
                <w:noProof/>
                <w:spacing w:val="-6"/>
                <w:lang w:val="sk-SK"/>
              </w:rPr>
              <w:t>2. Uverejnenie výzvy pre príjemcov celoštátneho zavedenia systému pre osoby so zdravotným postihnutím</w:t>
            </w:r>
            <w:r w:rsidR="00AB26B3" w:rsidRPr="00AB26B3">
              <w:rPr>
                <w:noProof/>
                <w:spacing w:val="-6"/>
                <w:lang w:val="sk-SK"/>
              </w:rPr>
              <w:t xml:space="preserve"> v </w:t>
            </w:r>
            <w:r w:rsidRPr="00AB26B3">
              <w:rPr>
                <w:noProof/>
                <w:spacing w:val="-6"/>
                <w:lang w:val="sk-SK"/>
              </w:rPr>
              <w:t>rámci osobnej asistencie</w:t>
            </w:r>
          </w:p>
        </w:tc>
      </w:tr>
      <w:tr w:rsidR="00302FC1" w:rsidRPr="00AB26B3" w14:paraId="4994BA98" w14:textId="77777777">
        <w:trPr>
          <w:trHeight w:val="313"/>
          <w:jc w:val="center"/>
        </w:trPr>
        <w:tc>
          <w:tcPr>
            <w:tcW w:w="616" w:type="dxa"/>
            <w:shd w:val="clear" w:color="auto" w:fill="C6EFCE"/>
            <w:noWrap/>
          </w:tcPr>
          <w:p w14:paraId="343CE60C"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175</w:t>
            </w:r>
          </w:p>
        </w:tc>
        <w:tc>
          <w:tcPr>
            <w:tcW w:w="1876" w:type="dxa"/>
            <w:shd w:val="clear" w:color="auto" w:fill="C6EFCE"/>
            <w:noWrap/>
          </w:tcPr>
          <w:p w14:paraId="1F5219D3" w14:textId="2629A0BB"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Zlepšenie prístupu</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16726 Optimalizácia sociálnych prínosov</w:t>
            </w:r>
          </w:p>
        </w:tc>
        <w:tc>
          <w:tcPr>
            <w:tcW w:w="1097" w:type="dxa"/>
            <w:shd w:val="clear" w:color="auto" w:fill="C6EFCE"/>
            <w:noWrap/>
          </w:tcPr>
          <w:p w14:paraId="2BB587B9"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1515" w:type="dxa"/>
            <w:shd w:val="clear" w:color="auto" w:fill="C6EFCE"/>
            <w:noWrap/>
          </w:tcPr>
          <w:p w14:paraId="6E249667"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Optimalizácia sociálnych výhod predplatené karty</w:t>
            </w:r>
          </w:p>
        </w:tc>
        <w:tc>
          <w:tcPr>
            <w:tcW w:w="2268" w:type="dxa"/>
            <w:shd w:val="clear" w:color="auto" w:fill="C6EFCE"/>
            <w:noWrap/>
          </w:tcPr>
          <w:p w14:paraId="0CAAD13A"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Vydávanie predplatených kariet na vyplácanie sociálnych dávok poskytovaných týmito dvoma službami</w:t>
            </w:r>
          </w:p>
        </w:tc>
        <w:tc>
          <w:tcPr>
            <w:tcW w:w="992" w:type="dxa"/>
            <w:shd w:val="clear" w:color="auto" w:fill="C6EFCE"/>
            <w:noWrap/>
          </w:tcPr>
          <w:p w14:paraId="10294F74"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1BD9BD28"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0B3A5ADC"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7" w:type="dxa"/>
            <w:shd w:val="clear" w:color="auto" w:fill="C6EFCE"/>
            <w:noWrap/>
          </w:tcPr>
          <w:p w14:paraId="58BC6DA8"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4FC7A7AA"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2024</w:t>
            </w:r>
          </w:p>
        </w:tc>
        <w:tc>
          <w:tcPr>
            <w:tcW w:w="3997" w:type="dxa"/>
            <w:shd w:val="clear" w:color="auto" w:fill="C6EFCE"/>
            <w:noWrap/>
          </w:tcPr>
          <w:p w14:paraId="3977F23C" w14:textId="16857ECF"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Vydávanie predplatených kariet na vyplácanie väčšiny sociálnych dávok poskytovaných jednotným orgánom pre vyplácanie sociálnych dávok (OPEKA)</w:t>
            </w:r>
            <w:r w:rsidR="00AB26B3" w:rsidRPr="00AB26B3">
              <w:rPr>
                <w:noProof/>
                <w:spacing w:val="-6"/>
                <w:lang w:val="sk-SK"/>
              </w:rPr>
              <w:t xml:space="preserve"> a </w:t>
            </w:r>
            <w:r w:rsidRPr="00AB26B3">
              <w:rPr>
                <w:noProof/>
                <w:spacing w:val="-6"/>
                <w:lang w:val="sk-SK"/>
              </w:rPr>
              <w:t>verejnými službami zamestnanosti (DYPA)</w:t>
            </w:r>
          </w:p>
        </w:tc>
      </w:tr>
      <w:tr w:rsidR="00302FC1" w:rsidRPr="00AB26B3" w14:paraId="79011D94" w14:textId="77777777">
        <w:trPr>
          <w:trHeight w:val="313"/>
          <w:jc w:val="center"/>
        </w:trPr>
        <w:tc>
          <w:tcPr>
            <w:tcW w:w="616" w:type="dxa"/>
            <w:shd w:val="clear" w:color="auto" w:fill="C6EFCE"/>
            <w:noWrap/>
          </w:tcPr>
          <w:p w14:paraId="69C7280B"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175a</w:t>
            </w:r>
          </w:p>
          <w:p w14:paraId="18580B22"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876" w:type="dxa"/>
            <w:shd w:val="clear" w:color="auto" w:fill="C6EFCE"/>
            <w:noWrap/>
          </w:tcPr>
          <w:p w14:paraId="04AFE8BA" w14:textId="39F738F0"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Zlepšenie prístupu</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16726 Optimalizácia sociálnych prínosov</w:t>
            </w:r>
          </w:p>
        </w:tc>
        <w:tc>
          <w:tcPr>
            <w:tcW w:w="1097" w:type="dxa"/>
            <w:shd w:val="clear" w:color="auto" w:fill="C6EFCE"/>
            <w:noWrap/>
          </w:tcPr>
          <w:p w14:paraId="6B7FE516"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1515" w:type="dxa"/>
            <w:shd w:val="clear" w:color="auto" w:fill="C6EFCE"/>
            <w:noWrap/>
          </w:tcPr>
          <w:p w14:paraId="24845BB4"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Optimalizácia sociálnych výhod predplatené karty</w:t>
            </w:r>
          </w:p>
        </w:tc>
        <w:tc>
          <w:tcPr>
            <w:tcW w:w="2268" w:type="dxa"/>
            <w:shd w:val="clear" w:color="auto" w:fill="C6EFCE"/>
            <w:noWrap/>
          </w:tcPr>
          <w:p w14:paraId="04BED2A6"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Nadobudnutie účinnosti právnych predpisov.</w:t>
            </w:r>
          </w:p>
        </w:tc>
        <w:tc>
          <w:tcPr>
            <w:tcW w:w="992" w:type="dxa"/>
            <w:shd w:val="clear" w:color="auto" w:fill="C6EFCE"/>
            <w:noWrap/>
          </w:tcPr>
          <w:p w14:paraId="27A3DE02"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5488B2F0"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1B459494"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7" w:type="dxa"/>
            <w:shd w:val="clear" w:color="auto" w:fill="C6EFCE"/>
            <w:noWrap/>
          </w:tcPr>
          <w:p w14:paraId="5761C11D"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ŠTVRŤROK</w:t>
            </w:r>
          </w:p>
        </w:tc>
        <w:tc>
          <w:tcPr>
            <w:tcW w:w="720" w:type="dxa"/>
            <w:shd w:val="clear" w:color="auto" w:fill="C6EFCE"/>
            <w:noWrap/>
          </w:tcPr>
          <w:p w14:paraId="4611EFE1" w14:textId="29D2909E"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2024</w:t>
            </w:r>
          </w:p>
        </w:tc>
        <w:tc>
          <w:tcPr>
            <w:tcW w:w="3997" w:type="dxa"/>
            <w:shd w:val="clear" w:color="auto" w:fill="C6EFCE"/>
            <w:noWrap/>
          </w:tcPr>
          <w:p w14:paraId="392C713E" w14:textId="09097151" w:rsidR="00302FC1" w:rsidRPr="00AB26B3" w:rsidRDefault="00D64F26">
            <w:pPr>
              <w:spacing w:before="120" w:after="0" w:line="240" w:lineRule="auto"/>
              <w:rPr>
                <w:rFonts w:ascii="Times New Roman" w:eastAsia="Times New Roman" w:hAnsi="Times New Roman" w:cs="Times New Roman"/>
                <w:noProof/>
                <w:color w:val="006100"/>
                <w:spacing w:val="-6"/>
                <w:sz w:val="18"/>
                <w:szCs w:val="18"/>
                <w:lang w:val="sk-SK"/>
              </w:rPr>
            </w:pPr>
            <w:r w:rsidRPr="00AB26B3">
              <w:rPr>
                <w:rFonts w:ascii="Times New Roman" w:hAnsi="Times New Roman" w:cs="Times New Roman"/>
                <w:noProof/>
                <w:color w:val="006100"/>
                <w:spacing w:val="-6"/>
                <w:sz w:val="18"/>
                <w:szCs w:val="18"/>
                <w:lang w:val="sk-SK"/>
              </w:rPr>
              <w:t>Nadobudnutie účinnosti právnych aktov, ktorými sa príjemcom poskytujú stimuly na používanie predplatených kariet na nákup tovaru</w:t>
            </w:r>
            <w:r w:rsidR="00AB26B3" w:rsidRPr="00AB26B3">
              <w:rPr>
                <w:rFonts w:ascii="Times New Roman" w:hAnsi="Times New Roman" w:cs="Times New Roman"/>
                <w:noProof/>
                <w:color w:val="006100"/>
                <w:spacing w:val="-6"/>
                <w:sz w:val="18"/>
                <w:szCs w:val="18"/>
                <w:lang w:val="sk-SK"/>
              </w:rPr>
              <w:t xml:space="preserve"> a </w:t>
            </w:r>
            <w:r w:rsidRPr="00AB26B3">
              <w:rPr>
                <w:rFonts w:ascii="Times New Roman" w:hAnsi="Times New Roman" w:cs="Times New Roman"/>
                <w:noProof/>
                <w:color w:val="006100"/>
                <w:spacing w:val="-6"/>
                <w:sz w:val="18"/>
                <w:szCs w:val="18"/>
                <w:lang w:val="sk-SK"/>
              </w:rPr>
              <w:t>služieb</w:t>
            </w:r>
            <w:r w:rsidRPr="00AB26B3">
              <w:rPr>
                <w:rStyle w:val="eop"/>
                <w:rFonts w:ascii="Times New Roman" w:hAnsi="Times New Roman" w:cs="Times New Roman"/>
                <w:noProof/>
                <w:color w:val="000000" w:themeColor="text1"/>
                <w:spacing w:val="-6"/>
                <w:sz w:val="18"/>
                <w:szCs w:val="18"/>
                <w:lang w:val="sk-SK"/>
              </w:rPr>
              <w:t>.</w:t>
            </w:r>
          </w:p>
        </w:tc>
      </w:tr>
      <w:tr w:rsidR="00302FC1" w:rsidRPr="00AB26B3" w14:paraId="3B2B30F6" w14:textId="77777777">
        <w:trPr>
          <w:trHeight w:val="313"/>
          <w:jc w:val="center"/>
        </w:trPr>
        <w:tc>
          <w:tcPr>
            <w:tcW w:w="616" w:type="dxa"/>
            <w:shd w:val="clear" w:color="auto" w:fill="C6EFCE"/>
            <w:noWrap/>
          </w:tcPr>
          <w:p w14:paraId="3AD8B09A"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176</w:t>
            </w:r>
          </w:p>
        </w:tc>
        <w:tc>
          <w:tcPr>
            <w:tcW w:w="1876" w:type="dxa"/>
            <w:shd w:val="clear" w:color="auto" w:fill="C6EFCE"/>
            <w:noWrap/>
          </w:tcPr>
          <w:p w14:paraId="25FBC4E9" w14:textId="01125AA4"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16904_Zdravotné postihnutie</w:t>
            </w:r>
          </w:p>
        </w:tc>
        <w:tc>
          <w:tcPr>
            <w:tcW w:w="1097" w:type="dxa"/>
            <w:shd w:val="clear" w:color="auto" w:fill="C6EFCE"/>
            <w:noWrap/>
          </w:tcPr>
          <w:p w14:paraId="46BDE4A1"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1515" w:type="dxa"/>
            <w:shd w:val="clear" w:color="auto" w:fill="C6EFCE"/>
            <w:noWrap/>
          </w:tcPr>
          <w:p w14:paraId="7DF8C0FD" w14:textId="1A62C793"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Posúdenie zdravotného postihnutia osobnej asistencie</w:t>
            </w:r>
          </w:p>
        </w:tc>
        <w:tc>
          <w:tcPr>
            <w:tcW w:w="2268" w:type="dxa"/>
            <w:shd w:val="clear" w:color="auto" w:fill="C6EFCE"/>
            <w:noWrap/>
          </w:tcPr>
          <w:p w14:paraId="4B109535"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Osobných asistentov pridelených najmenej 1500 oprávneným osobám.</w:t>
            </w:r>
          </w:p>
          <w:p w14:paraId="5638F04A"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61671F26"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4C22CD98"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6E36236C"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7" w:type="dxa"/>
            <w:shd w:val="clear" w:color="auto" w:fill="C6EFCE"/>
            <w:noWrap/>
          </w:tcPr>
          <w:p w14:paraId="2DF9D2F5"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641ECA0F"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2024</w:t>
            </w:r>
          </w:p>
        </w:tc>
        <w:tc>
          <w:tcPr>
            <w:tcW w:w="3997" w:type="dxa"/>
            <w:shd w:val="clear" w:color="auto" w:fill="C6EFCE"/>
            <w:noWrap/>
          </w:tcPr>
          <w:p w14:paraId="0C3A7F1D" w14:textId="0E02C2B6"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Pridelenie osobných asistentov pre najmenej 1500 príjemcov vrátane postupu posudzovania zdravotného postihnutia multidisciplinárnym hodnotiacim výborom.</w:t>
            </w:r>
          </w:p>
        </w:tc>
      </w:tr>
      <w:tr w:rsidR="00302FC1" w:rsidRPr="00AB26B3" w14:paraId="193A2DE8" w14:textId="77777777">
        <w:trPr>
          <w:trHeight w:val="313"/>
          <w:jc w:val="center"/>
        </w:trPr>
        <w:tc>
          <w:tcPr>
            <w:tcW w:w="616" w:type="dxa"/>
            <w:shd w:val="clear" w:color="auto" w:fill="C6EFCE"/>
            <w:noWrap/>
          </w:tcPr>
          <w:p w14:paraId="03021467"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178</w:t>
            </w:r>
          </w:p>
        </w:tc>
        <w:tc>
          <w:tcPr>
            <w:tcW w:w="1876" w:type="dxa"/>
            <w:shd w:val="clear" w:color="auto" w:fill="C6EFCE"/>
            <w:noWrap/>
          </w:tcPr>
          <w:p w14:paraId="01D56E64" w14:textId="07EA97B0"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16919_Ochrana detí</w:t>
            </w:r>
          </w:p>
        </w:tc>
        <w:tc>
          <w:tcPr>
            <w:tcW w:w="1097" w:type="dxa"/>
            <w:shd w:val="clear" w:color="auto" w:fill="C6EFCE"/>
            <w:noWrap/>
          </w:tcPr>
          <w:p w14:paraId="73F8A3EE"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1515" w:type="dxa"/>
            <w:shd w:val="clear" w:color="auto" w:fill="C6EFCE"/>
            <w:noWrap/>
          </w:tcPr>
          <w:p w14:paraId="24B5DBBE" w14:textId="1B04D163" w:rsidR="00302FC1" w:rsidRPr="00AB26B3" w:rsidRDefault="00D64F26">
            <w:pPr>
              <w:pStyle w:val="P68B1DB1-Normal43"/>
              <w:spacing w:before="120" w:after="0" w:line="240" w:lineRule="auto"/>
              <w:rPr>
                <w:rFonts w:eastAsia="Times New Roman"/>
                <w:noProof/>
                <w:spacing w:val="-6"/>
                <w:lang w:val="sk-SK"/>
              </w:rPr>
            </w:pPr>
            <w:r w:rsidRPr="00AB26B3">
              <w:rPr>
                <w:noProof/>
                <w:spacing w:val="-6"/>
                <w:lang w:val="sk-SK"/>
              </w:rPr>
              <w:t xml:space="preserve">Samostatné obytné byty na deinštitucionalizáciu osôb do 26 rokov </w:t>
            </w:r>
          </w:p>
        </w:tc>
        <w:tc>
          <w:tcPr>
            <w:tcW w:w="2268" w:type="dxa"/>
            <w:shd w:val="clear" w:color="auto" w:fill="C6EFCE"/>
            <w:noWrap/>
          </w:tcPr>
          <w:p w14:paraId="6FBBC4CA" w14:textId="1AF47445"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Prijatie právneho aktu, ktorým sa umožní umiestnenie osôb do 26 rokov do čiastočne nezávislých obytných bytov</w:t>
            </w:r>
          </w:p>
        </w:tc>
        <w:tc>
          <w:tcPr>
            <w:tcW w:w="992" w:type="dxa"/>
            <w:shd w:val="clear" w:color="auto" w:fill="C6EFCE"/>
            <w:noWrap/>
          </w:tcPr>
          <w:p w14:paraId="11795F23"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78438EF6"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52D07DFC"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7" w:type="dxa"/>
            <w:shd w:val="clear" w:color="auto" w:fill="C6EFCE"/>
            <w:noWrap/>
          </w:tcPr>
          <w:p w14:paraId="237E07E3"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3501530D"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997" w:type="dxa"/>
            <w:shd w:val="clear" w:color="auto" w:fill="C6EFCE"/>
            <w:noWrap/>
          </w:tcPr>
          <w:p w14:paraId="0EDBED6C" w14:textId="57B7DF93"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Prijatie právneho aktu, ktorým sa umožní umiestnenie 200 osôb vo veku do 26 rokov, ktoré</w:t>
            </w:r>
            <w:r w:rsidR="00AB26B3" w:rsidRPr="00AB26B3">
              <w:rPr>
                <w:noProof/>
                <w:spacing w:val="-6"/>
                <w:lang w:val="sk-SK"/>
              </w:rPr>
              <w:t xml:space="preserve"> v </w:t>
            </w:r>
            <w:r w:rsidRPr="00AB26B3">
              <w:rPr>
                <w:noProof/>
                <w:spacing w:val="-6"/>
                <w:lang w:val="sk-SK"/>
              </w:rPr>
              <w:t>súčasnosti bývajú</w:t>
            </w:r>
            <w:r w:rsidR="00AB26B3" w:rsidRPr="00AB26B3">
              <w:rPr>
                <w:noProof/>
                <w:spacing w:val="-6"/>
                <w:lang w:val="sk-SK"/>
              </w:rPr>
              <w:t xml:space="preserve"> v </w:t>
            </w:r>
            <w:r w:rsidRPr="00AB26B3">
              <w:rPr>
                <w:noProof/>
                <w:spacing w:val="-6"/>
                <w:lang w:val="sk-SK"/>
              </w:rPr>
              <w:t>útvaroch na ochranu detí (CPU),</w:t>
            </w:r>
            <w:r w:rsidR="00AB26B3" w:rsidRPr="00AB26B3">
              <w:rPr>
                <w:noProof/>
                <w:spacing w:val="-6"/>
                <w:lang w:val="sk-SK"/>
              </w:rPr>
              <w:t xml:space="preserve"> v </w:t>
            </w:r>
            <w:r w:rsidRPr="00AB26B3">
              <w:rPr>
                <w:noProof/>
                <w:spacing w:val="-6"/>
                <w:lang w:val="sk-SK"/>
              </w:rPr>
              <w:t>bytoch</w:t>
            </w:r>
            <w:r w:rsidR="00AB26B3" w:rsidRPr="00AB26B3">
              <w:rPr>
                <w:noProof/>
                <w:spacing w:val="-6"/>
                <w:lang w:val="sk-SK"/>
              </w:rPr>
              <w:t xml:space="preserve"> a s </w:t>
            </w:r>
            <w:r w:rsidRPr="00AB26B3">
              <w:rPr>
                <w:noProof/>
                <w:spacing w:val="-6"/>
                <w:lang w:val="sk-SK"/>
              </w:rPr>
              <w:t>podporou bývania.</w:t>
            </w:r>
          </w:p>
          <w:p w14:paraId="262FF797"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3FEB2F93" w14:textId="77777777">
        <w:trPr>
          <w:trHeight w:val="313"/>
          <w:jc w:val="center"/>
        </w:trPr>
        <w:tc>
          <w:tcPr>
            <w:tcW w:w="616" w:type="dxa"/>
            <w:shd w:val="clear" w:color="auto" w:fill="C6EFCE"/>
            <w:noWrap/>
          </w:tcPr>
          <w:p w14:paraId="67FFCCC9"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179</w:t>
            </w:r>
          </w:p>
        </w:tc>
        <w:tc>
          <w:tcPr>
            <w:tcW w:w="1876" w:type="dxa"/>
            <w:shd w:val="clear" w:color="auto" w:fill="C6EFCE"/>
            <w:noWrap/>
          </w:tcPr>
          <w:p w14:paraId="5B601B00" w14:textId="2531644D"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16904_ Zdravotné postihnutie</w:t>
            </w:r>
          </w:p>
        </w:tc>
        <w:tc>
          <w:tcPr>
            <w:tcW w:w="1097" w:type="dxa"/>
            <w:shd w:val="clear" w:color="auto" w:fill="C6EFCE"/>
            <w:noWrap/>
          </w:tcPr>
          <w:p w14:paraId="10F8C2FE"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1515" w:type="dxa"/>
            <w:shd w:val="clear" w:color="auto" w:fill="C6EFCE"/>
            <w:noWrap/>
          </w:tcPr>
          <w:p w14:paraId="325D44A5" w14:textId="5330F3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Vnútroštátne zavedenie systému pre osoby so zdravotným postihnutím</w:t>
            </w:r>
            <w:r w:rsidR="00AB26B3" w:rsidRPr="00AB26B3">
              <w:rPr>
                <w:noProof/>
                <w:spacing w:val="-6"/>
                <w:lang w:val="sk-SK"/>
              </w:rPr>
              <w:t xml:space="preserve"> v </w:t>
            </w:r>
            <w:r w:rsidRPr="00AB26B3">
              <w:rPr>
                <w:noProof/>
                <w:spacing w:val="-6"/>
                <w:lang w:val="sk-SK"/>
              </w:rPr>
              <w:t>rámci osobnej asistencie</w:t>
            </w:r>
            <w:r w:rsidR="00AB26B3" w:rsidRPr="00AB26B3">
              <w:rPr>
                <w:noProof/>
                <w:spacing w:val="-6"/>
                <w:lang w:val="sk-SK"/>
              </w:rPr>
              <w:t xml:space="preserve"> a </w:t>
            </w:r>
            <w:r w:rsidRPr="00AB26B3">
              <w:rPr>
                <w:noProof/>
                <w:spacing w:val="-6"/>
                <w:lang w:val="sk-SK"/>
              </w:rPr>
              <w:t>realizácia druhej fázy hodnotenia zdravotného postihnutia</w:t>
            </w:r>
            <w:r w:rsidR="00AB26B3" w:rsidRPr="00AB26B3">
              <w:rPr>
                <w:noProof/>
                <w:spacing w:val="-6"/>
                <w:lang w:val="sk-SK"/>
              </w:rPr>
              <w:t xml:space="preserve"> v </w:t>
            </w:r>
            <w:r w:rsidRPr="00AB26B3">
              <w:rPr>
                <w:noProof/>
                <w:spacing w:val="-6"/>
                <w:lang w:val="sk-SK"/>
              </w:rPr>
              <w:t>rámci osobnej asistencie</w:t>
            </w:r>
          </w:p>
        </w:tc>
        <w:tc>
          <w:tcPr>
            <w:tcW w:w="2268" w:type="dxa"/>
            <w:shd w:val="clear" w:color="auto" w:fill="C6EFCE"/>
            <w:noWrap/>
          </w:tcPr>
          <w:p w14:paraId="3F1F3486" w14:textId="5C2212B0"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a) Nadobudnutie účinnosti právneho aktu pre zavádzanie na vnútroštátnej úrovni</w:t>
            </w:r>
            <w:r w:rsidR="00AB26B3" w:rsidRPr="00AB26B3">
              <w:rPr>
                <w:noProof/>
                <w:spacing w:val="-6"/>
                <w:lang w:val="sk-SK"/>
              </w:rPr>
              <w:t xml:space="preserve"> a </w:t>
            </w:r>
            <w:r w:rsidRPr="00AB26B3">
              <w:rPr>
                <w:noProof/>
                <w:spacing w:val="-6"/>
                <w:lang w:val="sk-SK"/>
              </w:rPr>
              <w:t>b) hodnotiaca správa pilotnej schémy</w:t>
            </w:r>
            <w:r w:rsidR="00AB26B3" w:rsidRPr="00AB26B3">
              <w:rPr>
                <w:noProof/>
                <w:spacing w:val="-6"/>
                <w:lang w:val="sk-SK"/>
              </w:rPr>
              <w:t xml:space="preserve"> a </w:t>
            </w:r>
            <w:r w:rsidRPr="00AB26B3">
              <w:rPr>
                <w:noProof/>
                <w:spacing w:val="-6"/>
                <w:lang w:val="sk-SK"/>
              </w:rPr>
              <w:t>systému posudzovania so štatistikami</w:t>
            </w:r>
            <w:r w:rsidR="00AB26B3" w:rsidRPr="00AB26B3">
              <w:rPr>
                <w:noProof/>
                <w:spacing w:val="-6"/>
                <w:lang w:val="sk-SK"/>
              </w:rPr>
              <w:t xml:space="preserve"> a </w:t>
            </w:r>
            <w:r w:rsidRPr="00AB26B3">
              <w:rPr>
                <w:noProof/>
                <w:spacing w:val="-6"/>
                <w:lang w:val="sk-SK"/>
              </w:rPr>
              <w:t xml:space="preserve">odporúčaniami. </w:t>
            </w:r>
          </w:p>
        </w:tc>
        <w:tc>
          <w:tcPr>
            <w:tcW w:w="992" w:type="dxa"/>
            <w:shd w:val="clear" w:color="auto" w:fill="C6EFCE"/>
            <w:noWrap/>
          </w:tcPr>
          <w:p w14:paraId="2B2ED691"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3" w:type="dxa"/>
            <w:shd w:val="clear" w:color="auto" w:fill="C6EFCE"/>
            <w:noWrap/>
          </w:tcPr>
          <w:p w14:paraId="3EEA4301"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3C195E65"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997" w:type="dxa"/>
            <w:shd w:val="clear" w:color="auto" w:fill="C6EFCE"/>
            <w:noWrap/>
          </w:tcPr>
          <w:p w14:paraId="34472B26"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20" w:type="dxa"/>
            <w:shd w:val="clear" w:color="auto" w:fill="C6EFCE"/>
            <w:noWrap/>
          </w:tcPr>
          <w:p w14:paraId="294F1E35"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997" w:type="dxa"/>
            <w:shd w:val="clear" w:color="auto" w:fill="C6EFCE"/>
            <w:noWrap/>
          </w:tcPr>
          <w:p w14:paraId="5B46A314" w14:textId="78F8D826"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Nadobudnutie účinnosti právneho aktu</w:t>
            </w:r>
            <w:r w:rsidR="00AB26B3" w:rsidRPr="00AB26B3">
              <w:rPr>
                <w:noProof/>
                <w:spacing w:val="-6"/>
                <w:lang w:val="sk-SK"/>
              </w:rPr>
              <w:t xml:space="preserve"> s </w:t>
            </w:r>
            <w:r w:rsidRPr="00AB26B3">
              <w:rPr>
                <w:noProof/>
                <w:spacing w:val="-6"/>
                <w:lang w:val="sk-SK"/>
              </w:rPr>
              <w:t>cieľom umožniť celoštátne zavedenie systému pre osoby so zdravotným postihnutím</w:t>
            </w:r>
            <w:r w:rsidR="00AB26B3" w:rsidRPr="00AB26B3">
              <w:rPr>
                <w:noProof/>
                <w:spacing w:val="-6"/>
                <w:lang w:val="sk-SK"/>
              </w:rPr>
              <w:t xml:space="preserve"> v </w:t>
            </w:r>
            <w:r w:rsidRPr="00AB26B3">
              <w:rPr>
                <w:noProof/>
                <w:spacing w:val="-6"/>
                <w:lang w:val="sk-SK"/>
              </w:rPr>
              <w:t>rámci osobnej asistencie vrátane procesu lekárskeho</w:t>
            </w:r>
            <w:r w:rsidR="00AB26B3" w:rsidRPr="00AB26B3">
              <w:rPr>
                <w:noProof/>
                <w:spacing w:val="-6"/>
                <w:lang w:val="sk-SK"/>
              </w:rPr>
              <w:t xml:space="preserve"> a </w:t>
            </w:r>
            <w:r w:rsidRPr="00AB26B3">
              <w:rPr>
                <w:noProof/>
                <w:spacing w:val="-6"/>
                <w:lang w:val="sk-SK"/>
              </w:rPr>
              <w:t>funkčného posúdenia</w:t>
            </w:r>
            <w:r w:rsidR="00AB26B3" w:rsidRPr="00AB26B3">
              <w:rPr>
                <w:noProof/>
                <w:spacing w:val="-6"/>
                <w:lang w:val="sk-SK"/>
              </w:rPr>
              <w:t xml:space="preserve"> a </w:t>
            </w:r>
            <w:r w:rsidRPr="00AB26B3">
              <w:rPr>
                <w:noProof/>
                <w:spacing w:val="-6"/>
                <w:lang w:val="sk-SK"/>
              </w:rPr>
              <w:t>predloženia hodnotiacej správy</w:t>
            </w:r>
            <w:r w:rsidR="00AB26B3" w:rsidRPr="00AB26B3">
              <w:rPr>
                <w:noProof/>
                <w:spacing w:val="-6"/>
                <w:lang w:val="sk-SK"/>
              </w:rPr>
              <w:t xml:space="preserve"> o </w:t>
            </w:r>
            <w:r w:rsidRPr="00AB26B3">
              <w:rPr>
                <w:noProof/>
                <w:spacing w:val="-6"/>
                <w:lang w:val="sk-SK"/>
              </w:rPr>
              <w:t>pilotnom systéme so štatistikami</w:t>
            </w:r>
            <w:r w:rsidR="00AB26B3" w:rsidRPr="00AB26B3">
              <w:rPr>
                <w:noProof/>
                <w:spacing w:val="-6"/>
                <w:lang w:val="sk-SK"/>
              </w:rPr>
              <w:t xml:space="preserve"> a </w:t>
            </w:r>
            <w:r w:rsidRPr="00AB26B3">
              <w:rPr>
                <w:noProof/>
                <w:spacing w:val="-6"/>
                <w:lang w:val="sk-SK"/>
              </w:rPr>
              <w:t>odporúčaniami.</w:t>
            </w:r>
          </w:p>
        </w:tc>
      </w:tr>
      <w:tr w:rsidR="00302FC1" w:rsidRPr="00AB26B3" w14:paraId="669C1430" w14:textId="77777777">
        <w:trPr>
          <w:trHeight w:val="313"/>
          <w:jc w:val="center"/>
        </w:trPr>
        <w:tc>
          <w:tcPr>
            <w:tcW w:w="616" w:type="dxa"/>
            <w:shd w:val="clear" w:color="auto" w:fill="C6EFCE"/>
            <w:noWrap/>
          </w:tcPr>
          <w:p w14:paraId="3C8CF72A"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181</w:t>
            </w:r>
          </w:p>
        </w:tc>
        <w:tc>
          <w:tcPr>
            <w:tcW w:w="1876" w:type="dxa"/>
            <w:shd w:val="clear" w:color="auto" w:fill="C6EFCE"/>
            <w:noWrap/>
          </w:tcPr>
          <w:p w14:paraId="06F2DB28" w14:textId="6BDB2D0A" w:rsidR="00302FC1" w:rsidRPr="00AB26B3" w:rsidRDefault="00D64F26">
            <w:pPr>
              <w:pStyle w:val="P68B1DB1-Normal12"/>
              <w:spacing w:before="120" w:after="0" w:line="240" w:lineRule="auto"/>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16402_Sociálne</w:t>
            </w:r>
            <w:r w:rsidR="00AB26B3" w:rsidRPr="00AB26B3">
              <w:rPr>
                <w:noProof/>
                <w:spacing w:val="-6"/>
                <w:lang w:val="sk-SK"/>
              </w:rPr>
              <w:t xml:space="preserve"> a </w:t>
            </w:r>
            <w:r w:rsidRPr="00AB26B3">
              <w:rPr>
                <w:noProof/>
                <w:spacing w:val="-6"/>
                <w:lang w:val="sk-SK"/>
              </w:rPr>
              <w:t>cenovo dostupné bývanie</w:t>
            </w:r>
          </w:p>
        </w:tc>
        <w:tc>
          <w:tcPr>
            <w:tcW w:w="1097" w:type="dxa"/>
            <w:shd w:val="clear" w:color="auto" w:fill="C6EFCE"/>
            <w:noWrap/>
          </w:tcPr>
          <w:p w14:paraId="2DCE394A"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Míľnik</w:t>
            </w:r>
          </w:p>
        </w:tc>
        <w:tc>
          <w:tcPr>
            <w:tcW w:w="1515" w:type="dxa"/>
            <w:shd w:val="clear" w:color="auto" w:fill="C6EFCE"/>
            <w:noWrap/>
          </w:tcPr>
          <w:p w14:paraId="5B78A8B8" w14:textId="4CEEAF0E" w:rsidR="00302FC1" w:rsidRPr="00AB26B3" w:rsidRDefault="00D64F26">
            <w:pPr>
              <w:pStyle w:val="P68B1DB1-Normal12"/>
              <w:spacing w:before="120" w:after="0" w:line="240" w:lineRule="auto"/>
              <w:rPr>
                <w:noProof/>
                <w:spacing w:val="-6"/>
                <w:lang w:val="sk-SK"/>
              </w:rPr>
            </w:pPr>
            <w:r w:rsidRPr="00AB26B3">
              <w:rPr>
                <w:noProof/>
                <w:spacing w:val="-6"/>
                <w:lang w:val="sk-SK"/>
              </w:rPr>
              <w:t xml:space="preserve">Národná stratégia bývania </w:t>
            </w:r>
          </w:p>
        </w:tc>
        <w:tc>
          <w:tcPr>
            <w:tcW w:w="2268" w:type="dxa"/>
            <w:shd w:val="clear" w:color="auto" w:fill="C6EFCE"/>
            <w:noWrap/>
          </w:tcPr>
          <w:p w14:paraId="3EED76B5"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Schválenie stratégie bývania kabinetom ministrov</w:t>
            </w:r>
          </w:p>
        </w:tc>
        <w:tc>
          <w:tcPr>
            <w:tcW w:w="992" w:type="dxa"/>
            <w:shd w:val="clear" w:color="auto" w:fill="C6EFCE"/>
            <w:noWrap/>
          </w:tcPr>
          <w:p w14:paraId="36EFCBC1" w14:textId="77777777" w:rsidR="00302FC1" w:rsidRPr="00AB26B3" w:rsidRDefault="00302FC1">
            <w:pPr>
              <w:spacing w:before="120" w:after="0" w:line="240" w:lineRule="auto"/>
              <w:rPr>
                <w:rFonts w:ascii="Times New Roman" w:hAnsi="Times New Roman" w:cs="Times New Roman"/>
                <w:noProof/>
                <w:color w:val="006100"/>
                <w:spacing w:val="-6"/>
                <w:sz w:val="18"/>
                <w:szCs w:val="18"/>
                <w:lang w:val="sk-SK"/>
              </w:rPr>
            </w:pPr>
          </w:p>
        </w:tc>
        <w:tc>
          <w:tcPr>
            <w:tcW w:w="993" w:type="dxa"/>
            <w:shd w:val="clear" w:color="auto" w:fill="C6EFCE"/>
            <w:noWrap/>
          </w:tcPr>
          <w:p w14:paraId="28688853" w14:textId="77777777" w:rsidR="00302FC1" w:rsidRPr="00AB26B3" w:rsidRDefault="00302FC1">
            <w:pPr>
              <w:spacing w:before="120" w:after="0" w:line="240" w:lineRule="auto"/>
              <w:rPr>
                <w:rFonts w:ascii="Times New Roman" w:hAnsi="Times New Roman" w:cs="Times New Roman"/>
                <w:noProof/>
                <w:color w:val="006100"/>
                <w:spacing w:val="-6"/>
                <w:sz w:val="18"/>
                <w:szCs w:val="18"/>
                <w:lang w:val="sk-SK"/>
              </w:rPr>
            </w:pPr>
          </w:p>
        </w:tc>
        <w:tc>
          <w:tcPr>
            <w:tcW w:w="992" w:type="dxa"/>
            <w:shd w:val="clear" w:color="auto" w:fill="C6EFCE"/>
            <w:noWrap/>
          </w:tcPr>
          <w:p w14:paraId="4D42B07E" w14:textId="77777777" w:rsidR="00302FC1" w:rsidRPr="00AB26B3" w:rsidRDefault="00302FC1">
            <w:pPr>
              <w:spacing w:before="120" w:after="0" w:line="240" w:lineRule="auto"/>
              <w:rPr>
                <w:rFonts w:ascii="Times New Roman" w:hAnsi="Times New Roman" w:cs="Times New Roman"/>
                <w:noProof/>
                <w:color w:val="006100"/>
                <w:spacing w:val="-6"/>
                <w:sz w:val="18"/>
                <w:szCs w:val="18"/>
                <w:lang w:val="sk-SK"/>
              </w:rPr>
            </w:pPr>
          </w:p>
        </w:tc>
        <w:tc>
          <w:tcPr>
            <w:tcW w:w="997" w:type="dxa"/>
            <w:shd w:val="clear" w:color="auto" w:fill="C6EFCE"/>
            <w:noWrap/>
          </w:tcPr>
          <w:p w14:paraId="1279B189"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ŠTVRŤROK</w:t>
            </w:r>
          </w:p>
        </w:tc>
        <w:tc>
          <w:tcPr>
            <w:tcW w:w="720" w:type="dxa"/>
            <w:shd w:val="clear" w:color="auto" w:fill="C6EFCE"/>
            <w:noWrap/>
          </w:tcPr>
          <w:p w14:paraId="619C8D7D"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2026</w:t>
            </w:r>
          </w:p>
        </w:tc>
        <w:tc>
          <w:tcPr>
            <w:tcW w:w="3997" w:type="dxa"/>
            <w:shd w:val="clear" w:color="auto" w:fill="C6EFCE"/>
            <w:noWrap/>
          </w:tcPr>
          <w:p w14:paraId="4DECE181" w14:textId="7BBE804D" w:rsidR="00302FC1" w:rsidRPr="00AB26B3" w:rsidRDefault="00D64F26">
            <w:pPr>
              <w:pStyle w:val="P68B1DB1-Normal12"/>
              <w:spacing w:before="120" w:after="0" w:line="240" w:lineRule="auto"/>
              <w:rPr>
                <w:noProof/>
                <w:spacing w:val="-6"/>
                <w:lang w:val="sk-SK"/>
              </w:rPr>
            </w:pPr>
            <w:r w:rsidRPr="00AB26B3">
              <w:rPr>
                <w:noProof/>
                <w:spacing w:val="-6"/>
                <w:lang w:val="sk-SK"/>
              </w:rPr>
              <w:t>Prijatie národnej stratégie bývania po verejnej konzultácii, ktorá zahŕňa:</w:t>
            </w:r>
          </w:p>
          <w:p w14:paraId="1393FDB0" w14:textId="2EBE61AF" w:rsidR="00302FC1" w:rsidRPr="00AB26B3" w:rsidRDefault="00D64F26">
            <w:pPr>
              <w:pStyle w:val="P68B1DB1-ListParagraph19"/>
              <w:numPr>
                <w:ilvl w:val="0"/>
                <w:numId w:val="32"/>
              </w:numPr>
              <w:spacing w:before="120" w:after="0" w:line="240" w:lineRule="auto"/>
              <w:ind w:left="414" w:hanging="357"/>
              <w:rPr>
                <w:noProof/>
                <w:spacing w:val="-6"/>
                <w:lang w:val="sk-SK"/>
              </w:rPr>
            </w:pPr>
            <w:r w:rsidRPr="00AB26B3">
              <w:rPr>
                <w:noProof/>
                <w:spacing w:val="-6"/>
                <w:lang w:val="sk-SK"/>
              </w:rPr>
              <w:t>Analýzu fungovania trhu</w:t>
            </w:r>
            <w:r w:rsidR="00AB26B3" w:rsidRPr="00AB26B3">
              <w:rPr>
                <w:noProof/>
                <w:spacing w:val="-6"/>
                <w:lang w:val="sk-SK"/>
              </w:rPr>
              <w:t xml:space="preserve"> s </w:t>
            </w:r>
            <w:r w:rsidRPr="00AB26B3">
              <w:rPr>
                <w:noProof/>
                <w:spacing w:val="-6"/>
                <w:lang w:val="sk-SK"/>
              </w:rPr>
              <w:t>bývaním.</w:t>
            </w:r>
          </w:p>
          <w:p w14:paraId="2F780B07" w14:textId="610E9BF0" w:rsidR="00302FC1" w:rsidRPr="00AB26B3" w:rsidRDefault="00D64F26">
            <w:pPr>
              <w:pStyle w:val="P68B1DB1-ListParagraph19"/>
              <w:numPr>
                <w:ilvl w:val="0"/>
                <w:numId w:val="32"/>
              </w:numPr>
              <w:spacing w:before="120" w:after="0" w:line="240" w:lineRule="auto"/>
              <w:ind w:left="414" w:hanging="357"/>
              <w:rPr>
                <w:noProof/>
                <w:spacing w:val="-6"/>
                <w:lang w:val="sk-SK"/>
              </w:rPr>
            </w:pPr>
            <w:r w:rsidRPr="00AB26B3">
              <w:rPr>
                <w:noProof/>
                <w:spacing w:val="-6"/>
                <w:lang w:val="sk-SK"/>
              </w:rPr>
              <w:t>Mapovanie bytového fondu na regionálnej úrovni vrátane súkromných nehnuteľností, ktoré nie sú obývané,</w:t>
            </w:r>
            <w:r w:rsidR="00AB26B3" w:rsidRPr="00AB26B3">
              <w:rPr>
                <w:noProof/>
                <w:spacing w:val="-6"/>
                <w:lang w:val="sk-SK"/>
              </w:rPr>
              <w:t xml:space="preserve"> a </w:t>
            </w:r>
            <w:r w:rsidRPr="00AB26B3">
              <w:rPr>
                <w:noProof/>
                <w:spacing w:val="-6"/>
                <w:lang w:val="sk-SK"/>
              </w:rPr>
              <w:t>štátom vlastnených nehnuteľností, ktoré sú alebo sa môžu stať dostupnými na účely sociálneho bývania, spolu</w:t>
            </w:r>
            <w:r w:rsidR="00AB26B3" w:rsidRPr="00AB26B3">
              <w:rPr>
                <w:noProof/>
                <w:spacing w:val="-6"/>
                <w:lang w:val="sk-SK"/>
              </w:rPr>
              <w:t xml:space="preserve"> s </w:t>
            </w:r>
            <w:r w:rsidRPr="00AB26B3">
              <w:rPr>
                <w:noProof/>
                <w:spacing w:val="-6"/>
                <w:lang w:val="sk-SK"/>
              </w:rPr>
              <w:t>analýzou vývoja cien bývania</w:t>
            </w:r>
            <w:r w:rsidR="00AB26B3" w:rsidRPr="00AB26B3">
              <w:rPr>
                <w:noProof/>
                <w:spacing w:val="-6"/>
                <w:lang w:val="sk-SK"/>
              </w:rPr>
              <w:t xml:space="preserve"> a </w:t>
            </w:r>
            <w:r w:rsidRPr="00AB26B3">
              <w:rPr>
                <w:noProof/>
                <w:spacing w:val="-6"/>
                <w:lang w:val="sk-SK"/>
              </w:rPr>
              <w:t>ich determinantov podporenou štatistickými údajmi</w:t>
            </w:r>
            <w:r w:rsidR="00AB26B3" w:rsidRPr="00AB26B3">
              <w:rPr>
                <w:noProof/>
                <w:spacing w:val="-6"/>
                <w:lang w:val="sk-SK"/>
              </w:rPr>
              <w:t xml:space="preserve"> a </w:t>
            </w:r>
            <w:r w:rsidRPr="00AB26B3">
              <w:rPr>
                <w:noProof/>
                <w:spacing w:val="-6"/>
                <w:lang w:val="sk-SK"/>
              </w:rPr>
              <w:t>ukazovateľmi;</w:t>
            </w:r>
          </w:p>
          <w:p w14:paraId="03219147" w14:textId="5ED00608" w:rsidR="00AB26B3" w:rsidRPr="00AB26B3" w:rsidRDefault="00D64F26">
            <w:pPr>
              <w:pStyle w:val="P68B1DB1-ListParagraph19"/>
              <w:numPr>
                <w:ilvl w:val="0"/>
                <w:numId w:val="32"/>
              </w:numPr>
              <w:spacing w:before="120" w:after="0" w:line="240" w:lineRule="auto"/>
              <w:ind w:left="414" w:hanging="357"/>
              <w:rPr>
                <w:noProof/>
                <w:spacing w:val="-6"/>
                <w:lang w:val="sk-SK"/>
              </w:rPr>
            </w:pPr>
            <w:r w:rsidRPr="00AB26B3">
              <w:rPr>
                <w:noProof/>
                <w:spacing w:val="-6"/>
                <w:lang w:val="sk-SK"/>
              </w:rPr>
              <w:t>Analýzu potrieb bývania podľa skupín obyvateľstva (t. j. skupín obyvateľstva</w:t>
            </w:r>
            <w:r w:rsidR="00AB26B3" w:rsidRPr="00AB26B3">
              <w:rPr>
                <w:noProof/>
                <w:spacing w:val="-6"/>
                <w:lang w:val="sk-SK"/>
              </w:rPr>
              <w:t xml:space="preserve"> s </w:t>
            </w:r>
            <w:r w:rsidRPr="00AB26B3">
              <w:rPr>
                <w:noProof/>
                <w:spacing w:val="-6"/>
                <w:lang w:val="sk-SK"/>
              </w:rPr>
              <w:t>osobitnými charakteristikami, ako je vek, disponibilný príjem, zloženie rodiny, na komunálnej</w:t>
            </w:r>
            <w:r w:rsidR="00AB26B3" w:rsidRPr="00AB26B3">
              <w:rPr>
                <w:noProof/>
                <w:spacing w:val="-6"/>
                <w:lang w:val="sk-SK"/>
              </w:rPr>
              <w:t xml:space="preserve"> a </w:t>
            </w:r>
            <w:r w:rsidRPr="00AB26B3">
              <w:rPr>
                <w:noProof/>
                <w:spacing w:val="-6"/>
                <w:lang w:val="sk-SK"/>
              </w:rPr>
              <w:t>regionálnej úrovni, vo vidieckych alebo mestských oblastiach,</w:t>
            </w:r>
            <w:r w:rsidR="00AB26B3" w:rsidRPr="00AB26B3">
              <w:rPr>
                <w:noProof/>
                <w:spacing w:val="-6"/>
                <w:lang w:val="sk-SK"/>
              </w:rPr>
              <w:t xml:space="preserve"> v </w:t>
            </w:r>
            <w:r w:rsidRPr="00AB26B3">
              <w:rPr>
                <w:noProof/>
                <w:spacing w:val="-6"/>
                <w:lang w:val="sk-SK"/>
              </w:rPr>
              <w:t>malých mestách alebo veľkých mestách)</w:t>
            </w:r>
            <w:r w:rsidR="00AB26B3" w:rsidRPr="00AB26B3">
              <w:rPr>
                <w:noProof/>
                <w:spacing w:val="-6"/>
                <w:lang w:val="sk-SK"/>
              </w:rPr>
              <w:t>;</w:t>
            </w:r>
          </w:p>
          <w:p w14:paraId="5314FD12" w14:textId="7EE37EDB" w:rsidR="00AB26B3" w:rsidRPr="00AB26B3" w:rsidRDefault="00D64F26">
            <w:pPr>
              <w:pStyle w:val="P68B1DB1-ListParagraph19"/>
              <w:numPr>
                <w:ilvl w:val="0"/>
                <w:numId w:val="32"/>
              </w:numPr>
              <w:spacing w:before="120" w:after="0" w:line="240" w:lineRule="auto"/>
              <w:ind w:left="414" w:hanging="357"/>
              <w:rPr>
                <w:noProof/>
                <w:spacing w:val="-6"/>
                <w:lang w:val="sk-SK"/>
              </w:rPr>
            </w:pPr>
            <w:r w:rsidRPr="00AB26B3">
              <w:rPr>
                <w:noProof/>
                <w:spacing w:val="-6"/>
                <w:lang w:val="sk-SK"/>
              </w:rPr>
              <w:t>Podrobnosti</w:t>
            </w:r>
            <w:r w:rsidR="00AB26B3" w:rsidRPr="00AB26B3">
              <w:rPr>
                <w:noProof/>
                <w:spacing w:val="-6"/>
                <w:lang w:val="sk-SK"/>
              </w:rPr>
              <w:t xml:space="preserve"> o </w:t>
            </w:r>
            <w:r w:rsidRPr="00AB26B3">
              <w:rPr>
                <w:noProof/>
                <w:spacing w:val="-6"/>
                <w:lang w:val="sk-SK"/>
              </w:rPr>
              <w:t>rôznych vykonávacích politických opatreniach vrátane informácií</w:t>
            </w:r>
            <w:r w:rsidR="00AB26B3" w:rsidRPr="00AB26B3">
              <w:rPr>
                <w:noProof/>
                <w:spacing w:val="-6"/>
                <w:lang w:val="sk-SK"/>
              </w:rPr>
              <w:t xml:space="preserve"> o </w:t>
            </w:r>
            <w:r w:rsidRPr="00AB26B3">
              <w:rPr>
                <w:noProof/>
                <w:spacing w:val="-6"/>
                <w:lang w:val="sk-SK"/>
              </w:rPr>
              <w:t>každom zodpovednom orgáne, rozpočte</w:t>
            </w:r>
            <w:r w:rsidR="00AB26B3" w:rsidRPr="00AB26B3">
              <w:rPr>
                <w:noProof/>
                <w:spacing w:val="-6"/>
                <w:lang w:val="sk-SK"/>
              </w:rPr>
              <w:t xml:space="preserve"> a </w:t>
            </w:r>
            <w:r w:rsidRPr="00AB26B3">
              <w:rPr>
                <w:noProof/>
                <w:spacing w:val="-6"/>
                <w:lang w:val="sk-SK"/>
              </w:rPr>
              <w:t>zdroji financovania, prioritizácii</w:t>
            </w:r>
            <w:r w:rsidR="00AB26B3" w:rsidRPr="00AB26B3">
              <w:rPr>
                <w:noProof/>
                <w:spacing w:val="-6"/>
                <w:lang w:val="sk-SK"/>
              </w:rPr>
              <w:t xml:space="preserve"> a </w:t>
            </w:r>
            <w:r w:rsidRPr="00AB26B3">
              <w:rPr>
                <w:noProof/>
                <w:spacing w:val="-6"/>
                <w:lang w:val="sk-SK"/>
              </w:rPr>
              <w:t>očakávaných príjemcoch</w:t>
            </w:r>
            <w:r w:rsidR="00AB26B3" w:rsidRPr="00AB26B3">
              <w:rPr>
                <w:noProof/>
                <w:spacing w:val="-6"/>
                <w:lang w:val="sk-SK"/>
              </w:rPr>
              <w:t>;</w:t>
            </w:r>
          </w:p>
          <w:p w14:paraId="07371137" w14:textId="5CFA09A9" w:rsidR="00302FC1" w:rsidRPr="00AB26B3" w:rsidRDefault="00D64F26">
            <w:pPr>
              <w:pStyle w:val="P68B1DB1-ListParagraph19"/>
              <w:numPr>
                <w:ilvl w:val="0"/>
                <w:numId w:val="32"/>
              </w:numPr>
              <w:spacing w:before="120" w:after="0" w:line="240" w:lineRule="auto"/>
              <w:ind w:left="414" w:hanging="357"/>
              <w:rPr>
                <w:noProof/>
                <w:spacing w:val="-6"/>
                <w:lang w:val="sk-SK"/>
              </w:rPr>
            </w:pPr>
            <w:r w:rsidRPr="00AB26B3">
              <w:rPr>
                <w:noProof/>
                <w:spacing w:val="-6"/>
                <w:lang w:val="sk-SK"/>
              </w:rPr>
              <w:t>Opis riadiacej štruktúry, ktorá bude zodpovedná za vykonávanie</w:t>
            </w:r>
            <w:r w:rsidR="00AB26B3" w:rsidRPr="00AB26B3">
              <w:rPr>
                <w:noProof/>
                <w:spacing w:val="-6"/>
                <w:lang w:val="sk-SK"/>
              </w:rPr>
              <w:t xml:space="preserve"> a </w:t>
            </w:r>
            <w:r w:rsidRPr="00AB26B3">
              <w:rPr>
                <w:noProof/>
                <w:spacing w:val="-6"/>
                <w:lang w:val="sk-SK"/>
              </w:rPr>
              <w:t>budúce aktualizácie stratégie,</w:t>
            </w:r>
            <w:r w:rsidR="00AB26B3" w:rsidRPr="00AB26B3">
              <w:rPr>
                <w:noProof/>
                <w:spacing w:val="-6"/>
                <w:lang w:val="sk-SK"/>
              </w:rPr>
              <w:t xml:space="preserve"> a </w:t>
            </w:r>
            <w:r w:rsidRPr="00AB26B3">
              <w:rPr>
                <w:noProof/>
                <w:spacing w:val="-6"/>
                <w:lang w:val="sk-SK"/>
              </w:rPr>
              <w:t>opis harmonogramu vykonávania.</w:t>
            </w:r>
          </w:p>
        </w:tc>
      </w:tr>
      <w:tr w:rsidR="00302FC1" w:rsidRPr="00AB26B3" w14:paraId="17AF4D9A" w14:textId="77777777">
        <w:trPr>
          <w:trHeight w:val="313"/>
          <w:jc w:val="center"/>
        </w:trPr>
        <w:tc>
          <w:tcPr>
            <w:tcW w:w="616" w:type="dxa"/>
            <w:shd w:val="clear" w:color="auto" w:fill="C6EFCE"/>
            <w:noWrap/>
          </w:tcPr>
          <w:p w14:paraId="0CBF71E6"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181a</w:t>
            </w:r>
          </w:p>
        </w:tc>
        <w:tc>
          <w:tcPr>
            <w:tcW w:w="1876" w:type="dxa"/>
            <w:shd w:val="clear" w:color="auto" w:fill="C6EFCE"/>
            <w:noWrap/>
          </w:tcPr>
          <w:p w14:paraId="27812CB8" w14:textId="3A4E2A21" w:rsidR="00302FC1" w:rsidRPr="00AB26B3" w:rsidRDefault="00D64F26">
            <w:pPr>
              <w:pStyle w:val="P68B1DB1-Normal12"/>
              <w:spacing w:before="120" w:after="0" w:line="240" w:lineRule="auto"/>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16402_Sociálne</w:t>
            </w:r>
            <w:r w:rsidR="00AB26B3" w:rsidRPr="00AB26B3">
              <w:rPr>
                <w:noProof/>
                <w:spacing w:val="-6"/>
                <w:lang w:val="sk-SK"/>
              </w:rPr>
              <w:t xml:space="preserve"> a </w:t>
            </w:r>
            <w:r w:rsidRPr="00AB26B3">
              <w:rPr>
                <w:noProof/>
                <w:spacing w:val="-6"/>
                <w:lang w:val="sk-SK"/>
              </w:rPr>
              <w:t xml:space="preserve">cenovo dostupné bývanie </w:t>
            </w:r>
          </w:p>
        </w:tc>
        <w:tc>
          <w:tcPr>
            <w:tcW w:w="1097" w:type="dxa"/>
            <w:shd w:val="clear" w:color="auto" w:fill="C6EFCE"/>
            <w:noWrap/>
          </w:tcPr>
          <w:p w14:paraId="219D501C"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Míľnik</w:t>
            </w:r>
          </w:p>
        </w:tc>
        <w:tc>
          <w:tcPr>
            <w:tcW w:w="1515" w:type="dxa"/>
            <w:shd w:val="clear" w:color="auto" w:fill="C6EFCE"/>
            <w:noWrap/>
          </w:tcPr>
          <w:p w14:paraId="2B16FDAB" w14:textId="1EB9BD23" w:rsidR="00302FC1" w:rsidRPr="00AB26B3" w:rsidRDefault="00D64F26">
            <w:pPr>
              <w:pStyle w:val="P68B1DB1-Normal12"/>
              <w:spacing w:before="120" w:after="0" w:line="240" w:lineRule="auto"/>
              <w:rPr>
                <w:noProof/>
                <w:spacing w:val="-6"/>
                <w:lang w:val="sk-SK"/>
              </w:rPr>
            </w:pPr>
            <w:r w:rsidRPr="00AB26B3">
              <w:rPr>
                <w:noProof/>
                <w:spacing w:val="-6"/>
                <w:lang w:val="sk-SK"/>
              </w:rPr>
              <w:t>Zmena právneho aktu</w:t>
            </w:r>
          </w:p>
        </w:tc>
        <w:tc>
          <w:tcPr>
            <w:tcW w:w="2268" w:type="dxa"/>
            <w:shd w:val="clear" w:color="auto" w:fill="C6EFCE"/>
            <w:noWrap/>
          </w:tcPr>
          <w:p w14:paraId="2C0E4524" w14:textId="77777777" w:rsidR="00302FC1" w:rsidRPr="00AB26B3" w:rsidRDefault="00D64F26">
            <w:pPr>
              <w:pStyle w:val="P68B1DB1-Normal12"/>
              <w:rPr>
                <w:noProof/>
                <w:spacing w:val="-6"/>
                <w:lang w:val="sk-SK"/>
              </w:rPr>
            </w:pPr>
            <w:r w:rsidRPr="00AB26B3">
              <w:rPr>
                <w:noProof/>
                <w:spacing w:val="-6"/>
                <w:lang w:val="sk-SK"/>
              </w:rPr>
              <w:t>Nadobudnutie účinnosti právneho aktu</w:t>
            </w:r>
          </w:p>
        </w:tc>
        <w:tc>
          <w:tcPr>
            <w:tcW w:w="992" w:type="dxa"/>
            <w:shd w:val="clear" w:color="auto" w:fill="C6EFCE"/>
            <w:noWrap/>
          </w:tcPr>
          <w:p w14:paraId="3A7F3C83" w14:textId="77777777" w:rsidR="00302FC1" w:rsidRPr="00AB26B3" w:rsidRDefault="00302FC1">
            <w:pPr>
              <w:spacing w:before="120" w:after="0" w:line="240" w:lineRule="auto"/>
              <w:rPr>
                <w:rFonts w:ascii="Times New Roman" w:hAnsi="Times New Roman" w:cs="Times New Roman"/>
                <w:noProof/>
                <w:color w:val="006100"/>
                <w:spacing w:val="-6"/>
                <w:sz w:val="18"/>
                <w:szCs w:val="18"/>
                <w:lang w:val="sk-SK"/>
              </w:rPr>
            </w:pPr>
          </w:p>
        </w:tc>
        <w:tc>
          <w:tcPr>
            <w:tcW w:w="993" w:type="dxa"/>
            <w:shd w:val="clear" w:color="auto" w:fill="C6EFCE"/>
            <w:noWrap/>
          </w:tcPr>
          <w:p w14:paraId="3E413D8A" w14:textId="77777777" w:rsidR="00302FC1" w:rsidRPr="00AB26B3" w:rsidRDefault="00302FC1">
            <w:pPr>
              <w:spacing w:before="120" w:after="0" w:line="240" w:lineRule="auto"/>
              <w:rPr>
                <w:rFonts w:ascii="Times New Roman" w:hAnsi="Times New Roman" w:cs="Times New Roman"/>
                <w:noProof/>
                <w:color w:val="006100"/>
                <w:spacing w:val="-6"/>
                <w:sz w:val="18"/>
                <w:szCs w:val="18"/>
                <w:lang w:val="sk-SK"/>
              </w:rPr>
            </w:pPr>
          </w:p>
        </w:tc>
        <w:tc>
          <w:tcPr>
            <w:tcW w:w="992" w:type="dxa"/>
            <w:shd w:val="clear" w:color="auto" w:fill="C6EFCE"/>
            <w:noWrap/>
          </w:tcPr>
          <w:p w14:paraId="67E2A9B4" w14:textId="77777777" w:rsidR="00302FC1" w:rsidRPr="00AB26B3" w:rsidRDefault="00302FC1">
            <w:pPr>
              <w:spacing w:before="120" w:after="0" w:line="240" w:lineRule="auto"/>
              <w:rPr>
                <w:rFonts w:ascii="Times New Roman" w:hAnsi="Times New Roman" w:cs="Times New Roman"/>
                <w:noProof/>
                <w:color w:val="006100"/>
                <w:spacing w:val="-6"/>
                <w:sz w:val="18"/>
                <w:szCs w:val="18"/>
                <w:lang w:val="sk-SK"/>
              </w:rPr>
            </w:pPr>
          </w:p>
        </w:tc>
        <w:tc>
          <w:tcPr>
            <w:tcW w:w="997" w:type="dxa"/>
            <w:shd w:val="clear" w:color="auto" w:fill="C6EFCE"/>
            <w:noWrap/>
          </w:tcPr>
          <w:p w14:paraId="7D953EAC"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ŠTVRŤROK</w:t>
            </w:r>
          </w:p>
        </w:tc>
        <w:tc>
          <w:tcPr>
            <w:tcW w:w="720" w:type="dxa"/>
            <w:shd w:val="clear" w:color="auto" w:fill="C6EFCE"/>
            <w:noWrap/>
          </w:tcPr>
          <w:p w14:paraId="619235FB"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2025</w:t>
            </w:r>
          </w:p>
        </w:tc>
        <w:tc>
          <w:tcPr>
            <w:tcW w:w="3997" w:type="dxa"/>
            <w:shd w:val="clear" w:color="auto" w:fill="C6EFCE"/>
            <w:noWrap/>
          </w:tcPr>
          <w:p w14:paraId="16495E31" w14:textId="03D8B379" w:rsidR="00302FC1" w:rsidRPr="00AB26B3" w:rsidRDefault="00D64F26">
            <w:pPr>
              <w:pStyle w:val="P68B1DB1-Normal12"/>
              <w:spacing w:line="240" w:lineRule="auto"/>
              <w:rPr>
                <w:noProof/>
                <w:spacing w:val="-6"/>
                <w:lang w:val="sk-SK"/>
              </w:rPr>
            </w:pPr>
            <w:r w:rsidRPr="00AB26B3">
              <w:rPr>
                <w:noProof/>
                <w:spacing w:val="-6"/>
                <w:lang w:val="sk-SK"/>
              </w:rPr>
              <w:t>Nadobudol účinnosť právny akt</w:t>
            </w:r>
            <w:r w:rsidR="00AB26B3" w:rsidRPr="00AB26B3">
              <w:rPr>
                <w:noProof/>
                <w:spacing w:val="-6"/>
                <w:lang w:val="sk-SK"/>
              </w:rPr>
              <w:t xml:space="preserve"> s </w:t>
            </w:r>
            <w:r w:rsidRPr="00AB26B3">
              <w:rPr>
                <w:noProof/>
                <w:spacing w:val="-6"/>
                <w:lang w:val="sk-SK"/>
              </w:rPr>
              <w:t>cieľom poskytnúť developerom zo súkromného sektora stimuly na investovanie do novej výstavby alebo obnovy štátom vlastneného nehnuteľného majetku, možnosť získať vlastníctvo časti nehnuteľnosti,</w:t>
            </w:r>
            <w:r w:rsidR="00AB26B3" w:rsidRPr="00AB26B3">
              <w:rPr>
                <w:noProof/>
                <w:spacing w:val="-6"/>
                <w:lang w:val="sk-SK"/>
              </w:rPr>
              <w:t xml:space="preserve"> a </w:t>
            </w:r>
            <w:r w:rsidRPr="00AB26B3">
              <w:rPr>
                <w:noProof/>
                <w:spacing w:val="-6"/>
                <w:lang w:val="sk-SK"/>
              </w:rPr>
              <w:t>to aj na komerčné účely,</w:t>
            </w:r>
            <w:r w:rsidR="00AB26B3" w:rsidRPr="00AB26B3">
              <w:rPr>
                <w:noProof/>
                <w:spacing w:val="-6"/>
                <w:lang w:val="sk-SK"/>
              </w:rPr>
              <w:t xml:space="preserve"> a </w:t>
            </w:r>
            <w:r w:rsidRPr="00AB26B3">
              <w:rPr>
                <w:noProof/>
                <w:spacing w:val="-6"/>
                <w:lang w:val="sk-SK"/>
              </w:rPr>
              <w:t>zároveň premeniť podiel nehnuteľností na sociálne</w:t>
            </w:r>
            <w:r w:rsidR="00AB26B3" w:rsidRPr="00AB26B3">
              <w:rPr>
                <w:noProof/>
                <w:spacing w:val="-6"/>
                <w:lang w:val="sk-SK"/>
              </w:rPr>
              <w:t xml:space="preserve"> a </w:t>
            </w:r>
            <w:r w:rsidRPr="00AB26B3">
              <w:rPr>
                <w:noProof/>
                <w:spacing w:val="-6"/>
                <w:lang w:val="sk-SK"/>
              </w:rPr>
              <w:t>cenovo dostupné bývanie. Súkromní realitní developeri sa prostredníctvom transparentného</w:t>
            </w:r>
            <w:r w:rsidR="00AB26B3" w:rsidRPr="00AB26B3">
              <w:rPr>
                <w:noProof/>
                <w:spacing w:val="-6"/>
                <w:lang w:val="sk-SK"/>
              </w:rPr>
              <w:t xml:space="preserve"> a </w:t>
            </w:r>
            <w:r w:rsidRPr="00AB26B3">
              <w:rPr>
                <w:noProof/>
                <w:spacing w:val="-6"/>
                <w:lang w:val="sk-SK"/>
              </w:rPr>
              <w:t>súťažného konania vyzvú, aby uskutočnili výstavbu alebo renováciu štátom vlastneného nehnuteľného majetku.</w:t>
            </w:r>
            <w:r w:rsidR="00AB26B3" w:rsidRPr="00AB26B3">
              <w:rPr>
                <w:noProof/>
                <w:spacing w:val="-6"/>
                <w:lang w:val="sk-SK"/>
              </w:rPr>
              <w:t xml:space="preserve"> V </w:t>
            </w:r>
            <w:r w:rsidRPr="00AB26B3">
              <w:rPr>
                <w:noProof/>
                <w:spacing w:val="-6"/>
                <w:lang w:val="sk-SK"/>
              </w:rPr>
              <w:t>zákone sa stanovia úlohy ministerstva pre sociálnu súdržnosť</w:t>
            </w:r>
            <w:r w:rsidR="00AB26B3" w:rsidRPr="00AB26B3">
              <w:rPr>
                <w:noProof/>
                <w:spacing w:val="-6"/>
                <w:lang w:val="sk-SK"/>
              </w:rPr>
              <w:t xml:space="preserve"> a </w:t>
            </w:r>
            <w:r w:rsidRPr="00AB26B3">
              <w:rPr>
                <w:noProof/>
                <w:spacing w:val="-6"/>
                <w:lang w:val="sk-SK"/>
              </w:rPr>
              <w:t>rodinné záležitosti ako ústredného orgánu pre riadenie recipročného výmenného programu</w:t>
            </w:r>
            <w:r w:rsidR="00AB26B3" w:rsidRPr="00AB26B3">
              <w:rPr>
                <w:noProof/>
                <w:spacing w:val="-6"/>
                <w:lang w:val="sk-SK"/>
              </w:rPr>
              <w:t xml:space="preserve"> v </w:t>
            </w:r>
            <w:r w:rsidRPr="00AB26B3">
              <w:rPr>
                <w:noProof/>
                <w:spacing w:val="-6"/>
                <w:lang w:val="sk-SK"/>
              </w:rPr>
              <w:t>oblasti verejného majetku („Kinoniki Antiparochi“).</w:t>
            </w:r>
          </w:p>
        </w:tc>
      </w:tr>
    </w:tbl>
    <w:p w14:paraId="3B40D195" w14:textId="77777777" w:rsidR="00302FC1" w:rsidRPr="00AB26B3" w:rsidRDefault="00302FC1">
      <w:pPr>
        <w:spacing w:before="120" w:after="120" w:line="240" w:lineRule="auto"/>
        <w:jc w:val="both"/>
        <w:rPr>
          <w:rFonts w:ascii="Times New Roman" w:hAnsi="Times New Roman" w:cs="Times New Roman"/>
          <w:noProof/>
          <w:spacing w:val="-6"/>
          <w:sz w:val="24"/>
          <w:szCs w:val="24"/>
          <w:lang w:val="sk-SK"/>
        </w:rPr>
      </w:pPr>
    </w:p>
    <w:p w14:paraId="40B5034A" w14:textId="779F843C" w:rsidR="00302FC1" w:rsidRPr="00AB26B3" w:rsidRDefault="00D64F26">
      <w:pPr>
        <w:pStyle w:val="P68B1DB1-Normal9"/>
        <w:keepNext/>
        <w:keepLines/>
        <w:spacing w:before="12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16: Zlepšiť prístup</w:t>
      </w:r>
      <w:r w:rsidR="00AB26B3" w:rsidRPr="00AB26B3">
        <w:rPr>
          <w:rFonts w:ascii="Times New Roman" w:hAnsi="Times New Roman"/>
          <w:noProof/>
          <w:spacing w:val="-6"/>
          <w:lang w:val="sk-SK"/>
        </w:rPr>
        <w:t xml:space="preserve"> k </w:t>
      </w:r>
      <w:r w:rsidRPr="00AB26B3">
        <w:rPr>
          <w:rFonts w:ascii="Times New Roman" w:hAnsi="Times New Roman"/>
          <w:noProof/>
          <w:spacing w:val="-6"/>
          <w:lang w:val="sk-SK"/>
        </w:rPr>
        <w:t>účinným</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inkluzívnym sociálnym politikám – Migrácia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azyl</w:t>
      </w:r>
    </w:p>
    <w:p w14:paraId="7B4C16A1" w14:textId="629EB9AD" w:rsidR="00302FC1" w:rsidRPr="00AB26B3" w:rsidRDefault="00D64F26">
      <w:pPr>
        <w:pStyle w:val="P68B1DB1-Normal5"/>
        <w:numPr>
          <w:ilvl w:val="0"/>
          <w:numId w:val="30"/>
        </w:numPr>
        <w:spacing w:before="120" w:after="0" w:line="240" w:lineRule="auto"/>
        <w:ind w:left="0"/>
        <w:jc w:val="both"/>
        <w:rPr>
          <w:rFonts w:cs="Times New Roman"/>
          <w:noProof/>
          <w:spacing w:val="-6"/>
          <w:lang w:val="sk-SK"/>
        </w:rPr>
      </w:pPr>
      <w:r w:rsidRPr="00AB26B3">
        <w:rPr>
          <w:noProof/>
          <w:spacing w:val="-6"/>
          <w:lang w:val="sk-SK"/>
        </w:rPr>
        <w:t>Digitalizácia migračného</w:t>
      </w:r>
      <w:r w:rsidR="00AB26B3" w:rsidRPr="00AB26B3">
        <w:rPr>
          <w:noProof/>
          <w:spacing w:val="-6"/>
          <w:lang w:val="sk-SK"/>
        </w:rPr>
        <w:t xml:space="preserve"> a </w:t>
      </w:r>
      <w:r w:rsidRPr="00AB26B3">
        <w:rPr>
          <w:noProof/>
          <w:spacing w:val="-6"/>
          <w:lang w:val="sk-SK"/>
        </w:rPr>
        <w:t>azylového systému (ID: 16763)</w:t>
      </w:r>
    </w:p>
    <w:p w14:paraId="310D1C25" w14:textId="77777777" w:rsidR="00302FC1" w:rsidRPr="00AB26B3" w:rsidRDefault="00D64F26">
      <w:pPr>
        <w:pStyle w:val="P68B1DB1-Normal5"/>
        <w:numPr>
          <w:ilvl w:val="0"/>
          <w:numId w:val="30"/>
        </w:numPr>
        <w:spacing w:before="120" w:after="0" w:line="240" w:lineRule="auto"/>
        <w:ind w:left="0"/>
        <w:jc w:val="both"/>
        <w:rPr>
          <w:rFonts w:cs="Times New Roman"/>
          <w:noProof/>
          <w:spacing w:val="-6"/>
          <w:lang w:val="sk-SK"/>
        </w:rPr>
      </w:pPr>
      <w:r w:rsidRPr="00AB26B3">
        <w:rPr>
          <w:noProof/>
          <w:spacing w:val="-6"/>
          <w:lang w:val="sk-SK"/>
        </w:rPr>
        <w:t>Digitálna transformácia systému sociálnej podpory (ID: 16925)</w:t>
      </w:r>
    </w:p>
    <w:p w14:paraId="5EFD8271" w14:textId="3D263B61" w:rsidR="00302FC1" w:rsidRPr="00AB26B3" w:rsidRDefault="00D64F26">
      <w:pPr>
        <w:pStyle w:val="P68B1DB1-Normal5"/>
        <w:numPr>
          <w:ilvl w:val="0"/>
          <w:numId w:val="30"/>
        </w:numPr>
        <w:spacing w:before="120" w:after="0" w:line="240" w:lineRule="auto"/>
        <w:ind w:left="0"/>
        <w:jc w:val="both"/>
        <w:rPr>
          <w:rFonts w:cs="Times New Roman"/>
          <w:noProof/>
          <w:spacing w:val="-6"/>
          <w:lang w:val="sk-SK"/>
        </w:rPr>
      </w:pPr>
      <w:r w:rsidRPr="00AB26B3">
        <w:rPr>
          <w:noProof/>
          <w:spacing w:val="-6"/>
          <w:lang w:val="sk-SK"/>
        </w:rPr>
        <w:t>Informovanosť</w:t>
      </w:r>
      <w:r w:rsidR="00AB26B3" w:rsidRPr="00AB26B3">
        <w:rPr>
          <w:noProof/>
          <w:spacing w:val="-6"/>
          <w:lang w:val="sk-SK"/>
        </w:rPr>
        <w:t xml:space="preserve"> o </w:t>
      </w:r>
      <w:r w:rsidRPr="00AB26B3">
        <w:rPr>
          <w:noProof/>
          <w:spacing w:val="-6"/>
          <w:lang w:val="sk-SK"/>
        </w:rPr>
        <w:t>rozmanitosti (ID: 16685)</w:t>
      </w:r>
    </w:p>
    <w:p w14:paraId="3E82226F" w14:textId="77777777" w:rsidR="00302FC1" w:rsidRPr="00AB26B3" w:rsidRDefault="00D64F26">
      <w:pPr>
        <w:pStyle w:val="P68B1DB1-Normal5"/>
        <w:numPr>
          <w:ilvl w:val="0"/>
          <w:numId w:val="30"/>
        </w:numPr>
        <w:spacing w:before="120" w:after="0" w:line="240" w:lineRule="auto"/>
        <w:ind w:left="0" w:hanging="357"/>
        <w:jc w:val="both"/>
        <w:rPr>
          <w:rFonts w:cs="Times New Roman"/>
          <w:noProof/>
          <w:spacing w:val="-6"/>
          <w:lang w:val="sk-SK"/>
        </w:rPr>
      </w:pPr>
      <w:r w:rsidRPr="00AB26B3">
        <w:rPr>
          <w:noProof/>
          <w:spacing w:val="-6"/>
          <w:lang w:val="sk-SK"/>
        </w:rPr>
        <w:t>Sociálna integrácia (ID: 16922)</w:t>
      </w:r>
    </w:p>
    <w:p w14:paraId="5BF349DB" w14:textId="1B75F615" w:rsidR="00302FC1" w:rsidRPr="00AB26B3" w:rsidRDefault="00D64F26">
      <w:pPr>
        <w:pStyle w:val="P68B1DB1-Normal5"/>
        <w:numPr>
          <w:ilvl w:val="0"/>
          <w:numId w:val="30"/>
        </w:numPr>
        <w:spacing w:before="120" w:after="120" w:line="240" w:lineRule="auto"/>
        <w:ind w:left="0"/>
        <w:jc w:val="both"/>
        <w:rPr>
          <w:rFonts w:cs="Times New Roman"/>
          <w:noProof/>
          <w:spacing w:val="-6"/>
          <w:lang w:val="sk-SK"/>
        </w:rPr>
      </w:pPr>
      <w:r w:rsidRPr="00AB26B3">
        <w:rPr>
          <w:noProof/>
          <w:spacing w:val="-6"/>
          <w:lang w:val="sk-SK"/>
        </w:rPr>
        <w:t>Podporovať integráciu utečencov do trhu práce (ID: 16688)</w:t>
      </w:r>
    </w:p>
    <w:tbl>
      <w:tblPr>
        <w:tblpPr w:leftFromText="180" w:rightFromText="180" w:vertAnchor="text" w:tblpXSpec="center" w:tblpY="1"/>
        <w:tblOverlap w:val="never"/>
        <w:tblW w:w="15762" w:type="dxa"/>
        <w:tblLook w:val="04A0" w:firstRow="1" w:lastRow="0" w:firstColumn="1" w:lastColumn="0" w:noHBand="0" w:noVBand="1"/>
      </w:tblPr>
      <w:tblGrid>
        <w:gridCol w:w="566"/>
        <w:gridCol w:w="1942"/>
        <w:gridCol w:w="1099"/>
        <w:gridCol w:w="2107"/>
        <w:gridCol w:w="1766"/>
        <w:gridCol w:w="1404"/>
        <w:gridCol w:w="1035"/>
        <w:gridCol w:w="1097"/>
        <w:gridCol w:w="1119"/>
        <w:gridCol w:w="783"/>
        <w:gridCol w:w="3117"/>
      </w:tblGrid>
      <w:tr w:rsidR="00302FC1" w:rsidRPr="00AB26B3" w14:paraId="199AD742" w14:textId="77777777">
        <w:trPr>
          <w:trHeight w:val="927"/>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654F6C" w14:textId="7A323FD2"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 xml:space="preserve">A nasl. </w:t>
            </w:r>
            <w:r w:rsidRPr="00AB26B3">
              <w:rPr>
                <w:noProof/>
                <w:spacing w:val="-6"/>
                <w:lang w:val="sk-SK"/>
              </w:rPr>
              <w:br/>
              <w:t>Nie.</w:t>
            </w:r>
          </w:p>
        </w:tc>
        <w:tc>
          <w:tcPr>
            <w:tcW w:w="19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A49530"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0FC19B2"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21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72918B"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Názov</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4626BD"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536"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E48DEB5" w14:textId="3F8CEE88"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629"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16F8879D" w14:textId="6B34BEC4"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7775F96" w14:textId="606D62BC"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FE1F277" w14:textId="77777777">
        <w:trPr>
          <w:trHeight w:val="654"/>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40C9AE" w14:textId="77777777" w:rsidR="00302FC1" w:rsidRPr="00AB26B3" w:rsidRDefault="00302FC1">
            <w:pPr>
              <w:spacing w:before="120" w:after="0" w:line="240" w:lineRule="auto"/>
              <w:rPr>
                <w:rFonts w:ascii="Times New Roman" w:eastAsia="Times New Roman" w:hAnsi="Times New Roman" w:cs="Times New Roman"/>
                <w:b/>
                <w:noProof/>
                <w:spacing w:val="-6"/>
                <w:sz w:val="18"/>
                <w:szCs w:val="18"/>
                <w:lang w:val="sk-SK"/>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2485F5B9" w14:textId="77777777" w:rsidR="00302FC1" w:rsidRPr="00AB26B3" w:rsidRDefault="00302FC1">
            <w:pPr>
              <w:spacing w:before="120" w:after="0" w:line="240" w:lineRule="auto"/>
              <w:rPr>
                <w:rFonts w:ascii="Times New Roman" w:eastAsia="Times New Roman" w:hAnsi="Times New Roman" w:cs="Times New Roman"/>
                <w:b/>
                <w:noProof/>
                <w:spacing w:val="-6"/>
                <w:sz w:val="18"/>
                <w:szCs w:val="18"/>
                <w:lang w:val="sk-SK"/>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230880F" w14:textId="77777777" w:rsidR="00302FC1" w:rsidRPr="00AB26B3" w:rsidRDefault="00302FC1">
            <w:pPr>
              <w:spacing w:before="120" w:after="0" w:line="240" w:lineRule="auto"/>
              <w:rPr>
                <w:rFonts w:ascii="Times New Roman" w:eastAsia="Times New Roman" w:hAnsi="Times New Roman" w:cs="Times New Roman"/>
                <w:b/>
                <w:noProof/>
                <w:spacing w:val="-6"/>
                <w:sz w:val="18"/>
                <w:szCs w:val="18"/>
                <w:lang w:val="sk-SK"/>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AE076B9" w14:textId="77777777" w:rsidR="00302FC1" w:rsidRPr="00AB26B3" w:rsidRDefault="00302FC1">
            <w:pPr>
              <w:spacing w:before="120" w:after="0" w:line="240" w:lineRule="auto"/>
              <w:rPr>
                <w:rFonts w:ascii="Times New Roman" w:eastAsia="Times New Roman" w:hAnsi="Times New Roman" w:cs="Times New Roman"/>
                <w:b/>
                <w:noProof/>
                <w:spacing w:val="-6"/>
                <w:sz w:val="18"/>
                <w:szCs w:val="18"/>
                <w:lang w:val="sk-SK"/>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14:paraId="703777C9" w14:textId="77777777" w:rsidR="00302FC1" w:rsidRPr="00AB26B3" w:rsidRDefault="00302FC1">
            <w:pPr>
              <w:spacing w:before="120" w:after="0" w:line="240" w:lineRule="auto"/>
              <w:rPr>
                <w:rFonts w:ascii="Times New Roman" w:eastAsia="Times New Roman" w:hAnsi="Times New Roman" w:cs="Times New Roman"/>
                <w:b/>
                <w:noProof/>
                <w:spacing w:val="-6"/>
                <w:sz w:val="18"/>
                <w:szCs w:val="18"/>
                <w:lang w:val="sk-SK"/>
              </w:rPr>
            </w:pPr>
          </w:p>
        </w:tc>
        <w:tc>
          <w:tcPr>
            <w:tcW w:w="140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AFB5F65"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035" w:type="dxa"/>
            <w:tcBorders>
              <w:top w:val="single" w:sz="4" w:space="0" w:color="auto"/>
              <w:left w:val="nil"/>
              <w:bottom w:val="single" w:sz="4" w:space="0" w:color="auto"/>
              <w:right w:val="single" w:sz="4" w:space="0" w:color="auto"/>
            </w:tcBorders>
            <w:shd w:val="clear" w:color="auto" w:fill="BDD7EE"/>
            <w:vAlign w:val="center"/>
            <w:hideMark/>
          </w:tcPr>
          <w:p w14:paraId="38876575"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1097" w:type="dxa"/>
            <w:tcBorders>
              <w:top w:val="single" w:sz="4" w:space="0" w:color="auto"/>
              <w:left w:val="nil"/>
              <w:bottom w:val="single" w:sz="4" w:space="0" w:color="auto"/>
              <w:right w:val="single" w:sz="4" w:space="0" w:color="auto"/>
            </w:tcBorders>
            <w:shd w:val="clear" w:color="auto" w:fill="BDD7EE"/>
            <w:vAlign w:val="center"/>
            <w:hideMark/>
          </w:tcPr>
          <w:p w14:paraId="3D4C0315"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14:paraId="281F24B5"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83" w:type="dxa"/>
            <w:tcBorders>
              <w:top w:val="single" w:sz="4" w:space="0" w:color="auto"/>
              <w:left w:val="nil"/>
              <w:bottom w:val="single" w:sz="4" w:space="0" w:color="auto"/>
              <w:right w:val="single" w:sz="4" w:space="0" w:color="auto"/>
            </w:tcBorders>
            <w:shd w:val="clear" w:color="auto" w:fill="BDD7EE"/>
            <w:vAlign w:val="center"/>
            <w:hideMark/>
          </w:tcPr>
          <w:p w14:paraId="4DCFF2B1" w14:textId="77777777" w:rsidR="00302FC1" w:rsidRPr="00AB26B3" w:rsidRDefault="00D64F26">
            <w:pPr>
              <w:pStyle w:val="P68B1DB1-Normal10"/>
              <w:spacing w:before="120" w:after="0" w:line="240" w:lineRule="auto"/>
              <w:jc w:val="center"/>
              <w:rPr>
                <w:rFonts w:eastAsia="Times New Roman" w:cs="Times New Roman"/>
                <w:bCs/>
                <w:noProof/>
                <w:spacing w:val="-6"/>
                <w:szCs w:val="18"/>
                <w:lang w:val="sk-SK"/>
              </w:rPr>
            </w:pPr>
            <w:r w:rsidRPr="00AB26B3">
              <w:rPr>
                <w:noProof/>
                <w:spacing w:val="-6"/>
                <w:lang w:val="sk-SK"/>
              </w:rPr>
              <w:t>Rok</w:t>
            </w:r>
          </w:p>
        </w:tc>
        <w:tc>
          <w:tcPr>
            <w:tcW w:w="3117" w:type="dxa"/>
            <w:vMerge/>
            <w:tcBorders>
              <w:top w:val="single" w:sz="4" w:space="0" w:color="auto"/>
              <w:bottom w:val="single" w:sz="4" w:space="0" w:color="auto"/>
              <w:right w:val="single" w:sz="4" w:space="0" w:color="auto"/>
            </w:tcBorders>
            <w:vAlign w:val="center"/>
            <w:hideMark/>
          </w:tcPr>
          <w:p w14:paraId="3D9E6052" w14:textId="77777777" w:rsidR="00302FC1" w:rsidRPr="00AB26B3" w:rsidRDefault="00302FC1">
            <w:pPr>
              <w:spacing w:before="120" w:after="0" w:line="240" w:lineRule="auto"/>
              <w:rPr>
                <w:rFonts w:ascii="Times New Roman" w:eastAsia="Times New Roman" w:hAnsi="Times New Roman" w:cs="Times New Roman"/>
                <w:b/>
                <w:noProof/>
                <w:spacing w:val="-6"/>
                <w:sz w:val="18"/>
                <w:szCs w:val="18"/>
                <w:lang w:val="sk-SK"/>
              </w:rPr>
            </w:pPr>
          </w:p>
        </w:tc>
      </w:tr>
      <w:tr w:rsidR="00302FC1" w:rsidRPr="00AB26B3" w14:paraId="023C3171" w14:textId="77777777">
        <w:trPr>
          <w:trHeight w:val="309"/>
        </w:trPr>
        <w:tc>
          <w:tcPr>
            <w:tcW w:w="566" w:type="dxa"/>
            <w:tcBorders>
              <w:top w:val="single" w:sz="4" w:space="0" w:color="auto"/>
              <w:left w:val="single" w:sz="4" w:space="0" w:color="auto"/>
              <w:bottom w:val="single" w:sz="4" w:space="0" w:color="auto"/>
              <w:right w:val="single" w:sz="4" w:space="0" w:color="auto"/>
            </w:tcBorders>
            <w:shd w:val="clear" w:color="auto" w:fill="C6EFCE"/>
            <w:noWrap/>
          </w:tcPr>
          <w:p w14:paraId="1A1FC6C7"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182</w:t>
            </w:r>
          </w:p>
        </w:tc>
        <w:tc>
          <w:tcPr>
            <w:tcW w:w="1942" w:type="dxa"/>
            <w:tcBorders>
              <w:top w:val="single" w:sz="4" w:space="0" w:color="auto"/>
              <w:left w:val="nil"/>
              <w:bottom w:val="single" w:sz="4" w:space="0" w:color="auto"/>
              <w:right w:val="single" w:sz="4" w:space="0" w:color="auto"/>
            </w:tcBorders>
            <w:shd w:val="clear" w:color="auto" w:fill="C6EFCE"/>
            <w:noWrap/>
          </w:tcPr>
          <w:p w14:paraId="50198A65" w14:textId="261BE4C0"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16925_Digitálna transformácia systému sociálnej podpory</w:t>
            </w:r>
          </w:p>
        </w:tc>
        <w:tc>
          <w:tcPr>
            <w:tcW w:w="1099" w:type="dxa"/>
            <w:tcBorders>
              <w:top w:val="single" w:sz="4" w:space="0" w:color="auto"/>
              <w:left w:val="nil"/>
              <w:bottom w:val="single" w:sz="4" w:space="0" w:color="auto"/>
              <w:right w:val="single" w:sz="4" w:space="0" w:color="auto"/>
            </w:tcBorders>
            <w:shd w:val="clear" w:color="auto" w:fill="C6EFCE"/>
            <w:noWrap/>
          </w:tcPr>
          <w:p w14:paraId="7EDF372E"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2107" w:type="dxa"/>
            <w:tcBorders>
              <w:top w:val="single" w:sz="4" w:space="0" w:color="auto"/>
              <w:left w:val="nil"/>
              <w:bottom w:val="single" w:sz="4" w:space="0" w:color="auto"/>
              <w:right w:val="single" w:sz="4" w:space="0" w:color="auto"/>
            </w:tcBorders>
            <w:shd w:val="clear" w:color="auto" w:fill="C6EFCE"/>
            <w:noWrap/>
          </w:tcPr>
          <w:p w14:paraId="5454CE87"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Vydávanie preukazov osôb so zdravotným postihnutím oprávneným osobám</w:t>
            </w:r>
          </w:p>
        </w:tc>
        <w:tc>
          <w:tcPr>
            <w:tcW w:w="1766" w:type="dxa"/>
            <w:tcBorders>
              <w:top w:val="single" w:sz="4" w:space="0" w:color="auto"/>
              <w:left w:val="nil"/>
              <w:bottom w:val="single" w:sz="4" w:space="0" w:color="auto"/>
              <w:right w:val="single" w:sz="4" w:space="0" w:color="auto"/>
            </w:tcBorders>
            <w:shd w:val="clear" w:color="auto" w:fill="C6EFCE"/>
            <w:noWrap/>
          </w:tcPr>
          <w:p w14:paraId="548403C2" w14:textId="77777777" w:rsidR="00302FC1" w:rsidRPr="00AB26B3" w:rsidRDefault="00D64F26">
            <w:pPr>
              <w:pStyle w:val="P68B1DB1-Normal24"/>
              <w:spacing w:before="120" w:after="0" w:line="240" w:lineRule="auto"/>
              <w:rPr>
                <w:noProof/>
                <w:spacing w:val="-6"/>
                <w:lang w:val="sk-SK"/>
              </w:rPr>
            </w:pPr>
            <w:r w:rsidRPr="00AB26B3">
              <w:rPr>
                <w:noProof/>
                <w:spacing w:val="-6"/>
                <w:lang w:val="sk-SK"/>
              </w:rPr>
              <w:t>Vydávanie preukazov osôb so zdravotným postihnutím oprávneným osobám</w:t>
            </w:r>
          </w:p>
        </w:tc>
        <w:tc>
          <w:tcPr>
            <w:tcW w:w="1404" w:type="dxa"/>
            <w:tcBorders>
              <w:top w:val="single" w:sz="4" w:space="0" w:color="auto"/>
              <w:left w:val="nil"/>
              <w:bottom w:val="single" w:sz="4" w:space="0" w:color="auto"/>
              <w:right w:val="single" w:sz="4" w:space="0" w:color="auto"/>
            </w:tcBorders>
            <w:shd w:val="clear" w:color="auto" w:fill="C6EFCE"/>
            <w:noWrap/>
          </w:tcPr>
          <w:p w14:paraId="679106D6"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35" w:type="dxa"/>
            <w:tcBorders>
              <w:top w:val="nil"/>
              <w:left w:val="nil"/>
              <w:bottom w:val="single" w:sz="4" w:space="0" w:color="auto"/>
              <w:right w:val="single" w:sz="4" w:space="0" w:color="auto"/>
            </w:tcBorders>
            <w:shd w:val="clear" w:color="auto" w:fill="C6EFCE"/>
            <w:noWrap/>
          </w:tcPr>
          <w:p w14:paraId="41C02605"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7" w:type="dxa"/>
            <w:tcBorders>
              <w:top w:val="nil"/>
              <w:left w:val="nil"/>
              <w:bottom w:val="single" w:sz="4" w:space="0" w:color="auto"/>
              <w:right w:val="single" w:sz="4" w:space="0" w:color="auto"/>
            </w:tcBorders>
            <w:shd w:val="clear" w:color="auto" w:fill="C6EFCE"/>
            <w:noWrap/>
          </w:tcPr>
          <w:p w14:paraId="037F6556"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495F4DB6"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83" w:type="dxa"/>
            <w:tcBorders>
              <w:top w:val="nil"/>
              <w:left w:val="nil"/>
              <w:bottom w:val="single" w:sz="4" w:space="0" w:color="auto"/>
              <w:right w:val="single" w:sz="4" w:space="0" w:color="auto"/>
            </w:tcBorders>
            <w:shd w:val="clear" w:color="auto" w:fill="C6EFCE"/>
            <w:noWrap/>
          </w:tcPr>
          <w:p w14:paraId="6835252B"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117" w:type="dxa"/>
            <w:tcBorders>
              <w:top w:val="single" w:sz="4" w:space="0" w:color="auto"/>
              <w:left w:val="nil"/>
              <w:bottom w:val="single" w:sz="4" w:space="0" w:color="auto"/>
              <w:right w:val="single" w:sz="4" w:space="0" w:color="auto"/>
            </w:tcBorders>
            <w:shd w:val="clear" w:color="auto" w:fill="C6EFCE"/>
            <w:noWrap/>
          </w:tcPr>
          <w:p w14:paraId="59DFCB98" w14:textId="3D558470"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Vydanie 150000 preukazov pre osoby so zdravotným postihnutím oprávneným osobám</w:t>
            </w:r>
          </w:p>
          <w:p w14:paraId="79927269" w14:textId="422DE688"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Preukazy osôb so zdravotným postihnutím zahŕňajú kultúrne</w:t>
            </w:r>
            <w:r w:rsidR="00AB26B3" w:rsidRPr="00AB26B3">
              <w:rPr>
                <w:noProof/>
                <w:spacing w:val="-6"/>
                <w:lang w:val="sk-SK"/>
              </w:rPr>
              <w:t xml:space="preserve"> a </w:t>
            </w:r>
            <w:r w:rsidRPr="00AB26B3">
              <w:rPr>
                <w:noProof/>
                <w:spacing w:val="-6"/>
                <w:lang w:val="sk-SK"/>
              </w:rPr>
              <w:t xml:space="preserve">dopravné výhody pre osoby so zdravotným postihnutím </w:t>
            </w:r>
          </w:p>
        </w:tc>
      </w:tr>
      <w:tr w:rsidR="00302FC1" w:rsidRPr="00AB26B3" w14:paraId="2D348D69" w14:textId="77777777">
        <w:trPr>
          <w:trHeight w:val="309"/>
        </w:trPr>
        <w:tc>
          <w:tcPr>
            <w:tcW w:w="566" w:type="dxa"/>
            <w:tcBorders>
              <w:top w:val="nil"/>
              <w:left w:val="single" w:sz="4" w:space="0" w:color="auto"/>
              <w:bottom w:val="single" w:sz="4" w:space="0" w:color="auto"/>
              <w:right w:val="single" w:sz="4" w:space="0" w:color="auto"/>
            </w:tcBorders>
            <w:shd w:val="clear" w:color="auto" w:fill="C6EFCE"/>
            <w:noWrap/>
          </w:tcPr>
          <w:p w14:paraId="5A4162F0"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182a</w:t>
            </w:r>
          </w:p>
        </w:tc>
        <w:tc>
          <w:tcPr>
            <w:tcW w:w="1942" w:type="dxa"/>
            <w:tcBorders>
              <w:top w:val="nil"/>
              <w:left w:val="nil"/>
              <w:bottom w:val="single" w:sz="4" w:space="0" w:color="auto"/>
              <w:right w:val="single" w:sz="4" w:space="0" w:color="auto"/>
            </w:tcBorders>
            <w:shd w:val="clear" w:color="auto" w:fill="C6EFCE"/>
            <w:noWrap/>
          </w:tcPr>
          <w:p w14:paraId="197D7572" w14:textId="59E46EFC"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16925_Digitálna transformácia systému sociálnej podpory</w:t>
            </w:r>
          </w:p>
        </w:tc>
        <w:tc>
          <w:tcPr>
            <w:tcW w:w="1099" w:type="dxa"/>
            <w:tcBorders>
              <w:top w:val="nil"/>
              <w:left w:val="nil"/>
              <w:bottom w:val="single" w:sz="4" w:space="0" w:color="auto"/>
              <w:right w:val="single" w:sz="4" w:space="0" w:color="auto"/>
            </w:tcBorders>
            <w:shd w:val="clear" w:color="auto" w:fill="C6EFCE"/>
            <w:noWrap/>
          </w:tcPr>
          <w:p w14:paraId="7D0F623D"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2107" w:type="dxa"/>
            <w:tcBorders>
              <w:top w:val="nil"/>
              <w:left w:val="nil"/>
              <w:bottom w:val="single" w:sz="4" w:space="0" w:color="auto"/>
              <w:right w:val="single" w:sz="4" w:space="0" w:color="auto"/>
            </w:tcBorders>
            <w:shd w:val="clear" w:color="auto" w:fill="C6EFCE"/>
            <w:noWrap/>
          </w:tcPr>
          <w:p w14:paraId="5238B778"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 xml:space="preserve">Národný portál pre osoby so zdravotným postihnutím </w:t>
            </w:r>
          </w:p>
        </w:tc>
        <w:tc>
          <w:tcPr>
            <w:tcW w:w="1766" w:type="dxa"/>
            <w:tcBorders>
              <w:top w:val="nil"/>
              <w:left w:val="nil"/>
              <w:bottom w:val="single" w:sz="4" w:space="0" w:color="auto"/>
              <w:right w:val="single" w:sz="4" w:space="0" w:color="auto"/>
            </w:tcBorders>
            <w:shd w:val="clear" w:color="auto" w:fill="C6EFCE"/>
            <w:noWrap/>
          </w:tcPr>
          <w:p w14:paraId="64E3536E"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 xml:space="preserve">Dodanie národného portálu pre osoby so zdravotným postihnutím </w:t>
            </w:r>
          </w:p>
        </w:tc>
        <w:tc>
          <w:tcPr>
            <w:tcW w:w="1404" w:type="dxa"/>
            <w:tcBorders>
              <w:top w:val="nil"/>
              <w:left w:val="nil"/>
              <w:bottom w:val="single" w:sz="4" w:space="0" w:color="auto"/>
              <w:right w:val="single" w:sz="4" w:space="0" w:color="auto"/>
            </w:tcBorders>
            <w:shd w:val="clear" w:color="auto" w:fill="C6EFCE"/>
            <w:noWrap/>
          </w:tcPr>
          <w:p w14:paraId="00047ED4"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35" w:type="dxa"/>
            <w:tcBorders>
              <w:top w:val="nil"/>
              <w:left w:val="nil"/>
              <w:bottom w:val="single" w:sz="4" w:space="0" w:color="auto"/>
              <w:right w:val="single" w:sz="4" w:space="0" w:color="auto"/>
            </w:tcBorders>
            <w:shd w:val="clear" w:color="auto" w:fill="C6EFCE"/>
            <w:noWrap/>
          </w:tcPr>
          <w:p w14:paraId="478232A7"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7" w:type="dxa"/>
            <w:tcBorders>
              <w:top w:val="nil"/>
              <w:left w:val="nil"/>
              <w:bottom w:val="single" w:sz="4" w:space="0" w:color="auto"/>
              <w:right w:val="single" w:sz="4" w:space="0" w:color="auto"/>
            </w:tcBorders>
            <w:shd w:val="clear" w:color="auto" w:fill="C6EFCE"/>
            <w:noWrap/>
          </w:tcPr>
          <w:p w14:paraId="68DE0DE1"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29C756F1"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83" w:type="dxa"/>
            <w:tcBorders>
              <w:top w:val="nil"/>
              <w:left w:val="nil"/>
              <w:bottom w:val="single" w:sz="4" w:space="0" w:color="auto"/>
              <w:right w:val="single" w:sz="4" w:space="0" w:color="auto"/>
            </w:tcBorders>
            <w:shd w:val="clear" w:color="auto" w:fill="C6EFCE"/>
            <w:noWrap/>
          </w:tcPr>
          <w:p w14:paraId="5F5F2C19"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117" w:type="dxa"/>
            <w:tcBorders>
              <w:top w:val="nil"/>
              <w:left w:val="nil"/>
              <w:bottom w:val="single" w:sz="4" w:space="0" w:color="auto"/>
              <w:right w:val="single" w:sz="4" w:space="0" w:color="auto"/>
            </w:tcBorders>
            <w:shd w:val="clear" w:color="auto" w:fill="C6EFCE"/>
            <w:noWrap/>
          </w:tcPr>
          <w:p w14:paraId="618101F2" w14:textId="4EAFE85B" w:rsidR="00302FC1" w:rsidRPr="00AB26B3" w:rsidRDefault="00D64F26">
            <w:pPr>
              <w:pStyle w:val="P68B1DB1-Normal12"/>
              <w:spacing w:after="0" w:line="240" w:lineRule="auto"/>
              <w:jc w:val="both"/>
              <w:textAlignment w:val="baseline"/>
              <w:rPr>
                <w:rFonts w:eastAsia="Times New Roman"/>
                <w:noProof/>
                <w:spacing w:val="-6"/>
                <w:lang w:val="sk-SK"/>
              </w:rPr>
            </w:pPr>
            <w:r w:rsidRPr="00AB26B3">
              <w:rPr>
                <w:noProof/>
                <w:spacing w:val="-6"/>
                <w:lang w:val="sk-SK"/>
              </w:rPr>
              <w:t>Národný portál pre osoby so zdravotným postihnutím poskytuje používateľom online prístup</w:t>
            </w:r>
            <w:r w:rsidR="00AB26B3" w:rsidRPr="00AB26B3">
              <w:rPr>
                <w:noProof/>
                <w:spacing w:val="-6"/>
                <w:lang w:val="sk-SK"/>
              </w:rPr>
              <w:t xml:space="preserve"> k </w:t>
            </w:r>
            <w:r w:rsidRPr="00AB26B3">
              <w:rPr>
                <w:noProof/>
                <w:spacing w:val="-6"/>
                <w:lang w:val="sk-SK"/>
              </w:rPr>
              <w:t>ich osobným údajom</w:t>
            </w:r>
            <w:r w:rsidR="00AB26B3" w:rsidRPr="00AB26B3">
              <w:rPr>
                <w:noProof/>
                <w:spacing w:val="-6"/>
                <w:lang w:val="sk-SK"/>
              </w:rPr>
              <w:t xml:space="preserve"> a </w:t>
            </w:r>
            <w:r w:rsidRPr="00AB26B3">
              <w:rPr>
                <w:noProof/>
                <w:spacing w:val="-6"/>
                <w:lang w:val="sk-SK"/>
              </w:rPr>
              <w:t>dávkam zodpovedajúcim ich zdravotnému postihnutiu</w:t>
            </w:r>
          </w:p>
        </w:tc>
      </w:tr>
      <w:tr w:rsidR="00302FC1" w:rsidRPr="00AB26B3" w14:paraId="42AF78D3" w14:textId="77777777">
        <w:trPr>
          <w:trHeight w:val="309"/>
        </w:trPr>
        <w:tc>
          <w:tcPr>
            <w:tcW w:w="566" w:type="dxa"/>
            <w:tcBorders>
              <w:top w:val="nil"/>
              <w:left w:val="single" w:sz="4" w:space="0" w:color="auto"/>
              <w:bottom w:val="single" w:sz="4" w:space="0" w:color="auto"/>
              <w:right w:val="single" w:sz="4" w:space="0" w:color="auto"/>
            </w:tcBorders>
            <w:shd w:val="clear" w:color="auto" w:fill="C6EFCE"/>
            <w:noWrap/>
          </w:tcPr>
          <w:p w14:paraId="5421CF95"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183</w:t>
            </w:r>
          </w:p>
        </w:tc>
        <w:tc>
          <w:tcPr>
            <w:tcW w:w="1942" w:type="dxa"/>
            <w:tcBorders>
              <w:top w:val="nil"/>
              <w:left w:val="nil"/>
              <w:bottom w:val="single" w:sz="4" w:space="0" w:color="auto"/>
              <w:right w:val="single" w:sz="4" w:space="0" w:color="auto"/>
            </w:tcBorders>
            <w:shd w:val="clear" w:color="auto" w:fill="C6EFCE"/>
            <w:noWrap/>
          </w:tcPr>
          <w:p w14:paraId="30256A2F" w14:textId="21B5308E"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16922_Sociálna integrácia</w:t>
            </w:r>
          </w:p>
        </w:tc>
        <w:tc>
          <w:tcPr>
            <w:tcW w:w="1099" w:type="dxa"/>
            <w:tcBorders>
              <w:top w:val="nil"/>
              <w:left w:val="nil"/>
              <w:bottom w:val="single" w:sz="4" w:space="0" w:color="auto"/>
              <w:right w:val="single" w:sz="4" w:space="0" w:color="auto"/>
            </w:tcBorders>
            <w:shd w:val="clear" w:color="auto" w:fill="C6EFCE"/>
            <w:noWrap/>
          </w:tcPr>
          <w:p w14:paraId="26676BDC"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2107" w:type="dxa"/>
            <w:tcBorders>
              <w:top w:val="nil"/>
              <w:left w:val="nil"/>
              <w:bottom w:val="single" w:sz="4" w:space="0" w:color="auto"/>
              <w:right w:val="single" w:sz="4" w:space="0" w:color="auto"/>
            </w:tcBorders>
            <w:shd w:val="clear" w:color="auto" w:fill="C6EFCE"/>
            <w:noWrap/>
          </w:tcPr>
          <w:p w14:paraId="68A1A824" w14:textId="100277F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Vstup do programov na podporu zamestnanosti</w:t>
            </w:r>
            <w:r w:rsidR="00AB26B3" w:rsidRPr="00AB26B3">
              <w:rPr>
                <w:noProof/>
                <w:spacing w:val="-6"/>
                <w:lang w:val="sk-SK"/>
              </w:rPr>
              <w:t xml:space="preserve"> a </w:t>
            </w:r>
            <w:r w:rsidRPr="00AB26B3">
              <w:rPr>
                <w:noProof/>
                <w:spacing w:val="-6"/>
                <w:lang w:val="sk-SK"/>
              </w:rPr>
              <w:t xml:space="preserve">certifikácia potvrdzujúca účasť príjemcov GMI na odbornej príprave </w:t>
            </w:r>
          </w:p>
        </w:tc>
        <w:tc>
          <w:tcPr>
            <w:tcW w:w="1766" w:type="dxa"/>
            <w:tcBorders>
              <w:top w:val="nil"/>
              <w:left w:val="nil"/>
              <w:bottom w:val="single" w:sz="4" w:space="0" w:color="auto"/>
              <w:right w:val="single" w:sz="4" w:space="0" w:color="auto"/>
            </w:tcBorders>
            <w:shd w:val="clear" w:color="auto" w:fill="C6EFCE"/>
            <w:noWrap/>
          </w:tcPr>
          <w:p w14:paraId="1CBC6963" w14:textId="0DC1C2C5"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Doklad</w:t>
            </w:r>
            <w:r w:rsidR="00AB26B3" w:rsidRPr="00AB26B3">
              <w:rPr>
                <w:noProof/>
                <w:spacing w:val="-6"/>
                <w:lang w:val="sk-SK"/>
              </w:rPr>
              <w:t xml:space="preserve"> o </w:t>
            </w:r>
            <w:r w:rsidRPr="00AB26B3">
              <w:rPr>
                <w:noProof/>
                <w:spacing w:val="-6"/>
                <w:lang w:val="sk-SK"/>
              </w:rPr>
              <w:t>vstupe do programov na podporu zamestnanosti</w:t>
            </w:r>
            <w:r w:rsidR="00AB26B3" w:rsidRPr="00AB26B3">
              <w:rPr>
                <w:noProof/>
                <w:spacing w:val="-6"/>
                <w:lang w:val="sk-SK"/>
              </w:rPr>
              <w:t xml:space="preserve"> a </w:t>
            </w:r>
            <w:r w:rsidRPr="00AB26B3">
              <w:rPr>
                <w:noProof/>
                <w:spacing w:val="-6"/>
                <w:lang w:val="sk-SK"/>
              </w:rPr>
              <w:t>osvedčenie potvrdzujúce účasť príjemcov GMI na odbornej príprave</w:t>
            </w:r>
          </w:p>
        </w:tc>
        <w:tc>
          <w:tcPr>
            <w:tcW w:w="1404" w:type="dxa"/>
            <w:tcBorders>
              <w:top w:val="nil"/>
              <w:left w:val="nil"/>
              <w:bottom w:val="single" w:sz="4" w:space="0" w:color="auto"/>
              <w:right w:val="single" w:sz="4" w:space="0" w:color="auto"/>
            </w:tcBorders>
            <w:shd w:val="clear" w:color="auto" w:fill="C6EFCE"/>
            <w:noWrap/>
          </w:tcPr>
          <w:p w14:paraId="0323BB8F"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35" w:type="dxa"/>
            <w:tcBorders>
              <w:top w:val="nil"/>
              <w:left w:val="nil"/>
              <w:bottom w:val="single" w:sz="4" w:space="0" w:color="auto"/>
              <w:right w:val="single" w:sz="4" w:space="0" w:color="auto"/>
            </w:tcBorders>
            <w:shd w:val="clear" w:color="auto" w:fill="C6EFCE"/>
            <w:noWrap/>
          </w:tcPr>
          <w:p w14:paraId="0CDF0018"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7" w:type="dxa"/>
            <w:tcBorders>
              <w:top w:val="nil"/>
              <w:left w:val="nil"/>
              <w:bottom w:val="single" w:sz="4" w:space="0" w:color="auto"/>
              <w:right w:val="single" w:sz="4" w:space="0" w:color="auto"/>
            </w:tcBorders>
            <w:shd w:val="clear" w:color="auto" w:fill="C6EFCE"/>
            <w:noWrap/>
          </w:tcPr>
          <w:p w14:paraId="62135377"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1A75D64A"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83" w:type="dxa"/>
            <w:tcBorders>
              <w:top w:val="nil"/>
              <w:left w:val="nil"/>
              <w:bottom w:val="single" w:sz="4" w:space="0" w:color="auto"/>
              <w:right w:val="single" w:sz="4" w:space="0" w:color="auto"/>
            </w:tcBorders>
            <w:shd w:val="clear" w:color="auto" w:fill="C6EFCE"/>
            <w:noWrap/>
          </w:tcPr>
          <w:p w14:paraId="35AA85D0"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117" w:type="dxa"/>
            <w:tcBorders>
              <w:top w:val="nil"/>
              <w:left w:val="nil"/>
              <w:bottom w:val="single" w:sz="4" w:space="0" w:color="auto"/>
              <w:right w:val="single" w:sz="4" w:space="0" w:color="auto"/>
            </w:tcBorders>
            <w:shd w:val="clear" w:color="auto" w:fill="C6EFCE"/>
            <w:noWrap/>
          </w:tcPr>
          <w:p w14:paraId="69DC477D" w14:textId="550880BC" w:rsidR="00302FC1" w:rsidRPr="00AB26B3" w:rsidRDefault="00D64F26">
            <w:pPr>
              <w:pStyle w:val="P68B1DB1-Normal12"/>
              <w:spacing w:before="120" w:after="0" w:line="240" w:lineRule="auto"/>
              <w:rPr>
                <w:noProof/>
                <w:spacing w:val="-6"/>
                <w:lang w:val="sk-SK"/>
              </w:rPr>
            </w:pPr>
            <w:r w:rsidRPr="00AB26B3">
              <w:rPr>
                <w:noProof/>
                <w:spacing w:val="-6"/>
                <w:lang w:val="sk-SK"/>
              </w:rPr>
              <w:t>Vstup do programov na podporu zamestnanosti pre 7000 príjemcov garantovaného minimálneho príjmu</w:t>
            </w:r>
            <w:r w:rsidR="00AB26B3" w:rsidRPr="00AB26B3">
              <w:rPr>
                <w:noProof/>
                <w:spacing w:val="-6"/>
                <w:lang w:val="sk-SK"/>
              </w:rPr>
              <w:t xml:space="preserve"> a </w:t>
            </w:r>
            <w:r w:rsidRPr="00AB26B3">
              <w:rPr>
                <w:noProof/>
                <w:spacing w:val="-6"/>
                <w:lang w:val="sk-SK"/>
              </w:rPr>
              <w:t xml:space="preserve">vydávanie osvedčení národnou organizáciou, ktorými sa potvrdzuje ich účasť na odbornej príprave. </w:t>
            </w:r>
          </w:p>
        </w:tc>
      </w:tr>
      <w:tr w:rsidR="00302FC1" w:rsidRPr="00AB26B3" w14:paraId="30772618" w14:textId="77777777">
        <w:trPr>
          <w:trHeight w:val="309"/>
        </w:trPr>
        <w:tc>
          <w:tcPr>
            <w:tcW w:w="566" w:type="dxa"/>
            <w:tcBorders>
              <w:top w:val="nil"/>
              <w:left w:val="single" w:sz="4" w:space="0" w:color="auto"/>
              <w:bottom w:val="single" w:sz="4" w:space="0" w:color="auto"/>
              <w:right w:val="single" w:sz="4" w:space="0" w:color="auto"/>
            </w:tcBorders>
            <w:shd w:val="clear" w:color="auto" w:fill="C6EFCE"/>
            <w:noWrap/>
          </w:tcPr>
          <w:p w14:paraId="60BB1E80"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184</w:t>
            </w:r>
          </w:p>
        </w:tc>
        <w:tc>
          <w:tcPr>
            <w:tcW w:w="1942" w:type="dxa"/>
            <w:tcBorders>
              <w:top w:val="nil"/>
              <w:left w:val="nil"/>
              <w:bottom w:val="single" w:sz="4" w:space="0" w:color="auto"/>
              <w:right w:val="single" w:sz="4" w:space="0" w:color="auto"/>
            </w:tcBorders>
            <w:shd w:val="clear" w:color="auto" w:fill="C6EFCE"/>
            <w:noWrap/>
          </w:tcPr>
          <w:p w14:paraId="058E0B44" w14:textId="1E1A4F93"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16685_Informovanosť</w:t>
            </w:r>
            <w:r w:rsidR="00AB26B3" w:rsidRPr="00AB26B3">
              <w:rPr>
                <w:noProof/>
                <w:spacing w:val="-6"/>
                <w:lang w:val="sk-SK"/>
              </w:rPr>
              <w:t xml:space="preserve"> o </w:t>
            </w:r>
            <w:r w:rsidRPr="00AB26B3">
              <w:rPr>
                <w:noProof/>
                <w:spacing w:val="-6"/>
                <w:lang w:val="sk-SK"/>
              </w:rPr>
              <w:t>rozmanitosti</w:t>
            </w:r>
          </w:p>
        </w:tc>
        <w:tc>
          <w:tcPr>
            <w:tcW w:w="1099" w:type="dxa"/>
            <w:tcBorders>
              <w:top w:val="nil"/>
              <w:left w:val="nil"/>
              <w:bottom w:val="single" w:sz="4" w:space="0" w:color="auto"/>
              <w:right w:val="single" w:sz="4" w:space="0" w:color="auto"/>
            </w:tcBorders>
            <w:shd w:val="clear" w:color="auto" w:fill="C6EFCE"/>
            <w:noWrap/>
          </w:tcPr>
          <w:p w14:paraId="3552DF5C"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2107" w:type="dxa"/>
            <w:tcBorders>
              <w:top w:val="nil"/>
              <w:left w:val="nil"/>
              <w:bottom w:val="single" w:sz="4" w:space="0" w:color="auto"/>
              <w:right w:val="single" w:sz="4" w:space="0" w:color="auto"/>
            </w:tcBorders>
            <w:shd w:val="clear" w:color="auto" w:fill="C6EFCE"/>
            <w:noWrap/>
          </w:tcPr>
          <w:p w14:paraId="474F93FA" w14:textId="505FD1FC"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Osvedčenia</w:t>
            </w:r>
            <w:r w:rsidR="00AB26B3" w:rsidRPr="00AB26B3">
              <w:rPr>
                <w:noProof/>
                <w:spacing w:val="-6"/>
                <w:lang w:val="sk-SK"/>
              </w:rPr>
              <w:t xml:space="preserve"> o </w:t>
            </w:r>
            <w:r w:rsidRPr="00AB26B3">
              <w:rPr>
                <w:noProof/>
                <w:spacing w:val="-6"/>
                <w:lang w:val="sk-SK"/>
              </w:rPr>
              <w:t>odbornej príprave vydávané zamestnancom</w:t>
            </w:r>
            <w:r w:rsidR="00AB26B3" w:rsidRPr="00AB26B3">
              <w:rPr>
                <w:noProof/>
                <w:spacing w:val="-6"/>
                <w:lang w:val="sk-SK"/>
              </w:rPr>
              <w:t xml:space="preserve"> v </w:t>
            </w:r>
            <w:r w:rsidRPr="00AB26B3">
              <w:rPr>
                <w:noProof/>
                <w:spacing w:val="-6"/>
                <w:lang w:val="sk-SK"/>
              </w:rPr>
              <w:t>podnikoch súkromného sektora</w:t>
            </w:r>
          </w:p>
        </w:tc>
        <w:tc>
          <w:tcPr>
            <w:tcW w:w="1766" w:type="dxa"/>
            <w:tcBorders>
              <w:top w:val="nil"/>
              <w:left w:val="nil"/>
              <w:bottom w:val="single" w:sz="4" w:space="0" w:color="auto"/>
              <w:right w:val="single" w:sz="4" w:space="0" w:color="auto"/>
            </w:tcBorders>
            <w:shd w:val="clear" w:color="auto" w:fill="C6EFCE"/>
            <w:noWrap/>
          </w:tcPr>
          <w:p w14:paraId="52ECC991" w14:textId="5AAD6325"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Osvedčenia</w:t>
            </w:r>
            <w:r w:rsidR="00AB26B3" w:rsidRPr="00AB26B3">
              <w:rPr>
                <w:noProof/>
                <w:spacing w:val="-6"/>
                <w:lang w:val="sk-SK"/>
              </w:rPr>
              <w:t xml:space="preserve"> o </w:t>
            </w:r>
            <w:r w:rsidRPr="00AB26B3">
              <w:rPr>
                <w:noProof/>
                <w:spacing w:val="-6"/>
                <w:lang w:val="sk-SK"/>
              </w:rPr>
              <w:t>odbornej príprave</w:t>
            </w:r>
            <w:r w:rsidR="00AB26B3" w:rsidRPr="00AB26B3">
              <w:rPr>
                <w:noProof/>
                <w:spacing w:val="-6"/>
                <w:lang w:val="sk-SK"/>
              </w:rPr>
              <w:t xml:space="preserve"> v </w:t>
            </w:r>
            <w:r w:rsidRPr="00AB26B3">
              <w:rPr>
                <w:noProof/>
                <w:spacing w:val="-6"/>
                <w:lang w:val="sk-SK"/>
              </w:rPr>
              <w:t>oblasti informovanosti</w:t>
            </w:r>
            <w:r w:rsidR="00AB26B3" w:rsidRPr="00AB26B3">
              <w:rPr>
                <w:noProof/>
                <w:spacing w:val="-6"/>
                <w:lang w:val="sk-SK"/>
              </w:rPr>
              <w:t xml:space="preserve"> o </w:t>
            </w:r>
            <w:r w:rsidRPr="00AB26B3">
              <w:rPr>
                <w:noProof/>
                <w:spacing w:val="-6"/>
                <w:lang w:val="sk-SK"/>
              </w:rPr>
              <w:t>rozmanitosti vydané pre 80000 zamestnancov</w:t>
            </w:r>
            <w:r w:rsidR="00AB26B3" w:rsidRPr="00AB26B3">
              <w:rPr>
                <w:noProof/>
                <w:spacing w:val="-6"/>
                <w:lang w:val="sk-SK"/>
              </w:rPr>
              <w:t xml:space="preserve"> v </w:t>
            </w:r>
            <w:r w:rsidRPr="00AB26B3">
              <w:rPr>
                <w:noProof/>
                <w:spacing w:val="-6"/>
                <w:lang w:val="sk-SK"/>
              </w:rPr>
              <w:t xml:space="preserve">podnikoch súkromného sektora </w:t>
            </w:r>
          </w:p>
        </w:tc>
        <w:tc>
          <w:tcPr>
            <w:tcW w:w="1404" w:type="dxa"/>
            <w:tcBorders>
              <w:top w:val="nil"/>
              <w:left w:val="nil"/>
              <w:bottom w:val="single" w:sz="4" w:space="0" w:color="auto"/>
              <w:right w:val="single" w:sz="4" w:space="0" w:color="auto"/>
            </w:tcBorders>
            <w:shd w:val="clear" w:color="auto" w:fill="C6EFCE"/>
            <w:noWrap/>
          </w:tcPr>
          <w:p w14:paraId="60FDA128"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35" w:type="dxa"/>
            <w:tcBorders>
              <w:top w:val="nil"/>
              <w:left w:val="nil"/>
              <w:bottom w:val="single" w:sz="4" w:space="0" w:color="auto"/>
              <w:right w:val="single" w:sz="4" w:space="0" w:color="auto"/>
            </w:tcBorders>
            <w:shd w:val="clear" w:color="auto" w:fill="C6EFCE"/>
            <w:noWrap/>
          </w:tcPr>
          <w:p w14:paraId="7D1C616E"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7" w:type="dxa"/>
            <w:tcBorders>
              <w:top w:val="nil"/>
              <w:left w:val="nil"/>
              <w:bottom w:val="single" w:sz="4" w:space="0" w:color="auto"/>
              <w:right w:val="single" w:sz="4" w:space="0" w:color="auto"/>
            </w:tcBorders>
            <w:shd w:val="clear" w:color="auto" w:fill="C6EFCE"/>
            <w:noWrap/>
          </w:tcPr>
          <w:p w14:paraId="44D2BA5D"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63444FEF"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TRETÍ ŠTVRŤROK</w:t>
            </w:r>
          </w:p>
        </w:tc>
        <w:tc>
          <w:tcPr>
            <w:tcW w:w="783" w:type="dxa"/>
            <w:tcBorders>
              <w:top w:val="nil"/>
              <w:left w:val="nil"/>
              <w:bottom w:val="single" w:sz="4" w:space="0" w:color="auto"/>
              <w:right w:val="single" w:sz="4" w:space="0" w:color="auto"/>
            </w:tcBorders>
            <w:shd w:val="clear" w:color="auto" w:fill="C6EFCE"/>
            <w:noWrap/>
          </w:tcPr>
          <w:p w14:paraId="4EBB6EF9"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2024</w:t>
            </w:r>
          </w:p>
        </w:tc>
        <w:tc>
          <w:tcPr>
            <w:tcW w:w="3117" w:type="dxa"/>
            <w:tcBorders>
              <w:top w:val="nil"/>
              <w:left w:val="nil"/>
              <w:bottom w:val="single" w:sz="4" w:space="0" w:color="auto"/>
              <w:right w:val="single" w:sz="4" w:space="0" w:color="auto"/>
            </w:tcBorders>
            <w:shd w:val="clear" w:color="auto" w:fill="C6EFCE"/>
            <w:noWrap/>
          </w:tcPr>
          <w:p w14:paraId="079D168F" w14:textId="01C3ABEC"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Osvedčenia</w:t>
            </w:r>
            <w:r w:rsidR="00AB26B3" w:rsidRPr="00AB26B3">
              <w:rPr>
                <w:noProof/>
                <w:spacing w:val="-6"/>
                <w:lang w:val="sk-SK"/>
              </w:rPr>
              <w:t xml:space="preserve"> o </w:t>
            </w:r>
            <w:r w:rsidRPr="00AB26B3">
              <w:rPr>
                <w:noProof/>
                <w:spacing w:val="-6"/>
                <w:lang w:val="sk-SK"/>
              </w:rPr>
              <w:t>odbornej príprave</w:t>
            </w:r>
            <w:r w:rsidR="00AB26B3" w:rsidRPr="00AB26B3">
              <w:rPr>
                <w:noProof/>
                <w:spacing w:val="-6"/>
                <w:lang w:val="sk-SK"/>
              </w:rPr>
              <w:t xml:space="preserve"> v </w:t>
            </w:r>
            <w:r w:rsidRPr="00AB26B3">
              <w:rPr>
                <w:noProof/>
                <w:spacing w:val="-6"/>
                <w:lang w:val="sk-SK"/>
              </w:rPr>
              <w:t>oblasti informovanosti</w:t>
            </w:r>
            <w:r w:rsidR="00AB26B3" w:rsidRPr="00AB26B3">
              <w:rPr>
                <w:noProof/>
                <w:spacing w:val="-6"/>
                <w:lang w:val="sk-SK"/>
              </w:rPr>
              <w:t xml:space="preserve"> o </w:t>
            </w:r>
            <w:r w:rsidRPr="00AB26B3">
              <w:rPr>
                <w:noProof/>
                <w:spacing w:val="-6"/>
                <w:lang w:val="sk-SK"/>
              </w:rPr>
              <w:t>rozmanitosti vydané pre 80000 zamestnancov</w:t>
            </w:r>
            <w:r w:rsidR="00AB26B3" w:rsidRPr="00AB26B3">
              <w:rPr>
                <w:noProof/>
                <w:spacing w:val="-6"/>
                <w:lang w:val="sk-SK"/>
              </w:rPr>
              <w:t xml:space="preserve"> v </w:t>
            </w:r>
            <w:r w:rsidRPr="00AB26B3">
              <w:rPr>
                <w:noProof/>
                <w:spacing w:val="-6"/>
                <w:lang w:val="sk-SK"/>
              </w:rPr>
              <w:t xml:space="preserve">podnikoch súkromného sektora </w:t>
            </w:r>
          </w:p>
        </w:tc>
      </w:tr>
      <w:tr w:rsidR="00302FC1" w:rsidRPr="00AB26B3" w14:paraId="4EF00622" w14:textId="77777777">
        <w:trPr>
          <w:trHeight w:val="309"/>
        </w:trPr>
        <w:tc>
          <w:tcPr>
            <w:tcW w:w="566" w:type="dxa"/>
            <w:tcBorders>
              <w:top w:val="nil"/>
              <w:left w:val="single" w:sz="4" w:space="0" w:color="auto"/>
              <w:bottom w:val="single" w:sz="4" w:space="0" w:color="auto"/>
              <w:right w:val="single" w:sz="4" w:space="0" w:color="auto"/>
            </w:tcBorders>
            <w:shd w:val="clear" w:color="auto" w:fill="C6EFCE"/>
            <w:noWrap/>
          </w:tcPr>
          <w:p w14:paraId="65FD3EC2"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184a</w:t>
            </w:r>
          </w:p>
        </w:tc>
        <w:tc>
          <w:tcPr>
            <w:tcW w:w="1942" w:type="dxa"/>
            <w:tcBorders>
              <w:top w:val="nil"/>
              <w:left w:val="nil"/>
              <w:bottom w:val="single" w:sz="4" w:space="0" w:color="auto"/>
              <w:right w:val="single" w:sz="4" w:space="0" w:color="auto"/>
            </w:tcBorders>
            <w:shd w:val="clear" w:color="auto" w:fill="C6EFCE"/>
            <w:noWrap/>
          </w:tcPr>
          <w:p w14:paraId="3F5D82BA" w14:textId="1EF89BB0"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16685_Informovanosť</w:t>
            </w:r>
            <w:r w:rsidR="00AB26B3" w:rsidRPr="00AB26B3">
              <w:rPr>
                <w:noProof/>
                <w:spacing w:val="-6"/>
                <w:lang w:val="sk-SK"/>
              </w:rPr>
              <w:t xml:space="preserve"> o </w:t>
            </w:r>
            <w:r w:rsidRPr="00AB26B3">
              <w:rPr>
                <w:noProof/>
                <w:spacing w:val="-6"/>
                <w:lang w:val="sk-SK"/>
              </w:rPr>
              <w:t>rozmanitosti</w:t>
            </w:r>
          </w:p>
        </w:tc>
        <w:tc>
          <w:tcPr>
            <w:tcW w:w="1099" w:type="dxa"/>
            <w:tcBorders>
              <w:top w:val="nil"/>
              <w:left w:val="nil"/>
              <w:bottom w:val="single" w:sz="4" w:space="0" w:color="auto"/>
              <w:right w:val="single" w:sz="4" w:space="0" w:color="auto"/>
            </w:tcBorders>
            <w:shd w:val="clear" w:color="auto" w:fill="C6EFCE"/>
            <w:noWrap/>
          </w:tcPr>
          <w:p w14:paraId="016CE2C8"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2107" w:type="dxa"/>
            <w:tcBorders>
              <w:top w:val="nil"/>
              <w:left w:val="nil"/>
              <w:bottom w:val="single" w:sz="4" w:space="0" w:color="auto"/>
              <w:right w:val="single" w:sz="4" w:space="0" w:color="auto"/>
            </w:tcBorders>
            <w:shd w:val="clear" w:color="auto" w:fill="C6EFCE"/>
            <w:noWrap/>
          </w:tcPr>
          <w:p w14:paraId="4944B187" w14:textId="2D2445AE"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Právny akt,</w:t>
            </w:r>
            <w:r w:rsidR="00AB26B3" w:rsidRPr="00AB26B3">
              <w:rPr>
                <w:noProof/>
                <w:spacing w:val="-6"/>
                <w:lang w:val="sk-SK"/>
              </w:rPr>
              <w:t xml:space="preserve"> v </w:t>
            </w:r>
            <w:r w:rsidRPr="00AB26B3">
              <w:rPr>
                <w:noProof/>
                <w:spacing w:val="-6"/>
                <w:lang w:val="sk-SK"/>
              </w:rPr>
              <w:t>ktorom sa špecifikuje úloha strediska pre monitorovanie rovnosti,</w:t>
            </w:r>
            <w:r w:rsidR="00AB26B3" w:rsidRPr="00AB26B3">
              <w:rPr>
                <w:noProof/>
                <w:spacing w:val="-6"/>
                <w:lang w:val="sk-SK"/>
              </w:rPr>
              <w:t xml:space="preserve"> a </w:t>
            </w:r>
            <w:r w:rsidRPr="00AB26B3">
              <w:rPr>
                <w:noProof/>
                <w:spacing w:val="-6"/>
                <w:lang w:val="sk-SK"/>
              </w:rPr>
              <w:t>právny akt, ktorým sa stanovuje začatie pilotného projektu systému hodnotenia</w:t>
            </w:r>
            <w:r w:rsidR="00AB26B3" w:rsidRPr="00AB26B3">
              <w:rPr>
                <w:noProof/>
                <w:spacing w:val="-6"/>
                <w:lang w:val="sk-SK"/>
              </w:rPr>
              <w:t xml:space="preserve"> a </w:t>
            </w:r>
            <w:r w:rsidRPr="00AB26B3">
              <w:rPr>
                <w:noProof/>
                <w:spacing w:val="-6"/>
                <w:lang w:val="sk-SK"/>
              </w:rPr>
              <w:t>oceňovania podnikov/organizácií podporujúcich rozmanitosť</w:t>
            </w:r>
            <w:r w:rsidR="00AB26B3" w:rsidRPr="00AB26B3">
              <w:rPr>
                <w:noProof/>
                <w:spacing w:val="-6"/>
                <w:lang w:val="sk-SK"/>
              </w:rPr>
              <w:t xml:space="preserve"> a </w:t>
            </w:r>
            <w:r w:rsidRPr="00AB26B3">
              <w:rPr>
                <w:noProof/>
                <w:spacing w:val="-6"/>
                <w:lang w:val="sk-SK"/>
              </w:rPr>
              <w:t xml:space="preserve">začlenenie </w:t>
            </w:r>
          </w:p>
        </w:tc>
        <w:tc>
          <w:tcPr>
            <w:tcW w:w="1766" w:type="dxa"/>
            <w:tcBorders>
              <w:top w:val="nil"/>
              <w:left w:val="nil"/>
              <w:bottom w:val="single" w:sz="4" w:space="0" w:color="auto"/>
              <w:right w:val="single" w:sz="4" w:space="0" w:color="auto"/>
            </w:tcBorders>
            <w:shd w:val="clear" w:color="auto" w:fill="C6EFCE"/>
            <w:noWrap/>
          </w:tcPr>
          <w:p w14:paraId="6B5B5B96" w14:textId="6644E6F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Ustanovenie</w:t>
            </w:r>
            <w:r w:rsidR="00AB26B3" w:rsidRPr="00AB26B3">
              <w:rPr>
                <w:noProof/>
                <w:spacing w:val="-6"/>
                <w:lang w:val="sk-SK"/>
              </w:rPr>
              <w:t xml:space="preserve"> v </w:t>
            </w:r>
            <w:r w:rsidRPr="00AB26B3">
              <w:rPr>
                <w:noProof/>
                <w:spacing w:val="-6"/>
                <w:lang w:val="sk-SK"/>
              </w:rPr>
              <w:t>právnych aktoch,</w:t>
            </w:r>
            <w:r w:rsidR="00AB26B3" w:rsidRPr="00AB26B3">
              <w:rPr>
                <w:noProof/>
                <w:spacing w:val="-6"/>
                <w:lang w:val="sk-SK"/>
              </w:rPr>
              <w:t xml:space="preserve"> v </w:t>
            </w:r>
            <w:r w:rsidRPr="00AB26B3">
              <w:rPr>
                <w:noProof/>
                <w:spacing w:val="-6"/>
                <w:lang w:val="sk-SK"/>
              </w:rPr>
              <w:t>ktorom sa uvádza nadobudnutie účinnosti právnych aktov</w:t>
            </w:r>
          </w:p>
        </w:tc>
        <w:tc>
          <w:tcPr>
            <w:tcW w:w="1404" w:type="dxa"/>
            <w:tcBorders>
              <w:top w:val="nil"/>
              <w:left w:val="nil"/>
              <w:bottom w:val="single" w:sz="4" w:space="0" w:color="auto"/>
              <w:right w:val="single" w:sz="4" w:space="0" w:color="auto"/>
            </w:tcBorders>
            <w:shd w:val="clear" w:color="auto" w:fill="C6EFCE"/>
            <w:noWrap/>
          </w:tcPr>
          <w:p w14:paraId="2AD5831A"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35" w:type="dxa"/>
            <w:tcBorders>
              <w:top w:val="nil"/>
              <w:left w:val="nil"/>
              <w:bottom w:val="single" w:sz="4" w:space="0" w:color="auto"/>
              <w:right w:val="single" w:sz="4" w:space="0" w:color="auto"/>
            </w:tcBorders>
            <w:shd w:val="clear" w:color="auto" w:fill="C6EFCE"/>
            <w:noWrap/>
          </w:tcPr>
          <w:p w14:paraId="5C134ECA"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7" w:type="dxa"/>
            <w:tcBorders>
              <w:top w:val="nil"/>
              <w:left w:val="nil"/>
              <w:bottom w:val="single" w:sz="4" w:space="0" w:color="auto"/>
              <w:right w:val="single" w:sz="4" w:space="0" w:color="auto"/>
            </w:tcBorders>
            <w:shd w:val="clear" w:color="auto" w:fill="C6EFCE"/>
            <w:noWrap/>
          </w:tcPr>
          <w:p w14:paraId="6BC28D1F"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21ACD420"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ŠTVRŤROK</w:t>
            </w:r>
          </w:p>
        </w:tc>
        <w:tc>
          <w:tcPr>
            <w:tcW w:w="783" w:type="dxa"/>
            <w:tcBorders>
              <w:top w:val="nil"/>
              <w:left w:val="nil"/>
              <w:bottom w:val="single" w:sz="4" w:space="0" w:color="auto"/>
              <w:right w:val="single" w:sz="4" w:space="0" w:color="auto"/>
            </w:tcBorders>
            <w:shd w:val="clear" w:color="auto" w:fill="C6EFCE"/>
            <w:noWrap/>
          </w:tcPr>
          <w:p w14:paraId="7E529ED2"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117" w:type="dxa"/>
            <w:tcBorders>
              <w:top w:val="nil"/>
              <w:left w:val="nil"/>
              <w:bottom w:val="single" w:sz="4" w:space="0" w:color="auto"/>
              <w:right w:val="single" w:sz="4" w:space="0" w:color="auto"/>
            </w:tcBorders>
            <w:shd w:val="clear" w:color="auto" w:fill="C6EFCE"/>
            <w:noWrap/>
          </w:tcPr>
          <w:p w14:paraId="42A3DE44" w14:textId="7C767564" w:rsidR="00302FC1" w:rsidRPr="00AB26B3" w:rsidRDefault="00D64F26">
            <w:pPr>
              <w:pStyle w:val="P68B1DB1-Normal12"/>
              <w:spacing w:before="120" w:after="0" w:line="240" w:lineRule="auto"/>
              <w:rPr>
                <w:noProof/>
                <w:spacing w:val="-6"/>
                <w:lang w:val="sk-SK"/>
              </w:rPr>
            </w:pPr>
            <w:r w:rsidRPr="00AB26B3">
              <w:rPr>
                <w:noProof/>
                <w:spacing w:val="-6"/>
                <w:lang w:val="sk-SK"/>
              </w:rPr>
              <w:t>Nadobudnutie účinnosti právneho aktu,</w:t>
            </w:r>
            <w:r w:rsidR="00AB26B3" w:rsidRPr="00AB26B3">
              <w:rPr>
                <w:noProof/>
                <w:spacing w:val="-6"/>
                <w:lang w:val="sk-SK"/>
              </w:rPr>
              <w:t xml:space="preserve"> v </w:t>
            </w:r>
            <w:r w:rsidRPr="00AB26B3">
              <w:rPr>
                <w:noProof/>
                <w:spacing w:val="-6"/>
                <w:lang w:val="sk-SK"/>
              </w:rPr>
              <w:t>ktorom sa špecifikuje úloha strediska pre monitorovanie rovnosti ako operačnej zložky ministerstva sociálnej súdržnosti</w:t>
            </w:r>
            <w:r w:rsidR="00AB26B3" w:rsidRPr="00AB26B3">
              <w:rPr>
                <w:noProof/>
                <w:spacing w:val="-6"/>
                <w:lang w:val="sk-SK"/>
              </w:rPr>
              <w:t xml:space="preserve"> a </w:t>
            </w:r>
            <w:r w:rsidRPr="00AB26B3">
              <w:rPr>
                <w:noProof/>
                <w:spacing w:val="-6"/>
                <w:lang w:val="sk-SK"/>
              </w:rPr>
              <w:t>rodinných vecí</w:t>
            </w:r>
            <w:r w:rsidR="00AB26B3" w:rsidRPr="00AB26B3">
              <w:rPr>
                <w:noProof/>
                <w:spacing w:val="-6"/>
                <w:lang w:val="sk-SK"/>
              </w:rPr>
              <w:t xml:space="preserve"> a v </w:t>
            </w:r>
            <w:r w:rsidRPr="00AB26B3">
              <w:rPr>
                <w:noProof/>
                <w:spacing w:val="-6"/>
                <w:lang w:val="sk-SK"/>
              </w:rPr>
              <w:t>ktorom sa stredisku pre monitorovanie rovnosti prisudzuje úloha vydávať správy,</w:t>
            </w:r>
            <w:r w:rsidR="00AB26B3" w:rsidRPr="00AB26B3">
              <w:rPr>
                <w:noProof/>
                <w:spacing w:val="-6"/>
                <w:lang w:val="sk-SK"/>
              </w:rPr>
              <w:t xml:space="preserve"> v </w:t>
            </w:r>
            <w:r w:rsidRPr="00AB26B3">
              <w:rPr>
                <w:noProof/>
                <w:spacing w:val="-6"/>
                <w:lang w:val="sk-SK"/>
              </w:rPr>
              <w:t>ktorých sa posudzuje súčasný stav</w:t>
            </w:r>
            <w:r w:rsidR="00AB26B3" w:rsidRPr="00AB26B3">
              <w:rPr>
                <w:noProof/>
                <w:spacing w:val="-6"/>
                <w:lang w:val="sk-SK"/>
              </w:rPr>
              <w:t xml:space="preserve"> v </w:t>
            </w:r>
            <w:r w:rsidRPr="00AB26B3">
              <w:rPr>
                <w:noProof/>
                <w:spacing w:val="-6"/>
                <w:lang w:val="sk-SK"/>
              </w:rPr>
              <w:t>oblasti rovnakých príležitostí.</w:t>
            </w:r>
          </w:p>
          <w:p w14:paraId="2392B9D6" w14:textId="1330A681"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Nadobudnutie účinnosti právneho aktu, ktorým sa stanovuje spustenie pilotného projektu na hodnotenie systému udeľovania cien podnikom/organizáciám podporujúcim rozmanitosť</w:t>
            </w:r>
            <w:r w:rsidR="00AB26B3" w:rsidRPr="00AB26B3">
              <w:rPr>
                <w:noProof/>
                <w:spacing w:val="-6"/>
                <w:lang w:val="sk-SK"/>
              </w:rPr>
              <w:t xml:space="preserve"> a </w:t>
            </w:r>
            <w:r w:rsidRPr="00AB26B3">
              <w:rPr>
                <w:noProof/>
                <w:spacing w:val="-6"/>
                <w:lang w:val="sk-SK"/>
              </w:rPr>
              <w:t>začlenenie.</w:t>
            </w:r>
          </w:p>
        </w:tc>
      </w:tr>
      <w:tr w:rsidR="00302FC1" w:rsidRPr="00AB26B3" w14:paraId="66096F17" w14:textId="77777777">
        <w:trPr>
          <w:trHeight w:val="309"/>
        </w:trPr>
        <w:tc>
          <w:tcPr>
            <w:tcW w:w="566" w:type="dxa"/>
            <w:tcBorders>
              <w:top w:val="nil"/>
              <w:left w:val="single" w:sz="4" w:space="0" w:color="auto"/>
              <w:bottom w:val="single" w:sz="4" w:space="0" w:color="auto"/>
              <w:right w:val="single" w:sz="4" w:space="0" w:color="auto"/>
            </w:tcBorders>
            <w:shd w:val="clear" w:color="auto" w:fill="C6EFCE"/>
            <w:noWrap/>
          </w:tcPr>
          <w:p w14:paraId="69281373"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185</w:t>
            </w:r>
          </w:p>
        </w:tc>
        <w:tc>
          <w:tcPr>
            <w:tcW w:w="1942" w:type="dxa"/>
            <w:tcBorders>
              <w:top w:val="nil"/>
              <w:left w:val="nil"/>
              <w:bottom w:val="single" w:sz="4" w:space="0" w:color="auto"/>
              <w:right w:val="single" w:sz="4" w:space="0" w:color="auto"/>
            </w:tcBorders>
            <w:shd w:val="clear" w:color="auto" w:fill="C6EFCE"/>
            <w:noWrap/>
          </w:tcPr>
          <w:p w14:paraId="417F1F75" w14:textId="4675FAC4"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16763_Digitálna transformácia prisťahovaleckého</w:t>
            </w:r>
            <w:r w:rsidR="00AB26B3" w:rsidRPr="00AB26B3">
              <w:rPr>
                <w:noProof/>
                <w:spacing w:val="-6"/>
                <w:lang w:val="sk-SK"/>
              </w:rPr>
              <w:t xml:space="preserve"> a </w:t>
            </w:r>
            <w:r w:rsidRPr="00AB26B3">
              <w:rPr>
                <w:noProof/>
                <w:spacing w:val="-6"/>
                <w:lang w:val="sk-SK"/>
              </w:rPr>
              <w:t>azylového systému</w:t>
            </w:r>
          </w:p>
        </w:tc>
        <w:tc>
          <w:tcPr>
            <w:tcW w:w="1099" w:type="dxa"/>
            <w:tcBorders>
              <w:top w:val="nil"/>
              <w:left w:val="nil"/>
              <w:bottom w:val="single" w:sz="4" w:space="0" w:color="auto"/>
              <w:right w:val="single" w:sz="4" w:space="0" w:color="auto"/>
            </w:tcBorders>
            <w:shd w:val="clear" w:color="auto" w:fill="C6EFCE"/>
            <w:noWrap/>
          </w:tcPr>
          <w:p w14:paraId="44E6AEEF"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2107" w:type="dxa"/>
            <w:tcBorders>
              <w:top w:val="nil"/>
              <w:left w:val="nil"/>
              <w:bottom w:val="single" w:sz="4" w:space="0" w:color="auto"/>
              <w:right w:val="single" w:sz="4" w:space="0" w:color="auto"/>
            </w:tcBorders>
            <w:shd w:val="clear" w:color="auto" w:fill="C6EFCE"/>
            <w:noWrap/>
          </w:tcPr>
          <w:p w14:paraId="60D1E216"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 xml:space="preserve">Digitalizácia migračného azylového systému </w:t>
            </w:r>
          </w:p>
        </w:tc>
        <w:tc>
          <w:tcPr>
            <w:tcW w:w="1766" w:type="dxa"/>
            <w:tcBorders>
              <w:top w:val="nil"/>
              <w:left w:val="nil"/>
              <w:bottom w:val="single" w:sz="4" w:space="0" w:color="auto"/>
              <w:right w:val="single" w:sz="4" w:space="0" w:color="auto"/>
            </w:tcBorders>
            <w:shd w:val="clear" w:color="auto" w:fill="C6EFCE"/>
            <w:noWrap/>
          </w:tcPr>
          <w:p w14:paraId="6EDB48F8"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 xml:space="preserve">Projekty digitalizácie pre migračný azylový systém </w:t>
            </w:r>
          </w:p>
        </w:tc>
        <w:tc>
          <w:tcPr>
            <w:tcW w:w="1404" w:type="dxa"/>
            <w:tcBorders>
              <w:top w:val="nil"/>
              <w:left w:val="nil"/>
              <w:bottom w:val="single" w:sz="4" w:space="0" w:color="auto"/>
              <w:right w:val="single" w:sz="4" w:space="0" w:color="auto"/>
            </w:tcBorders>
            <w:shd w:val="clear" w:color="auto" w:fill="C6EFCE"/>
            <w:noWrap/>
          </w:tcPr>
          <w:p w14:paraId="6D8B5045"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35" w:type="dxa"/>
            <w:tcBorders>
              <w:top w:val="nil"/>
              <w:left w:val="nil"/>
              <w:bottom w:val="single" w:sz="4" w:space="0" w:color="auto"/>
              <w:right w:val="single" w:sz="4" w:space="0" w:color="auto"/>
            </w:tcBorders>
            <w:shd w:val="clear" w:color="auto" w:fill="C6EFCE"/>
            <w:noWrap/>
          </w:tcPr>
          <w:p w14:paraId="149362C7"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7" w:type="dxa"/>
            <w:tcBorders>
              <w:top w:val="nil"/>
              <w:left w:val="nil"/>
              <w:bottom w:val="single" w:sz="4" w:space="0" w:color="auto"/>
              <w:right w:val="single" w:sz="4" w:space="0" w:color="auto"/>
            </w:tcBorders>
            <w:shd w:val="clear" w:color="auto" w:fill="C6EFCE"/>
            <w:noWrap/>
          </w:tcPr>
          <w:p w14:paraId="75411B92"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5DCBA17B"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ŠTVRŤROK</w:t>
            </w:r>
          </w:p>
        </w:tc>
        <w:tc>
          <w:tcPr>
            <w:tcW w:w="783" w:type="dxa"/>
            <w:tcBorders>
              <w:top w:val="nil"/>
              <w:left w:val="nil"/>
              <w:bottom w:val="single" w:sz="4" w:space="0" w:color="auto"/>
              <w:right w:val="single" w:sz="4" w:space="0" w:color="auto"/>
            </w:tcBorders>
            <w:shd w:val="clear" w:color="auto" w:fill="C6EFCE"/>
            <w:noWrap/>
          </w:tcPr>
          <w:p w14:paraId="67FEC5D2"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117" w:type="dxa"/>
            <w:tcBorders>
              <w:top w:val="nil"/>
              <w:left w:val="nil"/>
              <w:bottom w:val="single" w:sz="4" w:space="0" w:color="auto"/>
              <w:right w:val="single" w:sz="4" w:space="0" w:color="auto"/>
            </w:tcBorders>
            <w:shd w:val="clear" w:color="auto" w:fill="C6EFCE"/>
            <w:noWrap/>
          </w:tcPr>
          <w:p w14:paraId="33F7F6D6" w14:textId="69E35FD8" w:rsidR="00302FC1" w:rsidRPr="00AB26B3" w:rsidRDefault="00D64F26">
            <w:pPr>
              <w:pStyle w:val="P68B1DB1-Normal12"/>
              <w:spacing w:before="120" w:after="0" w:line="240" w:lineRule="auto"/>
              <w:rPr>
                <w:noProof/>
                <w:spacing w:val="-6"/>
                <w:lang w:val="sk-SK"/>
              </w:rPr>
            </w:pPr>
            <w:r w:rsidRPr="00AB26B3">
              <w:rPr>
                <w:noProof/>
                <w:spacing w:val="-6"/>
                <w:lang w:val="sk-SK"/>
              </w:rPr>
              <w:t>1. Digitalizácia</w:t>
            </w:r>
            <w:r w:rsidR="00AB26B3" w:rsidRPr="00AB26B3">
              <w:rPr>
                <w:noProof/>
                <w:spacing w:val="-6"/>
                <w:lang w:val="sk-SK"/>
              </w:rPr>
              <w:t xml:space="preserve"> a </w:t>
            </w:r>
            <w:r w:rsidRPr="00AB26B3">
              <w:rPr>
                <w:noProof/>
                <w:spacing w:val="-6"/>
                <w:lang w:val="sk-SK"/>
              </w:rPr>
              <w:t>systém správy dokumentov</w:t>
            </w:r>
            <w:r w:rsidR="00AB26B3" w:rsidRPr="00AB26B3">
              <w:rPr>
                <w:noProof/>
                <w:spacing w:val="-6"/>
                <w:lang w:val="sk-SK"/>
              </w:rPr>
              <w:t xml:space="preserve"> v </w:t>
            </w:r>
            <w:r w:rsidRPr="00AB26B3">
              <w:rPr>
                <w:noProof/>
                <w:spacing w:val="-6"/>
                <w:lang w:val="sk-SK"/>
              </w:rPr>
              <w:t>oblasti legálnej migrácie ministerstva pre migráciu</w:t>
            </w:r>
            <w:r w:rsidR="00AB26B3" w:rsidRPr="00AB26B3">
              <w:rPr>
                <w:noProof/>
                <w:spacing w:val="-6"/>
                <w:lang w:val="sk-SK"/>
              </w:rPr>
              <w:t xml:space="preserve"> a </w:t>
            </w:r>
            <w:r w:rsidRPr="00AB26B3">
              <w:rPr>
                <w:noProof/>
                <w:spacing w:val="-6"/>
                <w:lang w:val="sk-SK"/>
              </w:rPr>
              <w:t>azyl</w:t>
            </w:r>
            <w:r w:rsidR="00AB26B3" w:rsidRPr="00AB26B3">
              <w:rPr>
                <w:noProof/>
                <w:spacing w:val="-6"/>
                <w:lang w:val="sk-SK"/>
              </w:rPr>
              <w:t xml:space="preserve"> v </w:t>
            </w:r>
            <w:r w:rsidRPr="00AB26B3">
              <w:rPr>
                <w:noProof/>
                <w:spacing w:val="-6"/>
                <w:lang w:val="sk-SK"/>
              </w:rPr>
              <w:t>záujme jednotného riadenia celého životného cyklu postupov týkajúcich sa tokov utečencov.</w:t>
            </w:r>
          </w:p>
          <w:p w14:paraId="4AC538A6" w14:textId="2DCAF3BD"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 Vytvorenie integrovaných služieb digitálnej migrácie</w:t>
            </w:r>
            <w:r w:rsidR="00AB26B3" w:rsidRPr="00AB26B3">
              <w:rPr>
                <w:noProof/>
                <w:spacing w:val="-6"/>
                <w:lang w:val="sk-SK"/>
              </w:rPr>
              <w:t xml:space="preserve"> a </w:t>
            </w:r>
            <w:r w:rsidRPr="00AB26B3">
              <w:rPr>
                <w:noProof/>
                <w:spacing w:val="-6"/>
                <w:lang w:val="sk-SK"/>
              </w:rPr>
              <w:t>služieb infraštruktúry kybernetickej bezpečnosti na ochranu informačných infraštruktúr ministerstva pre migráciu</w:t>
            </w:r>
            <w:r w:rsidR="00AB26B3" w:rsidRPr="00AB26B3">
              <w:rPr>
                <w:noProof/>
                <w:spacing w:val="-6"/>
                <w:lang w:val="sk-SK"/>
              </w:rPr>
              <w:t xml:space="preserve"> a </w:t>
            </w:r>
            <w:r w:rsidRPr="00AB26B3">
              <w:rPr>
                <w:noProof/>
                <w:spacing w:val="-6"/>
                <w:lang w:val="sk-SK"/>
              </w:rPr>
              <w:t>azyl</w:t>
            </w:r>
          </w:p>
          <w:p w14:paraId="0B1B0808" w14:textId="34863690" w:rsidR="00302FC1" w:rsidRPr="00AB26B3" w:rsidRDefault="00D64F26">
            <w:pPr>
              <w:pStyle w:val="P68B1DB1-Normal12"/>
              <w:spacing w:before="120" w:after="0" w:line="240" w:lineRule="auto"/>
              <w:rPr>
                <w:noProof/>
                <w:spacing w:val="-6"/>
                <w:lang w:val="sk-SK"/>
              </w:rPr>
            </w:pPr>
            <w:r w:rsidRPr="00AB26B3">
              <w:rPr>
                <w:noProof/>
                <w:spacing w:val="-6"/>
                <w:lang w:val="sk-SK"/>
              </w:rPr>
              <w:t>3. Poskytovanie vysokorýchlostného internetu dočasným ubytovacím zariadeniam (REA)</w:t>
            </w:r>
          </w:p>
          <w:p w14:paraId="270FD893" w14:textId="5425FCBA" w:rsidR="00302FC1" w:rsidRPr="00AB26B3" w:rsidRDefault="00D64F26">
            <w:pPr>
              <w:pStyle w:val="P68B1DB1-Normal12"/>
              <w:spacing w:before="120" w:after="0" w:line="240" w:lineRule="auto"/>
              <w:rPr>
                <w:noProof/>
                <w:spacing w:val="-6"/>
                <w:lang w:val="sk-SK"/>
              </w:rPr>
            </w:pPr>
            <w:r w:rsidRPr="00AB26B3">
              <w:rPr>
                <w:noProof/>
                <w:spacing w:val="-6"/>
                <w:lang w:val="sk-SK"/>
              </w:rPr>
              <w:t>4. Vytvorenie systému riadenia žiadateľov</w:t>
            </w:r>
            <w:r w:rsidR="00AB26B3" w:rsidRPr="00AB26B3">
              <w:rPr>
                <w:noProof/>
                <w:spacing w:val="-6"/>
                <w:lang w:val="sk-SK"/>
              </w:rPr>
              <w:t xml:space="preserve"> o </w:t>
            </w:r>
            <w:r w:rsidRPr="00AB26B3">
              <w:rPr>
                <w:noProof/>
                <w:spacing w:val="-6"/>
                <w:lang w:val="sk-SK"/>
              </w:rPr>
              <w:t>azyl (HYPERION).</w:t>
            </w:r>
          </w:p>
          <w:p w14:paraId="25F445B0"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5. Vytvorenie integrovaného digitálneho elektronického systému riadenia fyzickej bezpečnosti (KENTAVROS).</w:t>
            </w:r>
          </w:p>
          <w:p w14:paraId="272232F3"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6. Poskytovanie vysokorýchlostného internetu dočasným ubytovacím zariadeniam (REA)</w:t>
            </w:r>
          </w:p>
        </w:tc>
      </w:tr>
      <w:tr w:rsidR="00302FC1" w:rsidRPr="00AB26B3" w14:paraId="00BC860E" w14:textId="77777777">
        <w:trPr>
          <w:trHeight w:val="309"/>
        </w:trPr>
        <w:tc>
          <w:tcPr>
            <w:tcW w:w="566" w:type="dxa"/>
            <w:tcBorders>
              <w:top w:val="single" w:sz="4" w:space="0" w:color="auto"/>
              <w:left w:val="single" w:sz="4" w:space="0" w:color="auto"/>
              <w:bottom w:val="single" w:sz="4" w:space="0" w:color="auto"/>
              <w:right w:val="single" w:sz="4" w:space="0" w:color="auto"/>
            </w:tcBorders>
            <w:shd w:val="clear" w:color="auto" w:fill="C6EFCE"/>
            <w:noWrap/>
          </w:tcPr>
          <w:p w14:paraId="12F7A4E4"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186</w:t>
            </w:r>
          </w:p>
        </w:tc>
        <w:tc>
          <w:tcPr>
            <w:tcW w:w="1942" w:type="dxa"/>
            <w:tcBorders>
              <w:top w:val="single" w:sz="4" w:space="0" w:color="auto"/>
              <w:left w:val="nil"/>
              <w:bottom w:val="single" w:sz="4" w:space="0" w:color="auto"/>
              <w:right w:val="single" w:sz="4" w:space="0" w:color="auto"/>
            </w:tcBorders>
            <w:shd w:val="clear" w:color="auto" w:fill="C6EFCE"/>
            <w:noWrap/>
          </w:tcPr>
          <w:p w14:paraId="417D8902" w14:textId="2C3A48BA"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16922_Sociálna integrácia</w:t>
            </w:r>
          </w:p>
        </w:tc>
        <w:tc>
          <w:tcPr>
            <w:tcW w:w="1099" w:type="dxa"/>
            <w:tcBorders>
              <w:top w:val="single" w:sz="4" w:space="0" w:color="auto"/>
              <w:left w:val="nil"/>
              <w:bottom w:val="single" w:sz="4" w:space="0" w:color="auto"/>
              <w:right w:val="single" w:sz="4" w:space="0" w:color="auto"/>
            </w:tcBorders>
            <w:shd w:val="clear" w:color="auto" w:fill="C6EFCE"/>
            <w:noWrap/>
          </w:tcPr>
          <w:p w14:paraId="07FDE4D3"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Cieľ</w:t>
            </w:r>
          </w:p>
        </w:tc>
        <w:tc>
          <w:tcPr>
            <w:tcW w:w="2107" w:type="dxa"/>
            <w:tcBorders>
              <w:top w:val="single" w:sz="4" w:space="0" w:color="auto"/>
              <w:left w:val="nil"/>
              <w:bottom w:val="single" w:sz="4" w:space="0" w:color="auto"/>
              <w:right w:val="single" w:sz="4" w:space="0" w:color="auto"/>
            </w:tcBorders>
            <w:shd w:val="clear" w:color="auto" w:fill="C6EFCE"/>
            <w:noWrap/>
          </w:tcPr>
          <w:p w14:paraId="324036FD"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 xml:space="preserve">Dokončenie renovácie sociálnych bytov </w:t>
            </w:r>
          </w:p>
        </w:tc>
        <w:tc>
          <w:tcPr>
            <w:tcW w:w="1766" w:type="dxa"/>
            <w:tcBorders>
              <w:top w:val="single" w:sz="4" w:space="0" w:color="auto"/>
              <w:left w:val="nil"/>
              <w:bottom w:val="single" w:sz="4" w:space="0" w:color="auto"/>
              <w:right w:val="single" w:sz="4" w:space="0" w:color="auto"/>
            </w:tcBorders>
            <w:shd w:val="clear" w:color="auto" w:fill="C6EFCE"/>
            <w:noWrap/>
          </w:tcPr>
          <w:p w14:paraId="648A548F"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404" w:type="dxa"/>
            <w:tcBorders>
              <w:top w:val="single" w:sz="4" w:space="0" w:color="auto"/>
              <w:left w:val="nil"/>
              <w:bottom w:val="single" w:sz="4" w:space="0" w:color="auto"/>
              <w:right w:val="single" w:sz="4" w:space="0" w:color="auto"/>
            </w:tcBorders>
            <w:shd w:val="clear" w:color="auto" w:fill="C6EFCE"/>
            <w:noWrap/>
          </w:tcPr>
          <w:p w14:paraId="29DAEB2F" w14:textId="67B69378"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Renovované byty</w:t>
            </w:r>
          </w:p>
        </w:tc>
        <w:tc>
          <w:tcPr>
            <w:tcW w:w="1035" w:type="dxa"/>
            <w:tcBorders>
              <w:top w:val="single" w:sz="4" w:space="0" w:color="auto"/>
              <w:left w:val="nil"/>
              <w:bottom w:val="single" w:sz="4" w:space="0" w:color="auto"/>
              <w:right w:val="single" w:sz="4" w:space="0" w:color="auto"/>
            </w:tcBorders>
            <w:shd w:val="clear" w:color="auto" w:fill="C6EFCE"/>
            <w:noWrap/>
          </w:tcPr>
          <w:p w14:paraId="4E7D3FDE"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0</w:t>
            </w:r>
          </w:p>
        </w:tc>
        <w:tc>
          <w:tcPr>
            <w:tcW w:w="1097" w:type="dxa"/>
            <w:tcBorders>
              <w:top w:val="single" w:sz="4" w:space="0" w:color="auto"/>
              <w:left w:val="nil"/>
              <w:bottom w:val="single" w:sz="4" w:space="0" w:color="auto"/>
              <w:right w:val="single" w:sz="4" w:space="0" w:color="auto"/>
            </w:tcBorders>
            <w:shd w:val="clear" w:color="auto" w:fill="C6EFCE"/>
            <w:noWrap/>
          </w:tcPr>
          <w:p w14:paraId="360800AA"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50</w:t>
            </w:r>
          </w:p>
          <w:p w14:paraId="6C0E4B81"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7B737438"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ŠTVRŤROK</w:t>
            </w:r>
          </w:p>
        </w:tc>
        <w:tc>
          <w:tcPr>
            <w:tcW w:w="783" w:type="dxa"/>
            <w:tcBorders>
              <w:top w:val="single" w:sz="4" w:space="0" w:color="auto"/>
              <w:left w:val="nil"/>
              <w:bottom w:val="single" w:sz="4" w:space="0" w:color="auto"/>
              <w:right w:val="single" w:sz="4" w:space="0" w:color="auto"/>
            </w:tcBorders>
            <w:shd w:val="clear" w:color="auto" w:fill="C6EFCE"/>
            <w:noWrap/>
          </w:tcPr>
          <w:p w14:paraId="173E78F7" w14:textId="77777777" w:rsidR="00302FC1" w:rsidRPr="00AB26B3" w:rsidRDefault="00D64F26">
            <w:pPr>
              <w:pStyle w:val="P68B1DB1-Normal12"/>
              <w:spacing w:before="120" w:after="0" w:line="240" w:lineRule="auto"/>
              <w:rPr>
                <w:noProof/>
                <w:spacing w:val="-6"/>
                <w:lang w:val="sk-SK"/>
              </w:rPr>
            </w:pPr>
            <w:r w:rsidRPr="00AB26B3">
              <w:rPr>
                <w:noProof/>
                <w:spacing w:val="-6"/>
                <w:lang w:val="sk-SK"/>
              </w:rPr>
              <w:t>2025</w:t>
            </w:r>
          </w:p>
        </w:tc>
        <w:tc>
          <w:tcPr>
            <w:tcW w:w="3117" w:type="dxa"/>
            <w:tcBorders>
              <w:top w:val="single" w:sz="4" w:space="0" w:color="auto"/>
              <w:left w:val="nil"/>
              <w:bottom w:val="single" w:sz="4" w:space="0" w:color="auto"/>
              <w:right w:val="single" w:sz="4" w:space="0" w:color="auto"/>
            </w:tcBorders>
            <w:shd w:val="clear" w:color="auto" w:fill="C6EFCE"/>
            <w:noWrap/>
          </w:tcPr>
          <w:p w14:paraId="4C9A21EB" w14:textId="77777777" w:rsidR="00AB26B3" w:rsidRPr="00AB26B3" w:rsidRDefault="00D64F26">
            <w:pPr>
              <w:pStyle w:val="P68B1DB1-Normal12"/>
              <w:spacing w:before="120" w:after="0" w:line="240" w:lineRule="auto"/>
              <w:rPr>
                <w:noProof/>
                <w:spacing w:val="-6"/>
                <w:lang w:val="sk-SK"/>
              </w:rPr>
            </w:pPr>
            <w:r w:rsidRPr="00AB26B3">
              <w:rPr>
                <w:noProof/>
                <w:spacing w:val="-6"/>
                <w:lang w:val="sk-SK"/>
              </w:rPr>
              <w:t>50 renovovaných bytov</w:t>
            </w:r>
            <w:r w:rsidR="00AB26B3" w:rsidRPr="00AB26B3">
              <w:rPr>
                <w:noProof/>
                <w:spacing w:val="-6"/>
                <w:lang w:val="sk-SK"/>
              </w:rPr>
              <w:t>.</w:t>
            </w:r>
          </w:p>
          <w:p w14:paraId="43FDF569" w14:textId="633A3F45"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12ACCD13" w14:textId="77777777">
        <w:trPr>
          <w:trHeight w:val="309"/>
        </w:trPr>
        <w:tc>
          <w:tcPr>
            <w:tcW w:w="566" w:type="dxa"/>
            <w:tcBorders>
              <w:top w:val="single" w:sz="4" w:space="0" w:color="auto"/>
              <w:left w:val="single" w:sz="4" w:space="0" w:color="auto"/>
              <w:bottom w:val="single" w:sz="4" w:space="0" w:color="auto"/>
              <w:right w:val="single" w:sz="4" w:space="0" w:color="auto"/>
            </w:tcBorders>
            <w:shd w:val="clear" w:color="auto" w:fill="C6EFCE"/>
            <w:noWrap/>
          </w:tcPr>
          <w:p w14:paraId="5B6F7072"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186a</w:t>
            </w:r>
          </w:p>
        </w:tc>
        <w:tc>
          <w:tcPr>
            <w:tcW w:w="1942" w:type="dxa"/>
            <w:tcBorders>
              <w:top w:val="single" w:sz="4" w:space="0" w:color="auto"/>
              <w:left w:val="nil"/>
              <w:bottom w:val="single" w:sz="4" w:space="0" w:color="auto"/>
              <w:right w:val="single" w:sz="4" w:space="0" w:color="auto"/>
            </w:tcBorders>
            <w:shd w:val="clear" w:color="auto" w:fill="C6EFCE"/>
            <w:noWrap/>
          </w:tcPr>
          <w:p w14:paraId="5D39A971" w14:textId="7920BAAA"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16922_Sociálna integrácia</w:t>
            </w:r>
          </w:p>
        </w:tc>
        <w:tc>
          <w:tcPr>
            <w:tcW w:w="1099" w:type="dxa"/>
            <w:tcBorders>
              <w:top w:val="single" w:sz="4" w:space="0" w:color="auto"/>
              <w:left w:val="nil"/>
              <w:bottom w:val="single" w:sz="4" w:space="0" w:color="auto"/>
              <w:right w:val="single" w:sz="4" w:space="0" w:color="auto"/>
            </w:tcBorders>
            <w:shd w:val="clear" w:color="auto" w:fill="C6EFCE"/>
            <w:noWrap/>
          </w:tcPr>
          <w:p w14:paraId="08264C2A"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2107" w:type="dxa"/>
            <w:tcBorders>
              <w:top w:val="single" w:sz="4" w:space="0" w:color="auto"/>
              <w:left w:val="nil"/>
              <w:bottom w:val="single" w:sz="4" w:space="0" w:color="auto"/>
              <w:right w:val="single" w:sz="4" w:space="0" w:color="auto"/>
            </w:tcBorders>
            <w:shd w:val="clear" w:color="auto" w:fill="C6EFCE"/>
            <w:noWrap/>
          </w:tcPr>
          <w:p w14:paraId="4044A141"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Sociálna integrácia zraniteľných skupín, digitálna odborná príprava</w:t>
            </w:r>
          </w:p>
        </w:tc>
        <w:tc>
          <w:tcPr>
            <w:tcW w:w="1766" w:type="dxa"/>
            <w:tcBorders>
              <w:top w:val="single" w:sz="4" w:space="0" w:color="auto"/>
              <w:left w:val="nil"/>
              <w:bottom w:val="single" w:sz="4" w:space="0" w:color="auto"/>
              <w:right w:val="single" w:sz="4" w:space="0" w:color="auto"/>
            </w:tcBorders>
            <w:shd w:val="clear" w:color="auto" w:fill="C6EFCE"/>
            <w:noWrap/>
          </w:tcPr>
          <w:p w14:paraId="23EB04B8" w14:textId="369EBFB4"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Staršie osoby</w:t>
            </w:r>
            <w:r w:rsidR="00AB26B3" w:rsidRPr="00AB26B3">
              <w:rPr>
                <w:noProof/>
                <w:spacing w:val="-6"/>
                <w:lang w:val="sk-SK"/>
              </w:rPr>
              <w:t xml:space="preserve"> a </w:t>
            </w:r>
            <w:r w:rsidRPr="00AB26B3">
              <w:rPr>
                <w:noProof/>
                <w:spacing w:val="-6"/>
                <w:lang w:val="sk-SK"/>
              </w:rPr>
              <w:t>osoby so zdravotným postihnutím sa zúčastnili na odbornej príprave po vyhlásení výzvy na predkladanie žiadostí</w:t>
            </w:r>
          </w:p>
        </w:tc>
        <w:tc>
          <w:tcPr>
            <w:tcW w:w="1404" w:type="dxa"/>
            <w:tcBorders>
              <w:top w:val="single" w:sz="4" w:space="0" w:color="auto"/>
              <w:left w:val="nil"/>
              <w:bottom w:val="single" w:sz="4" w:space="0" w:color="auto"/>
              <w:right w:val="single" w:sz="4" w:space="0" w:color="auto"/>
            </w:tcBorders>
            <w:shd w:val="clear" w:color="auto" w:fill="C6EFCE"/>
            <w:noWrap/>
          </w:tcPr>
          <w:p w14:paraId="0A20D2F9"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35" w:type="dxa"/>
            <w:tcBorders>
              <w:top w:val="single" w:sz="4" w:space="0" w:color="auto"/>
              <w:left w:val="nil"/>
              <w:bottom w:val="single" w:sz="4" w:space="0" w:color="auto"/>
              <w:right w:val="single" w:sz="4" w:space="0" w:color="auto"/>
            </w:tcBorders>
            <w:shd w:val="clear" w:color="auto" w:fill="C6EFCE"/>
            <w:noWrap/>
          </w:tcPr>
          <w:p w14:paraId="284A62EA"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7" w:type="dxa"/>
            <w:tcBorders>
              <w:top w:val="single" w:sz="4" w:space="0" w:color="auto"/>
              <w:left w:val="nil"/>
              <w:bottom w:val="single" w:sz="4" w:space="0" w:color="auto"/>
              <w:right w:val="single" w:sz="4" w:space="0" w:color="auto"/>
            </w:tcBorders>
            <w:shd w:val="clear" w:color="auto" w:fill="C6EFCE"/>
            <w:noWrap/>
          </w:tcPr>
          <w:p w14:paraId="48C17749"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410A01EA"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83" w:type="dxa"/>
            <w:tcBorders>
              <w:top w:val="single" w:sz="4" w:space="0" w:color="auto"/>
              <w:left w:val="nil"/>
              <w:bottom w:val="single" w:sz="4" w:space="0" w:color="auto"/>
              <w:right w:val="single" w:sz="4" w:space="0" w:color="auto"/>
            </w:tcBorders>
            <w:shd w:val="clear" w:color="auto" w:fill="C6EFCE"/>
            <w:noWrap/>
          </w:tcPr>
          <w:p w14:paraId="37F8320B"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117" w:type="dxa"/>
            <w:tcBorders>
              <w:top w:val="single" w:sz="4" w:space="0" w:color="auto"/>
              <w:left w:val="nil"/>
              <w:bottom w:val="single" w:sz="4" w:space="0" w:color="auto"/>
              <w:right w:val="single" w:sz="4" w:space="0" w:color="auto"/>
            </w:tcBorders>
            <w:shd w:val="clear" w:color="auto" w:fill="C6EFCE"/>
            <w:noWrap/>
          </w:tcPr>
          <w:p w14:paraId="47A4A723" w14:textId="77445596"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5400 starších osôb</w:t>
            </w:r>
            <w:r w:rsidR="00AB26B3" w:rsidRPr="00AB26B3">
              <w:rPr>
                <w:noProof/>
                <w:spacing w:val="-6"/>
                <w:lang w:val="sk-SK"/>
              </w:rPr>
              <w:t xml:space="preserve"> a </w:t>
            </w:r>
            <w:r w:rsidRPr="00AB26B3">
              <w:rPr>
                <w:noProof/>
                <w:spacing w:val="-6"/>
                <w:lang w:val="sk-SK"/>
              </w:rPr>
              <w:t xml:space="preserve">osôb so zdravotným postihnutím sa zúčastnilo na digitálnej odbornej príprave </w:t>
            </w:r>
          </w:p>
        </w:tc>
      </w:tr>
      <w:tr w:rsidR="00302FC1" w:rsidRPr="00AB26B3" w14:paraId="3142A872" w14:textId="77777777">
        <w:trPr>
          <w:trHeight w:val="309"/>
        </w:trPr>
        <w:tc>
          <w:tcPr>
            <w:tcW w:w="566" w:type="dxa"/>
            <w:tcBorders>
              <w:top w:val="single" w:sz="4" w:space="0" w:color="auto"/>
              <w:left w:val="single" w:sz="4" w:space="0" w:color="auto"/>
              <w:bottom w:val="single" w:sz="4" w:space="0" w:color="auto"/>
              <w:right w:val="single" w:sz="4" w:space="0" w:color="auto"/>
            </w:tcBorders>
            <w:shd w:val="clear" w:color="auto" w:fill="C6EFCE"/>
            <w:noWrap/>
          </w:tcPr>
          <w:p w14:paraId="0A43FFD6"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187</w:t>
            </w:r>
          </w:p>
        </w:tc>
        <w:tc>
          <w:tcPr>
            <w:tcW w:w="1942" w:type="dxa"/>
            <w:tcBorders>
              <w:top w:val="single" w:sz="4" w:space="0" w:color="auto"/>
              <w:left w:val="nil"/>
              <w:bottom w:val="single" w:sz="4" w:space="0" w:color="auto"/>
              <w:right w:val="single" w:sz="4" w:space="0" w:color="auto"/>
            </w:tcBorders>
            <w:shd w:val="clear" w:color="auto" w:fill="C6EFCE"/>
            <w:noWrap/>
          </w:tcPr>
          <w:p w14:paraId="1F3DD764" w14:textId="77777777" w:rsidR="00AB26B3" w:rsidRPr="00AB26B3" w:rsidRDefault="00D64F26">
            <w:pPr>
              <w:pStyle w:val="P68B1DB1-Normal12"/>
              <w:spacing w:before="120" w:after="120" w:line="240" w:lineRule="auto"/>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16688: Podporovať integráciu utečencov do trhu práce</w:t>
            </w:r>
          </w:p>
          <w:p w14:paraId="2539C720" w14:textId="0ACE1665"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9" w:type="dxa"/>
            <w:tcBorders>
              <w:top w:val="single" w:sz="4" w:space="0" w:color="auto"/>
              <w:left w:val="nil"/>
              <w:bottom w:val="single" w:sz="4" w:space="0" w:color="auto"/>
              <w:right w:val="single" w:sz="4" w:space="0" w:color="auto"/>
            </w:tcBorders>
            <w:shd w:val="clear" w:color="auto" w:fill="C6EFCE"/>
            <w:noWrap/>
          </w:tcPr>
          <w:p w14:paraId="3498EF91"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Míľnik</w:t>
            </w:r>
          </w:p>
        </w:tc>
        <w:tc>
          <w:tcPr>
            <w:tcW w:w="2107" w:type="dxa"/>
            <w:tcBorders>
              <w:top w:val="single" w:sz="4" w:space="0" w:color="auto"/>
              <w:left w:val="nil"/>
              <w:bottom w:val="single" w:sz="4" w:space="0" w:color="auto"/>
              <w:right w:val="single" w:sz="4" w:space="0" w:color="auto"/>
            </w:tcBorders>
            <w:shd w:val="clear" w:color="auto" w:fill="C6EFCE"/>
            <w:noWrap/>
          </w:tcPr>
          <w:p w14:paraId="6A2B5874"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Integrácia utečencov na trhu práce</w:t>
            </w:r>
          </w:p>
        </w:tc>
        <w:tc>
          <w:tcPr>
            <w:tcW w:w="1766" w:type="dxa"/>
            <w:tcBorders>
              <w:top w:val="single" w:sz="4" w:space="0" w:color="auto"/>
              <w:left w:val="nil"/>
              <w:bottom w:val="single" w:sz="4" w:space="0" w:color="auto"/>
              <w:right w:val="single" w:sz="4" w:space="0" w:color="auto"/>
            </w:tcBorders>
            <w:shd w:val="clear" w:color="auto" w:fill="C6EFCE"/>
            <w:noWrap/>
          </w:tcPr>
          <w:p w14:paraId="1BED3E9F" w14:textId="77777777" w:rsidR="00302FC1" w:rsidRPr="00AB26B3" w:rsidRDefault="00D64F26">
            <w:pPr>
              <w:pStyle w:val="P68B1DB1-Normal24"/>
              <w:spacing w:before="120" w:after="0" w:line="240" w:lineRule="auto"/>
              <w:rPr>
                <w:noProof/>
                <w:spacing w:val="-6"/>
                <w:lang w:val="sk-SK"/>
              </w:rPr>
            </w:pPr>
            <w:r w:rsidRPr="00AB26B3">
              <w:rPr>
                <w:noProof/>
                <w:spacing w:val="-6"/>
                <w:lang w:val="sk-SK"/>
              </w:rPr>
              <w:t>Program odbornej prípravy</w:t>
            </w:r>
          </w:p>
        </w:tc>
        <w:tc>
          <w:tcPr>
            <w:tcW w:w="1404" w:type="dxa"/>
            <w:tcBorders>
              <w:top w:val="single" w:sz="4" w:space="0" w:color="auto"/>
              <w:left w:val="nil"/>
              <w:bottom w:val="single" w:sz="4" w:space="0" w:color="auto"/>
              <w:right w:val="single" w:sz="4" w:space="0" w:color="auto"/>
            </w:tcBorders>
            <w:shd w:val="clear" w:color="auto" w:fill="C6EFCE"/>
            <w:noWrap/>
          </w:tcPr>
          <w:p w14:paraId="7788237D"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 xml:space="preserve"> </w:t>
            </w:r>
          </w:p>
        </w:tc>
        <w:tc>
          <w:tcPr>
            <w:tcW w:w="1035" w:type="dxa"/>
            <w:tcBorders>
              <w:top w:val="single" w:sz="4" w:space="0" w:color="auto"/>
              <w:left w:val="nil"/>
              <w:bottom w:val="single" w:sz="4" w:space="0" w:color="auto"/>
              <w:right w:val="single" w:sz="4" w:space="0" w:color="auto"/>
            </w:tcBorders>
            <w:shd w:val="clear" w:color="auto" w:fill="C6EFCE"/>
            <w:noWrap/>
          </w:tcPr>
          <w:p w14:paraId="3CC6686C"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1097" w:type="dxa"/>
            <w:tcBorders>
              <w:top w:val="single" w:sz="4" w:space="0" w:color="auto"/>
              <w:left w:val="nil"/>
              <w:bottom w:val="single" w:sz="4" w:space="0" w:color="auto"/>
              <w:right w:val="single" w:sz="4" w:space="0" w:color="auto"/>
            </w:tcBorders>
            <w:shd w:val="clear" w:color="auto" w:fill="C6EFCE"/>
            <w:noWrap/>
          </w:tcPr>
          <w:p w14:paraId="22A0D45F" w14:textId="77777777" w:rsidR="00302FC1" w:rsidRPr="00AB26B3" w:rsidRDefault="00302FC1">
            <w:pPr>
              <w:spacing w:before="120"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0F0011E3"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ŠTVRTÝ ŠTVRŤROK</w:t>
            </w:r>
          </w:p>
        </w:tc>
        <w:tc>
          <w:tcPr>
            <w:tcW w:w="783" w:type="dxa"/>
            <w:tcBorders>
              <w:top w:val="single" w:sz="4" w:space="0" w:color="auto"/>
              <w:left w:val="nil"/>
              <w:bottom w:val="single" w:sz="4" w:space="0" w:color="auto"/>
              <w:right w:val="single" w:sz="4" w:space="0" w:color="auto"/>
            </w:tcBorders>
            <w:shd w:val="clear" w:color="auto" w:fill="C6EFCE"/>
            <w:noWrap/>
          </w:tcPr>
          <w:p w14:paraId="10BAEEFC" w14:textId="77777777"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2025</w:t>
            </w:r>
          </w:p>
        </w:tc>
        <w:tc>
          <w:tcPr>
            <w:tcW w:w="3117" w:type="dxa"/>
            <w:tcBorders>
              <w:top w:val="single" w:sz="4" w:space="0" w:color="auto"/>
              <w:left w:val="nil"/>
              <w:bottom w:val="single" w:sz="4" w:space="0" w:color="auto"/>
              <w:right w:val="single" w:sz="4" w:space="0" w:color="auto"/>
            </w:tcBorders>
            <w:shd w:val="clear" w:color="auto" w:fill="C6EFCE"/>
            <w:noWrap/>
          </w:tcPr>
          <w:p w14:paraId="6E6EF1E4" w14:textId="3CEB5416" w:rsidR="00302FC1" w:rsidRPr="00AB26B3" w:rsidRDefault="00D64F26">
            <w:pPr>
              <w:pStyle w:val="P68B1DB1-Normal12"/>
              <w:spacing w:before="120" w:after="0" w:line="240" w:lineRule="auto"/>
              <w:rPr>
                <w:rFonts w:eastAsia="Times New Roman"/>
                <w:noProof/>
                <w:spacing w:val="-6"/>
                <w:lang w:val="sk-SK"/>
              </w:rPr>
            </w:pPr>
            <w:r w:rsidRPr="00AB26B3">
              <w:rPr>
                <w:noProof/>
                <w:spacing w:val="-6"/>
                <w:lang w:val="sk-SK"/>
              </w:rPr>
              <w:t>Program odbornej prípravy pre 3600 určených utečencov vrátane uznaných utečencov (osoby požívajúce medzinárodnú ochranu)</w:t>
            </w:r>
            <w:r w:rsidR="00AB26B3" w:rsidRPr="00AB26B3">
              <w:rPr>
                <w:noProof/>
                <w:spacing w:val="-6"/>
                <w:lang w:val="sk-SK"/>
              </w:rPr>
              <w:t xml:space="preserve"> s </w:t>
            </w:r>
            <w:r w:rsidRPr="00AB26B3">
              <w:rPr>
                <w:noProof/>
                <w:spacing w:val="-6"/>
                <w:lang w:val="sk-SK"/>
              </w:rPr>
              <w:t>pobytom buď</w:t>
            </w:r>
            <w:r w:rsidR="00AB26B3" w:rsidRPr="00AB26B3">
              <w:rPr>
                <w:noProof/>
                <w:spacing w:val="-6"/>
                <w:lang w:val="sk-SK"/>
              </w:rPr>
              <w:t xml:space="preserve"> v </w:t>
            </w:r>
            <w:r w:rsidRPr="00AB26B3">
              <w:rPr>
                <w:noProof/>
                <w:spacing w:val="-6"/>
                <w:lang w:val="sk-SK"/>
              </w:rPr>
              <w:t>ubytovacích zariadeniach ministerstva pre migráciu</w:t>
            </w:r>
            <w:r w:rsidR="00AB26B3" w:rsidRPr="00AB26B3">
              <w:rPr>
                <w:noProof/>
                <w:spacing w:val="-6"/>
                <w:lang w:val="sk-SK"/>
              </w:rPr>
              <w:t xml:space="preserve"> a </w:t>
            </w:r>
            <w:r w:rsidRPr="00AB26B3">
              <w:rPr>
                <w:noProof/>
                <w:spacing w:val="-6"/>
                <w:lang w:val="sk-SK"/>
              </w:rPr>
              <w:t>azyl, alebo</w:t>
            </w:r>
            <w:r w:rsidR="00AB26B3" w:rsidRPr="00AB26B3">
              <w:rPr>
                <w:noProof/>
                <w:spacing w:val="-6"/>
                <w:lang w:val="sk-SK"/>
              </w:rPr>
              <w:t xml:space="preserve"> v </w:t>
            </w:r>
            <w:r w:rsidRPr="00AB26B3">
              <w:rPr>
                <w:noProof/>
                <w:spacing w:val="-6"/>
                <w:lang w:val="sk-SK"/>
              </w:rPr>
              <w:t>mestskej oblasti, osôb požívajúcich dočasnú ochranu, legálnych migrantov</w:t>
            </w:r>
            <w:r w:rsidR="00AB26B3" w:rsidRPr="00AB26B3">
              <w:rPr>
                <w:noProof/>
                <w:spacing w:val="-6"/>
                <w:lang w:val="sk-SK"/>
              </w:rPr>
              <w:t xml:space="preserve"> a </w:t>
            </w:r>
            <w:r w:rsidRPr="00AB26B3">
              <w:rPr>
                <w:noProof/>
                <w:spacing w:val="-6"/>
                <w:lang w:val="sk-SK"/>
              </w:rPr>
              <w:t>žiadateľov</w:t>
            </w:r>
            <w:r w:rsidR="00AB26B3" w:rsidRPr="00AB26B3">
              <w:rPr>
                <w:noProof/>
                <w:spacing w:val="-6"/>
                <w:lang w:val="sk-SK"/>
              </w:rPr>
              <w:t xml:space="preserve"> o </w:t>
            </w:r>
            <w:r w:rsidRPr="00AB26B3">
              <w:rPr>
                <w:noProof/>
                <w:spacing w:val="-6"/>
                <w:lang w:val="sk-SK"/>
              </w:rPr>
              <w:t>azyl.</w:t>
            </w:r>
            <w:r w:rsidR="00AB26B3" w:rsidRPr="00AB26B3">
              <w:rPr>
                <w:noProof/>
                <w:spacing w:val="-6"/>
                <w:lang w:val="sk-SK"/>
              </w:rPr>
              <w:t xml:space="preserve"> Z </w:t>
            </w:r>
            <w:r w:rsidRPr="00AB26B3">
              <w:rPr>
                <w:noProof/>
                <w:spacing w:val="-6"/>
                <w:lang w:val="sk-SK"/>
              </w:rPr>
              <w:t>týchto príjemcov podpísalo zmluvy</w:t>
            </w:r>
            <w:r w:rsidR="00AB26B3" w:rsidRPr="00AB26B3">
              <w:rPr>
                <w:noProof/>
                <w:spacing w:val="-6"/>
                <w:lang w:val="sk-SK"/>
              </w:rPr>
              <w:t xml:space="preserve"> o </w:t>
            </w:r>
            <w:r w:rsidRPr="00AB26B3">
              <w:rPr>
                <w:noProof/>
                <w:spacing w:val="-6"/>
                <w:lang w:val="sk-SK"/>
              </w:rPr>
              <w:t>stáži 1800 osôb.</w:t>
            </w:r>
          </w:p>
        </w:tc>
      </w:tr>
    </w:tbl>
    <w:p w14:paraId="03E70EBD" w14:textId="77777777" w:rsidR="00302FC1" w:rsidRPr="00AB26B3" w:rsidRDefault="00302FC1">
      <w:pPr>
        <w:tabs>
          <w:tab w:val="left" w:pos="3423"/>
        </w:tabs>
        <w:spacing w:before="120" w:after="120" w:line="240" w:lineRule="auto"/>
        <w:jc w:val="both"/>
        <w:rPr>
          <w:rFonts w:ascii="Times New Roman" w:hAnsi="Times New Roman" w:cs="Times New Roman"/>
          <w:noProof/>
          <w:spacing w:val="-6"/>
          <w:sz w:val="24"/>
          <w:lang w:val="sk-SK"/>
        </w:rPr>
        <w:sectPr w:rsidR="00302FC1" w:rsidRPr="00AB26B3" w:rsidSect="00315FC0">
          <w:headerReference w:type="even" r:id="rId194"/>
          <w:headerReference w:type="default" r:id="rId195"/>
          <w:footerReference w:type="even" r:id="rId196"/>
          <w:footerReference w:type="default" r:id="rId197"/>
          <w:headerReference w:type="first" r:id="rId198"/>
          <w:footerReference w:type="first" r:id="rId199"/>
          <w:pgSz w:w="16839" w:h="11907" w:orient="landscape"/>
          <w:pgMar w:top="720" w:right="720" w:bottom="720" w:left="720" w:header="709" w:footer="75" w:gutter="0"/>
          <w:cols w:space="720"/>
          <w:docGrid w:linePitch="360"/>
        </w:sectPr>
      </w:pPr>
    </w:p>
    <w:p w14:paraId="420FFFAC" w14:textId="77777777" w:rsidR="00AB26B3" w:rsidRPr="00AB26B3" w:rsidRDefault="00D64F26">
      <w:pPr>
        <w:pStyle w:val="P68B1DB1-Normal20"/>
        <w:spacing w:before="120" w:after="120" w:line="240" w:lineRule="auto"/>
        <w:jc w:val="both"/>
        <w:rPr>
          <w:noProof/>
          <w:spacing w:val="-6"/>
          <w:lang w:val="sk-SK"/>
        </w:rPr>
      </w:pPr>
      <w:r w:rsidRPr="00AB26B3">
        <w:rPr>
          <w:noProof/>
          <w:spacing w:val="-6"/>
          <w:lang w:val="sk-SK"/>
        </w:rPr>
        <w:t>K.3.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úverového financovania</w:t>
      </w:r>
    </w:p>
    <w:p w14:paraId="157518AF" w14:textId="31667129"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Program cenovo dostupného bývania „Môj domov II“ (opatrenie ID 16400)</w:t>
      </w:r>
    </w:p>
    <w:p w14:paraId="4840AF3D" w14:textId="2AB82DA6" w:rsidR="00302FC1" w:rsidRPr="00AB26B3" w:rsidRDefault="00D64F26">
      <w:pPr>
        <w:pStyle w:val="P68B1DB1-Normal17"/>
        <w:spacing w:line="240" w:lineRule="auto"/>
        <w:jc w:val="both"/>
        <w:rPr>
          <w:rFonts w:ascii="Times New Roman" w:hAnsi="Times New Roman" w:cs="Times New Roman"/>
          <w:noProof/>
          <w:spacing w:val="-6"/>
          <w:szCs w:val="24"/>
          <w:lang w:val="sk-SK"/>
        </w:rPr>
      </w:pPr>
      <w:r w:rsidRPr="00AB26B3">
        <w:rPr>
          <w:rFonts w:ascii="Times New Roman" w:hAnsi="Times New Roman" w:cs="Times New Roman"/>
          <w:noProof/>
          <w:spacing w:val="-6"/>
          <w:szCs w:val="24"/>
          <w:lang w:val="sk-SK"/>
        </w:rPr>
        <w:t>Toto opatrenie pozostáva</w:t>
      </w:r>
      <w:r w:rsidR="00AB26B3" w:rsidRPr="00AB26B3">
        <w:rPr>
          <w:rFonts w:ascii="Times New Roman" w:hAnsi="Times New Roman" w:cs="Times New Roman"/>
          <w:noProof/>
          <w:spacing w:val="-6"/>
          <w:szCs w:val="24"/>
          <w:lang w:val="sk-SK"/>
        </w:rPr>
        <w:t xml:space="preserve"> z </w:t>
      </w:r>
      <w:r w:rsidRPr="00AB26B3">
        <w:rPr>
          <w:rFonts w:ascii="Times New Roman" w:hAnsi="Times New Roman" w:cs="Times New Roman"/>
          <w:noProof/>
          <w:spacing w:val="-6"/>
          <w:szCs w:val="24"/>
          <w:lang w:val="sk-SK"/>
        </w:rPr>
        <w:t>verejných investícií do nástroja „</w:t>
      </w:r>
      <w:r w:rsidRPr="00AB26B3">
        <w:rPr>
          <w:rFonts w:ascii="Times New Roman" w:hAnsi="Times New Roman"/>
          <w:noProof/>
          <w:spacing w:val="-6"/>
          <w:lang w:val="sk-SK"/>
        </w:rPr>
        <w:t>Môj domov</w:t>
      </w:r>
      <w:r w:rsidRPr="00AB26B3">
        <w:rPr>
          <w:rFonts w:ascii="Times New Roman" w:hAnsi="Times New Roman" w:cs="Times New Roman"/>
          <w:noProof/>
          <w:spacing w:val="-6"/>
          <w:szCs w:val="24"/>
          <w:lang w:val="sk-SK"/>
        </w:rPr>
        <w:t>II“</w:t>
      </w:r>
      <w:r w:rsidR="00AB26B3" w:rsidRPr="00AB26B3">
        <w:rPr>
          <w:rFonts w:ascii="Times New Roman" w:hAnsi="Times New Roman" w:cs="Times New Roman"/>
          <w:noProof/>
          <w:spacing w:val="-6"/>
          <w:szCs w:val="24"/>
          <w:lang w:val="sk-SK"/>
        </w:rPr>
        <w:t xml:space="preserve"> s </w:t>
      </w:r>
      <w:r w:rsidRPr="00AB26B3">
        <w:rPr>
          <w:rFonts w:ascii="Times New Roman" w:hAnsi="Times New Roman" w:cs="Times New Roman"/>
          <w:noProof/>
          <w:spacing w:val="-6"/>
          <w:szCs w:val="24"/>
          <w:lang w:val="sk-SK"/>
        </w:rPr>
        <w:t>cieľom stimulovať súkromné investície</w:t>
      </w:r>
      <w:r w:rsidR="00AB26B3" w:rsidRPr="00AB26B3">
        <w:rPr>
          <w:rFonts w:ascii="Times New Roman" w:hAnsi="Times New Roman" w:cs="Times New Roman"/>
          <w:noProof/>
          <w:spacing w:val="-6"/>
          <w:szCs w:val="24"/>
          <w:lang w:val="sk-SK"/>
        </w:rPr>
        <w:t xml:space="preserve"> a </w:t>
      </w:r>
      <w:r w:rsidRPr="00AB26B3">
        <w:rPr>
          <w:rFonts w:ascii="Times New Roman" w:hAnsi="Times New Roman" w:cs="Times New Roman"/>
          <w:noProof/>
          <w:spacing w:val="-6"/>
          <w:szCs w:val="24"/>
          <w:lang w:val="sk-SK"/>
        </w:rPr>
        <w:t>zlepšiť prístup</w:t>
      </w:r>
      <w:r w:rsidR="00AB26B3" w:rsidRPr="00AB26B3">
        <w:rPr>
          <w:rFonts w:ascii="Times New Roman" w:hAnsi="Times New Roman" w:cs="Times New Roman"/>
          <w:noProof/>
          <w:spacing w:val="-6"/>
          <w:szCs w:val="24"/>
          <w:lang w:val="sk-SK"/>
        </w:rPr>
        <w:t xml:space="preserve"> k </w:t>
      </w:r>
      <w:r w:rsidRPr="00AB26B3">
        <w:rPr>
          <w:rFonts w:ascii="Times New Roman" w:hAnsi="Times New Roman" w:cs="Times New Roman"/>
          <w:noProof/>
          <w:spacing w:val="-6"/>
          <w:szCs w:val="24"/>
          <w:lang w:val="sk-SK"/>
        </w:rPr>
        <w:t>financovaniu</w:t>
      </w:r>
      <w:r w:rsidR="00AB26B3" w:rsidRPr="00AB26B3">
        <w:rPr>
          <w:rFonts w:ascii="Times New Roman" w:hAnsi="Times New Roman" w:cs="Times New Roman"/>
          <w:noProof/>
          <w:spacing w:val="-6"/>
          <w:szCs w:val="24"/>
          <w:lang w:val="sk-SK"/>
        </w:rPr>
        <w:t xml:space="preserve"> v </w:t>
      </w:r>
      <w:r w:rsidRPr="00AB26B3">
        <w:rPr>
          <w:rFonts w:ascii="Times New Roman" w:hAnsi="Times New Roman" w:cs="Times New Roman"/>
          <w:noProof/>
          <w:spacing w:val="-6"/>
          <w:szCs w:val="24"/>
          <w:lang w:val="sk-SK"/>
        </w:rPr>
        <w:t>gréckom sektore bývania. Nástroj funguje tak, že poskytuje úvery priamo súkromnému sektoru. Na základe investícií</w:t>
      </w:r>
      <w:r w:rsidR="00AB26B3" w:rsidRPr="00AB26B3">
        <w:rPr>
          <w:rFonts w:ascii="Times New Roman" w:hAnsi="Times New Roman" w:cs="Times New Roman"/>
          <w:noProof/>
          <w:spacing w:val="-6"/>
          <w:szCs w:val="24"/>
          <w:lang w:val="sk-SK"/>
        </w:rPr>
        <w:t xml:space="preserve"> z </w:t>
      </w:r>
      <w:r w:rsidRPr="00AB26B3">
        <w:rPr>
          <w:rFonts w:ascii="Times New Roman" w:hAnsi="Times New Roman" w:cs="Times New Roman"/>
          <w:noProof/>
          <w:spacing w:val="-6"/>
          <w:szCs w:val="24"/>
          <w:lang w:val="sk-SK"/>
        </w:rPr>
        <w:t>Mechanizmu na podporu obnovy</w:t>
      </w:r>
      <w:r w:rsidR="00AB26B3" w:rsidRPr="00AB26B3">
        <w:rPr>
          <w:rFonts w:ascii="Times New Roman" w:hAnsi="Times New Roman" w:cs="Times New Roman"/>
          <w:noProof/>
          <w:spacing w:val="-6"/>
          <w:szCs w:val="24"/>
          <w:lang w:val="sk-SK"/>
        </w:rPr>
        <w:t xml:space="preserve"> a </w:t>
      </w:r>
      <w:r w:rsidRPr="00AB26B3">
        <w:rPr>
          <w:rFonts w:ascii="Times New Roman" w:hAnsi="Times New Roman" w:cs="Times New Roman"/>
          <w:noProof/>
          <w:spacing w:val="-6"/>
          <w:szCs w:val="24"/>
          <w:lang w:val="sk-SK"/>
        </w:rPr>
        <w:t>odolnosti je cieľom mechanizmu „</w:t>
      </w:r>
      <w:r w:rsidRPr="00AB26B3">
        <w:rPr>
          <w:rFonts w:ascii="Times New Roman" w:hAnsi="Times New Roman"/>
          <w:noProof/>
          <w:spacing w:val="-6"/>
          <w:lang w:val="sk-SK"/>
        </w:rPr>
        <w:t>Môj domov II“ spočiatku poskytnúť financovanie vo výške najmenej 1000 miliónov EUR.</w:t>
      </w:r>
    </w:p>
    <w:p w14:paraId="1C8DCC59" w14:textId="77777777" w:rsidR="00AB26B3" w:rsidRPr="00AB26B3" w:rsidRDefault="00D64F26">
      <w:pPr>
        <w:pStyle w:val="P68B1DB1-Normal17"/>
        <w:spacing w:line="240" w:lineRule="auto"/>
        <w:jc w:val="both"/>
        <w:rPr>
          <w:rFonts w:ascii="Times New Roman" w:hAnsi="Times New Roman" w:cs="Times New Roman"/>
          <w:noProof/>
          <w:spacing w:val="-6"/>
          <w:szCs w:val="24"/>
          <w:lang w:val="sk-SK"/>
        </w:rPr>
      </w:pPr>
      <w:r w:rsidRPr="00AB26B3">
        <w:rPr>
          <w:rFonts w:ascii="Times New Roman" w:hAnsi="Times New Roman" w:cs="Times New Roman"/>
          <w:noProof/>
          <w:spacing w:val="-6"/>
          <w:szCs w:val="24"/>
          <w:lang w:val="sk-SK"/>
        </w:rPr>
        <w:t>Nástroj „</w:t>
      </w:r>
      <w:r w:rsidRPr="00AB26B3">
        <w:rPr>
          <w:rFonts w:ascii="Times New Roman" w:hAnsi="Times New Roman"/>
          <w:noProof/>
          <w:spacing w:val="-6"/>
          <w:lang w:val="sk-SK"/>
        </w:rPr>
        <w:t>Môj domov</w:t>
      </w:r>
      <w:r w:rsidRPr="00AB26B3">
        <w:rPr>
          <w:rFonts w:ascii="Times New Roman" w:hAnsi="Times New Roman" w:cs="Times New Roman"/>
          <w:noProof/>
          <w:spacing w:val="-6"/>
          <w:szCs w:val="24"/>
          <w:lang w:val="sk-SK"/>
        </w:rPr>
        <w:t>II“ spravuje Helénska rozvojová banka ako implementujúci partner. Nástroj zahŕňa tento produktový rad</w:t>
      </w:r>
      <w:r w:rsidR="00AB26B3" w:rsidRPr="00AB26B3">
        <w:rPr>
          <w:rFonts w:ascii="Times New Roman" w:hAnsi="Times New Roman" w:cs="Times New Roman"/>
          <w:noProof/>
          <w:spacing w:val="-6"/>
          <w:szCs w:val="24"/>
          <w:lang w:val="sk-SK"/>
        </w:rPr>
        <w:t>:</w:t>
      </w:r>
    </w:p>
    <w:p w14:paraId="458BFE36" w14:textId="499245D4" w:rsidR="00302FC1" w:rsidRPr="00AB26B3" w:rsidRDefault="00D64F26">
      <w:pPr>
        <w:pStyle w:val="P68B1DB1-LegalNumPar221"/>
        <w:numPr>
          <w:ilvl w:val="1"/>
          <w:numId w:val="5"/>
        </w:numPr>
        <w:jc w:val="both"/>
        <w:rPr>
          <w:noProof/>
          <w:spacing w:val="-6"/>
          <w:lang w:val="sk-SK"/>
        </w:rPr>
      </w:pPr>
      <w:r w:rsidRPr="00AB26B3">
        <w:rPr>
          <w:noProof/>
          <w:spacing w:val="-6"/>
          <w:lang w:val="sk-SK"/>
        </w:rPr>
        <w:t>Helénska rozvojová banka vyberie komerčné banky ako finančných sprostredkovateľov, ktorí sa zúčastnia na nástroji otvoreným, transparentným</w:t>
      </w:r>
      <w:r w:rsidR="00AB26B3" w:rsidRPr="00AB26B3">
        <w:rPr>
          <w:noProof/>
          <w:spacing w:val="-6"/>
          <w:lang w:val="sk-SK"/>
        </w:rPr>
        <w:t xml:space="preserve"> a </w:t>
      </w:r>
      <w:r w:rsidRPr="00AB26B3">
        <w:rPr>
          <w:noProof/>
          <w:spacing w:val="-6"/>
          <w:lang w:val="sk-SK"/>
        </w:rPr>
        <w:t>nediskriminačným spôsobom prostredníctvom otvorenej výzvy. Komerčné banky spolufinancujú úvery poskytnuté</w:t>
      </w:r>
      <w:r w:rsidR="00AB26B3" w:rsidRPr="00AB26B3">
        <w:rPr>
          <w:noProof/>
          <w:spacing w:val="-6"/>
          <w:lang w:val="sk-SK"/>
        </w:rPr>
        <w:t xml:space="preserve"> v </w:t>
      </w:r>
      <w:r w:rsidRPr="00AB26B3">
        <w:rPr>
          <w:noProof/>
          <w:spacing w:val="-6"/>
          <w:lang w:val="sk-SK"/>
        </w:rPr>
        <w:t>rámci nástroja. Tieto pôžičky sa poskytnú jednotlivcom na nadobudnutie hlavného bydliska. Úverová štruktúra poskytuje 50</w:t>
      </w:r>
      <w:r w:rsidR="00AB26B3" w:rsidRPr="00AB26B3">
        <w:rPr>
          <w:noProof/>
          <w:spacing w:val="-6"/>
          <w:lang w:val="sk-SK"/>
        </w:rPr>
        <w:t> %</w:t>
      </w:r>
      <w:r w:rsidRPr="00AB26B3">
        <w:rPr>
          <w:noProof/>
          <w:spacing w:val="-6"/>
          <w:lang w:val="sk-SK"/>
        </w:rPr>
        <w:t xml:space="preserve"> bezúročné financovanie</w:t>
      </w:r>
      <w:r w:rsidR="00AB26B3" w:rsidRPr="00AB26B3">
        <w:rPr>
          <w:noProof/>
          <w:spacing w:val="-6"/>
          <w:lang w:val="sk-SK"/>
        </w:rPr>
        <w:t xml:space="preserve"> z </w:t>
      </w:r>
      <w:r w:rsidRPr="00AB26B3">
        <w:rPr>
          <w:noProof/>
          <w:spacing w:val="-6"/>
          <w:lang w:val="sk-SK"/>
        </w:rPr>
        <w:t>nástroja „Môj domov II“</w:t>
      </w:r>
      <w:r w:rsidR="00AB26B3" w:rsidRPr="00AB26B3">
        <w:rPr>
          <w:noProof/>
          <w:spacing w:val="-6"/>
          <w:lang w:val="sk-SK"/>
        </w:rPr>
        <w:t xml:space="preserve"> a </w:t>
      </w:r>
      <w:r w:rsidRPr="00AB26B3">
        <w:rPr>
          <w:noProof/>
          <w:spacing w:val="-6"/>
          <w:lang w:val="sk-SK"/>
        </w:rPr>
        <w:t>50</w:t>
      </w:r>
      <w:r w:rsidR="00AB26B3" w:rsidRPr="00AB26B3">
        <w:rPr>
          <w:noProof/>
          <w:spacing w:val="-6"/>
          <w:lang w:val="sk-SK"/>
        </w:rPr>
        <w:t> %</w:t>
      </w:r>
      <w:r w:rsidRPr="00AB26B3">
        <w:rPr>
          <w:noProof/>
          <w:spacing w:val="-6"/>
          <w:lang w:val="sk-SK"/>
        </w:rPr>
        <w:t xml:space="preserve"> financovanie od zúčastnených bánk za trhové sadzby.</w:t>
      </w:r>
    </w:p>
    <w:p w14:paraId="26A43882" w14:textId="6D32226A" w:rsidR="00302FC1" w:rsidRPr="00AB26B3" w:rsidRDefault="00D64F26">
      <w:pPr>
        <w:pStyle w:val="P68B1DB1-Normal17"/>
        <w:spacing w:line="240" w:lineRule="auto"/>
        <w:jc w:val="both"/>
        <w:rPr>
          <w:rFonts w:ascii="Times New Roman" w:hAnsi="Times New Roman" w:cs="Times New Roman"/>
          <w:noProof/>
          <w:spacing w:val="-6"/>
          <w:szCs w:val="24"/>
          <w:lang w:val="sk-SK"/>
        </w:rPr>
      </w:pPr>
      <w:r w:rsidRPr="00AB26B3">
        <w:rPr>
          <w:rFonts w:ascii="Times New Roman" w:hAnsi="Times New Roman" w:cs="Times New Roman"/>
          <w:noProof/>
          <w:spacing w:val="-6"/>
          <w:szCs w:val="24"/>
          <w:lang w:val="sk-SK"/>
        </w:rPr>
        <w:t>S cieľom realizovať investíciu do nástroja „</w:t>
      </w:r>
      <w:r w:rsidRPr="00AB26B3">
        <w:rPr>
          <w:rFonts w:ascii="Times New Roman" w:hAnsi="Times New Roman"/>
          <w:noProof/>
          <w:spacing w:val="-6"/>
          <w:lang w:val="sk-SK"/>
        </w:rPr>
        <w:t>Môj domov</w:t>
      </w:r>
      <w:r w:rsidRPr="00AB26B3">
        <w:rPr>
          <w:rFonts w:ascii="Times New Roman" w:hAnsi="Times New Roman" w:cs="Times New Roman"/>
          <w:noProof/>
          <w:spacing w:val="-6"/>
          <w:szCs w:val="24"/>
          <w:lang w:val="sk-SK"/>
        </w:rPr>
        <w:t>II“ podpíšu Grécko</w:t>
      </w:r>
      <w:r w:rsidR="00AB26B3" w:rsidRPr="00AB26B3">
        <w:rPr>
          <w:rFonts w:ascii="Times New Roman" w:hAnsi="Times New Roman" w:cs="Times New Roman"/>
          <w:noProof/>
          <w:spacing w:val="-6"/>
          <w:szCs w:val="24"/>
          <w:lang w:val="sk-SK"/>
        </w:rPr>
        <w:t xml:space="preserve"> a </w:t>
      </w:r>
      <w:r w:rsidRPr="00AB26B3">
        <w:rPr>
          <w:rFonts w:ascii="Times New Roman" w:hAnsi="Times New Roman" w:cs="Times New Roman"/>
          <w:noProof/>
          <w:spacing w:val="-6"/>
          <w:szCs w:val="24"/>
          <w:lang w:val="sk-SK"/>
        </w:rPr>
        <w:t>Helénska rozvojová banka vykonávaciu dohodu. Vykonávacia dohoda obsahuje tento obsah:</w:t>
      </w:r>
    </w:p>
    <w:p w14:paraId="0518935E" w14:textId="59084220" w:rsidR="00302FC1" w:rsidRPr="00AB26B3" w:rsidRDefault="00D64F26">
      <w:pPr>
        <w:pStyle w:val="P68B1DB1-LegalNumPar44"/>
        <w:numPr>
          <w:ilvl w:val="0"/>
          <w:numId w:val="89"/>
        </w:numPr>
        <w:jc w:val="both"/>
        <w:rPr>
          <w:rFonts w:ascii="Times New Roman" w:eastAsia="Times New Roman" w:hAnsi="Times New Roman" w:cs="Times New Roman"/>
          <w:noProof/>
          <w:spacing w:val="-6"/>
          <w:szCs w:val="24"/>
          <w:lang w:val="sk-SK"/>
        </w:rPr>
      </w:pPr>
      <w:r w:rsidRPr="00AB26B3">
        <w:rPr>
          <w:rFonts w:ascii="Times New Roman" w:hAnsi="Times New Roman" w:cs="Times New Roman"/>
          <w:noProof/>
          <w:spacing w:val="-6"/>
          <w:szCs w:val="24"/>
          <w:lang w:val="sk-SK"/>
        </w:rPr>
        <w:t>Opis rozhodovacieho procesu nástroja „Môj domov</w:t>
      </w:r>
      <w:r w:rsidRPr="00AB26B3">
        <w:rPr>
          <w:rFonts w:ascii="Times New Roman" w:hAnsi="Times New Roman"/>
          <w:noProof/>
          <w:spacing w:val="-6"/>
          <w:lang w:val="sk-SK"/>
        </w:rPr>
        <w:t>II</w:t>
      </w:r>
      <w:r w:rsidRPr="00AB26B3">
        <w:rPr>
          <w:rFonts w:ascii="Times New Roman" w:hAnsi="Times New Roman" w:cs="Times New Roman"/>
          <w:noProof/>
          <w:spacing w:val="-6"/>
          <w:szCs w:val="24"/>
          <w:lang w:val="sk-SK"/>
        </w:rPr>
        <w:t>“. Konečné investičné rozhodnutie nástroja prijíma investičný výbor alebo iný rovnocenný riadiaci orgán</w:t>
      </w:r>
      <w:r w:rsidR="00AB26B3" w:rsidRPr="00AB26B3">
        <w:rPr>
          <w:rFonts w:ascii="Times New Roman" w:hAnsi="Times New Roman" w:cs="Times New Roman"/>
          <w:noProof/>
          <w:spacing w:val="-6"/>
          <w:szCs w:val="24"/>
          <w:lang w:val="sk-SK"/>
        </w:rPr>
        <w:t xml:space="preserve"> a </w:t>
      </w:r>
      <w:r w:rsidRPr="00AB26B3">
        <w:rPr>
          <w:rFonts w:ascii="Times New Roman" w:hAnsi="Times New Roman" w:cs="Times New Roman"/>
          <w:noProof/>
          <w:spacing w:val="-6"/>
          <w:szCs w:val="24"/>
          <w:lang w:val="sk-SK"/>
        </w:rPr>
        <w:t>schvaľuje ho väčšinou hlasov členov, ktorí sú nezávislí od vlády.</w:t>
      </w:r>
    </w:p>
    <w:p w14:paraId="1ADA4336" w14:textId="77777777" w:rsidR="00302FC1" w:rsidRPr="00AB26B3" w:rsidRDefault="00D64F26">
      <w:pPr>
        <w:pStyle w:val="P68B1DB1-LegalNumPar22"/>
        <w:jc w:val="both"/>
        <w:rPr>
          <w:noProof/>
          <w:spacing w:val="-6"/>
          <w:lang w:val="sk-SK"/>
        </w:rPr>
      </w:pPr>
      <w:r w:rsidRPr="00AB26B3">
        <w:rPr>
          <w:noProof/>
          <w:spacing w:val="-6"/>
          <w:lang w:val="sk-SK"/>
        </w:rPr>
        <w:t>Kľúčové požiadavky na finančné produkty,</w:t>
      </w:r>
      <w:r w:rsidRPr="00AB26B3">
        <w:rPr>
          <w:b/>
          <w:noProof/>
          <w:spacing w:val="-6"/>
          <w:lang w:val="sk-SK"/>
        </w:rPr>
        <w:t xml:space="preserve"> </w:t>
      </w:r>
      <w:r w:rsidRPr="00AB26B3">
        <w:rPr>
          <w:noProof/>
          <w:spacing w:val="-6"/>
          <w:lang w:val="sk-SK"/>
        </w:rPr>
        <w:t>ktoré zahŕňajú:</w:t>
      </w:r>
    </w:p>
    <w:p w14:paraId="42511BB9" w14:textId="4EFEB599" w:rsidR="00302FC1" w:rsidRPr="00AB26B3" w:rsidRDefault="00D64F26">
      <w:pPr>
        <w:pStyle w:val="P68B1DB1-LegalNumPar221"/>
        <w:jc w:val="both"/>
        <w:rPr>
          <w:noProof/>
          <w:spacing w:val="-6"/>
          <w:lang w:val="sk-SK"/>
        </w:rPr>
      </w:pPr>
      <w:r w:rsidRPr="00AB26B3">
        <w:rPr>
          <w:noProof/>
          <w:spacing w:val="-6"/>
          <w:lang w:val="sk-SK"/>
        </w:rPr>
        <w:t>Opis finančných produktov</w:t>
      </w:r>
      <w:r w:rsidR="00AB26B3" w:rsidRPr="00AB26B3">
        <w:rPr>
          <w:noProof/>
          <w:spacing w:val="-6"/>
          <w:lang w:val="sk-SK"/>
        </w:rPr>
        <w:t xml:space="preserve"> a </w:t>
      </w:r>
      <w:r w:rsidRPr="00AB26B3">
        <w:rPr>
          <w:noProof/>
          <w:spacing w:val="-6"/>
          <w:lang w:val="sk-SK"/>
        </w:rPr>
        <w:t>oprávnených konečných príjemcov.</w:t>
      </w:r>
    </w:p>
    <w:p w14:paraId="3CA16F62" w14:textId="77777777" w:rsidR="00302FC1" w:rsidRPr="00AB26B3" w:rsidRDefault="00D64F26">
      <w:pPr>
        <w:pStyle w:val="P68B1DB1-LegalNumPar221"/>
        <w:jc w:val="both"/>
        <w:rPr>
          <w:noProof/>
          <w:spacing w:val="-6"/>
          <w:lang w:val="sk-SK"/>
        </w:rPr>
      </w:pPr>
      <w:r w:rsidRPr="00AB26B3">
        <w:rPr>
          <w:noProof/>
          <w:spacing w:val="-6"/>
          <w:lang w:val="sk-SK"/>
        </w:rPr>
        <w:t>Požiadavka, aby všetky podporované investície boli ekonomicky životaschopné.</w:t>
      </w:r>
    </w:p>
    <w:p w14:paraId="183AE104" w14:textId="0CBE7C0A" w:rsidR="00302FC1" w:rsidRPr="00AB26B3" w:rsidRDefault="00D64F26">
      <w:pPr>
        <w:pStyle w:val="P68B1DB1-LegalNumPar221"/>
        <w:jc w:val="both"/>
        <w:rPr>
          <w:noProof/>
          <w:spacing w:val="-6"/>
          <w:lang w:val="sk-SK"/>
        </w:rPr>
      </w:pPr>
      <w:r w:rsidRPr="00AB26B3">
        <w:rPr>
          <w:noProof/>
          <w:spacing w:val="-6"/>
          <w:lang w:val="sk-SK"/>
        </w:rPr>
        <w:t>Požiadavka, aby koneční prijímatelia nástroja nedostávali podporu</w:t>
      </w:r>
      <w:r w:rsidR="00AB26B3" w:rsidRPr="00AB26B3">
        <w:rPr>
          <w:noProof/>
          <w:spacing w:val="-6"/>
          <w:lang w:val="sk-SK"/>
        </w:rPr>
        <w:t xml:space="preserve"> z </w:t>
      </w:r>
      <w:r w:rsidRPr="00AB26B3">
        <w:rPr>
          <w:noProof/>
          <w:spacing w:val="-6"/>
          <w:lang w:val="sk-SK"/>
        </w:rPr>
        <w:t>iných nástrojov Únie na pokrytie rovnakých nákladov.</w:t>
      </w:r>
    </w:p>
    <w:p w14:paraId="25D704D6" w14:textId="3F710818" w:rsidR="00302FC1" w:rsidRPr="00AB26B3" w:rsidRDefault="00D64F26">
      <w:pPr>
        <w:pStyle w:val="P68B1DB1-LegalNumPar23"/>
        <w:jc w:val="both"/>
        <w:rPr>
          <w:rFonts w:ascii="Times New Roman" w:hAnsi="Times New Roman" w:cs="Times New Roman"/>
          <w:noProof/>
          <w:spacing w:val="-6"/>
          <w:lang w:val="sk-SK"/>
        </w:rPr>
      </w:pPr>
      <w:r w:rsidRPr="00AB26B3">
        <w:rPr>
          <w:rFonts w:ascii="Times New Roman" w:hAnsi="Times New Roman" w:cs="Times New Roman"/>
          <w:noProof/>
          <w:spacing w:val="-6"/>
          <w:lang w:val="sk-SK"/>
        </w:rPr>
        <w:t>Suma, na ktorú sa vzťahuje vykonávacia dohoda, štruktúra poplatkov pre implementujúceho partnera</w:t>
      </w:r>
      <w:r w:rsidR="00AB26B3" w:rsidRPr="00AB26B3">
        <w:rPr>
          <w:rFonts w:ascii="Times New Roman" w:hAnsi="Times New Roman" w:cs="Times New Roman"/>
          <w:noProof/>
          <w:spacing w:val="-6"/>
          <w:lang w:val="sk-SK"/>
        </w:rPr>
        <w:t xml:space="preserve"> a </w:t>
      </w:r>
      <w:r w:rsidRPr="00AB26B3">
        <w:rPr>
          <w:rFonts w:ascii="Times New Roman" w:hAnsi="Times New Roman" w:cs="Times New Roman"/>
          <w:noProof/>
          <w:spacing w:val="-6"/>
          <w:lang w:val="sk-SK"/>
        </w:rPr>
        <w:t>finančných sprostredkovateľov</w:t>
      </w:r>
      <w:r w:rsidR="00AB26B3" w:rsidRPr="00AB26B3">
        <w:rPr>
          <w:rFonts w:ascii="Times New Roman" w:hAnsi="Times New Roman" w:cs="Times New Roman"/>
          <w:noProof/>
          <w:spacing w:val="-6"/>
          <w:lang w:val="sk-SK"/>
        </w:rPr>
        <w:t xml:space="preserve"> a </w:t>
      </w:r>
      <w:r w:rsidRPr="00AB26B3">
        <w:rPr>
          <w:rFonts w:ascii="Times New Roman" w:eastAsia="Times New Roman" w:hAnsi="Times New Roman" w:cs="Times New Roman"/>
          <w:noProof/>
          <w:color w:val="000000" w:themeColor="text1"/>
          <w:spacing w:val="-6"/>
          <w:lang w:val="sk-SK"/>
        </w:rPr>
        <w:t>požiadavka na opätovné investovanie akýchkoľvek spätných tokov</w:t>
      </w:r>
      <w:r w:rsidR="00AB26B3" w:rsidRPr="00AB26B3">
        <w:rPr>
          <w:rFonts w:ascii="Times New Roman" w:eastAsia="Times New Roman" w:hAnsi="Times New Roman" w:cs="Times New Roman"/>
          <w:noProof/>
          <w:color w:val="000000" w:themeColor="text1"/>
          <w:spacing w:val="-6"/>
          <w:lang w:val="sk-SK"/>
        </w:rPr>
        <w:t xml:space="preserve"> v </w:t>
      </w:r>
      <w:r w:rsidRPr="00AB26B3">
        <w:rPr>
          <w:rFonts w:ascii="Times New Roman" w:eastAsia="Times New Roman" w:hAnsi="Times New Roman" w:cs="Times New Roman"/>
          <w:noProof/>
          <w:color w:val="000000" w:themeColor="text1"/>
          <w:spacing w:val="-6"/>
          <w:lang w:val="sk-SK"/>
        </w:rPr>
        <w:t>súlade</w:t>
      </w:r>
      <w:r w:rsidR="00AB26B3" w:rsidRPr="00AB26B3">
        <w:rPr>
          <w:rFonts w:ascii="Times New Roman" w:eastAsia="Times New Roman" w:hAnsi="Times New Roman" w:cs="Times New Roman"/>
          <w:noProof/>
          <w:color w:val="000000" w:themeColor="text1"/>
          <w:spacing w:val="-6"/>
          <w:lang w:val="sk-SK"/>
        </w:rPr>
        <w:t xml:space="preserve"> s </w:t>
      </w:r>
      <w:r w:rsidRPr="00AB26B3">
        <w:rPr>
          <w:rFonts w:ascii="Times New Roman" w:eastAsia="Times New Roman" w:hAnsi="Times New Roman" w:cs="Times New Roman"/>
          <w:noProof/>
          <w:color w:val="000000" w:themeColor="text1"/>
          <w:spacing w:val="-6"/>
          <w:lang w:val="sk-SK"/>
        </w:rPr>
        <w:t>investičnou politikou mechanizmu, pokiaľ sa nepoužívajú na správu splátok úverov Mechanizmu na podporu obnovy</w:t>
      </w:r>
      <w:r w:rsidR="00AB26B3" w:rsidRPr="00AB26B3">
        <w:rPr>
          <w:rFonts w:ascii="Times New Roman" w:eastAsia="Times New Roman" w:hAnsi="Times New Roman" w:cs="Times New Roman"/>
          <w:noProof/>
          <w:color w:val="000000" w:themeColor="text1"/>
          <w:spacing w:val="-6"/>
          <w:lang w:val="sk-SK"/>
        </w:rPr>
        <w:t xml:space="preserve"> a </w:t>
      </w:r>
      <w:r w:rsidRPr="00AB26B3">
        <w:rPr>
          <w:rFonts w:ascii="Times New Roman" w:eastAsia="Times New Roman" w:hAnsi="Times New Roman" w:cs="Times New Roman"/>
          <w:noProof/>
          <w:color w:val="000000" w:themeColor="text1"/>
          <w:spacing w:val="-6"/>
          <w:lang w:val="sk-SK"/>
        </w:rPr>
        <w:t>odolnosti.</w:t>
      </w:r>
    </w:p>
    <w:p w14:paraId="44E149ED" w14:textId="7CE5A1E4" w:rsidR="00302FC1" w:rsidRPr="00AB26B3" w:rsidRDefault="00D64F26">
      <w:pPr>
        <w:pStyle w:val="P68B1DB1-LegalNumPar22"/>
        <w:jc w:val="both"/>
        <w:rPr>
          <w:noProof/>
          <w:spacing w:val="-6"/>
          <w:lang w:val="sk-SK"/>
        </w:rPr>
      </w:pPr>
      <w:r w:rsidRPr="00AB26B3">
        <w:rPr>
          <w:noProof/>
          <w:spacing w:val="-6"/>
          <w:lang w:val="sk-SK"/>
        </w:rPr>
        <w:t>Požiadavky na monitorovanie, audit</w:t>
      </w:r>
      <w:r w:rsidR="00AB26B3" w:rsidRPr="00AB26B3">
        <w:rPr>
          <w:noProof/>
          <w:spacing w:val="-6"/>
          <w:lang w:val="sk-SK"/>
        </w:rPr>
        <w:t xml:space="preserve"> a </w:t>
      </w:r>
      <w:r w:rsidRPr="00AB26B3">
        <w:rPr>
          <w:noProof/>
          <w:spacing w:val="-6"/>
          <w:lang w:val="sk-SK"/>
        </w:rPr>
        <w:t>kontrolu vrátane opisu postupov implementujúceho partnera, ktorými sa zabezpečí predchádzanie podvodom, korupcii</w:t>
      </w:r>
      <w:r w:rsidR="00AB26B3" w:rsidRPr="00AB26B3">
        <w:rPr>
          <w:noProof/>
          <w:spacing w:val="-6"/>
          <w:lang w:val="sk-SK"/>
        </w:rPr>
        <w:t xml:space="preserve"> a </w:t>
      </w:r>
      <w:r w:rsidRPr="00AB26B3">
        <w:rPr>
          <w:noProof/>
          <w:spacing w:val="-6"/>
          <w:lang w:val="sk-SK"/>
        </w:rPr>
        <w:t>konfliktom záujmov, ich odhaľovanie</w:t>
      </w:r>
      <w:r w:rsidR="00AB26B3" w:rsidRPr="00AB26B3">
        <w:rPr>
          <w:noProof/>
          <w:spacing w:val="-6"/>
          <w:lang w:val="sk-SK"/>
        </w:rPr>
        <w:t xml:space="preserve"> a </w:t>
      </w:r>
      <w:r w:rsidRPr="00AB26B3">
        <w:rPr>
          <w:noProof/>
          <w:spacing w:val="-6"/>
          <w:lang w:val="sk-SK"/>
        </w:rPr>
        <w:t>náprava.</w:t>
      </w:r>
    </w:p>
    <w:p w14:paraId="208380E4" w14:textId="311F4521" w:rsidR="00AB26B3" w:rsidRPr="00AB26B3" w:rsidRDefault="00D64F26">
      <w:pPr>
        <w:pStyle w:val="P68B1DB1-LegalNumPar22"/>
        <w:jc w:val="both"/>
        <w:rPr>
          <w:noProof/>
          <w:spacing w:val="-6"/>
          <w:lang w:val="sk-SK"/>
        </w:rPr>
      </w:pPr>
      <w:r w:rsidRPr="00AB26B3">
        <w:rPr>
          <w:noProof/>
          <w:spacing w:val="-6"/>
          <w:lang w:val="sk-SK"/>
        </w:rPr>
        <w:t>Helénska rozvojová banka podpíše dohody</w:t>
      </w:r>
      <w:r w:rsidR="00AB26B3" w:rsidRPr="00AB26B3">
        <w:rPr>
          <w:noProof/>
          <w:spacing w:val="-6"/>
          <w:lang w:val="sk-SK"/>
        </w:rPr>
        <w:t xml:space="preserve"> o </w:t>
      </w:r>
      <w:r w:rsidRPr="00AB26B3">
        <w:rPr>
          <w:noProof/>
          <w:spacing w:val="-6"/>
          <w:lang w:val="sk-SK"/>
        </w:rPr>
        <w:t>financovaní</w:t>
      </w:r>
      <w:r w:rsidR="00AB26B3" w:rsidRPr="00AB26B3">
        <w:rPr>
          <w:noProof/>
          <w:spacing w:val="-6"/>
          <w:lang w:val="sk-SK"/>
        </w:rPr>
        <w:t xml:space="preserve"> s </w:t>
      </w:r>
      <w:r w:rsidRPr="00AB26B3">
        <w:rPr>
          <w:noProof/>
          <w:spacing w:val="-6"/>
          <w:lang w:val="sk-SK"/>
        </w:rPr>
        <w:t>finančnými sprostredkovateľmi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kľúčovými požiadavkami, ktoré sa poskytnú ako príloha</w:t>
      </w:r>
      <w:r w:rsidR="00AB26B3" w:rsidRPr="00AB26B3">
        <w:rPr>
          <w:noProof/>
          <w:spacing w:val="-6"/>
          <w:lang w:val="sk-SK"/>
        </w:rPr>
        <w:t xml:space="preserve"> k </w:t>
      </w:r>
      <w:r w:rsidRPr="00AB26B3">
        <w:rPr>
          <w:noProof/>
          <w:spacing w:val="-6"/>
          <w:lang w:val="sk-SK"/>
        </w:rPr>
        <w:t>vykonávacej dohode. Kľúčové požiadavky dohôd</w:t>
      </w:r>
      <w:r w:rsidR="00AB26B3" w:rsidRPr="00AB26B3">
        <w:rPr>
          <w:noProof/>
          <w:spacing w:val="-6"/>
          <w:lang w:val="sk-SK"/>
        </w:rPr>
        <w:t xml:space="preserve"> o </w:t>
      </w:r>
      <w:r w:rsidRPr="00AB26B3">
        <w:rPr>
          <w:noProof/>
          <w:spacing w:val="-6"/>
          <w:lang w:val="sk-SK"/>
        </w:rPr>
        <w:t>financovaní zahŕňajú všetky požiadavky, na základe ktorých nástroj funguje, vrátane</w:t>
      </w:r>
      <w:r w:rsidR="00AB26B3" w:rsidRPr="00AB26B3">
        <w:rPr>
          <w:noProof/>
          <w:spacing w:val="-6"/>
          <w:lang w:val="sk-SK"/>
        </w:rPr>
        <w:t>:</w:t>
      </w:r>
    </w:p>
    <w:p w14:paraId="4BE8F6E9" w14:textId="2F1D764C" w:rsidR="00302FC1" w:rsidRPr="00AB26B3" w:rsidRDefault="00D64F26">
      <w:pPr>
        <w:pStyle w:val="P68B1DB1-LegalNumPar221"/>
        <w:numPr>
          <w:ilvl w:val="1"/>
          <w:numId w:val="5"/>
        </w:numPr>
        <w:jc w:val="both"/>
        <w:rPr>
          <w:noProof/>
          <w:spacing w:val="-6"/>
          <w:lang w:val="sk-SK"/>
        </w:rPr>
      </w:pPr>
      <w:r w:rsidRPr="00AB26B3">
        <w:rPr>
          <w:noProof/>
          <w:spacing w:val="-6"/>
          <w:lang w:val="sk-SK"/>
        </w:rPr>
        <w:t>Konečné rozhodnutie</w:t>
      </w:r>
      <w:r w:rsidR="00AB26B3" w:rsidRPr="00AB26B3">
        <w:rPr>
          <w:noProof/>
          <w:spacing w:val="-6"/>
          <w:lang w:val="sk-SK"/>
        </w:rPr>
        <w:t xml:space="preserve"> o </w:t>
      </w:r>
      <w:r w:rsidRPr="00AB26B3">
        <w:rPr>
          <w:noProof/>
          <w:spacing w:val="-6"/>
          <w:lang w:val="sk-SK"/>
        </w:rPr>
        <w:t>emisii úverov prijímajú finanční sprostredkovatelia</w:t>
      </w:r>
      <w:r w:rsidR="00AB26B3" w:rsidRPr="00AB26B3">
        <w:rPr>
          <w:noProof/>
          <w:spacing w:val="-6"/>
          <w:lang w:val="sk-SK"/>
        </w:rPr>
        <w:t xml:space="preserve"> v </w:t>
      </w:r>
      <w:r w:rsidRPr="00AB26B3">
        <w:rPr>
          <w:noProof/>
          <w:spacing w:val="-6"/>
          <w:lang w:val="sk-SK"/>
        </w:rPr>
        <w:t>súlade so svojimi politikami</w:t>
      </w:r>
      <w:r w:rsidR="00AB26B3" w:rsidRPr="00AB26B3">
        <w:rPr>
          <w:noProof/>
          <w:spacing w:val="-6"/>
          <w:lang w:val="sk-SK"/>
        </w:rPr>
        <w:t xml:space="preserve"> a </w:t>
      </w:r>
      <w:r w:rsidRPr="00AB26B3">
        <w:rPr>
          <w:noProof/>
          <w:spacing w:val="-6"/>
          <w:lang w:val="sk-SK"/>
        </w:rPr>
        <w:t>postupmi nezávisle od vlády.</w:t>
      </w:r>
    </w:p>
    <w:p w14:paraId="309E391C" w14:textId="72376392" w:rsidR="00AB26B3" w:rsidRPr="00AB26B3" w:rsidRDefault="00D64F26">
      <w:pPr>
        <w:pStyle w:val="P68B1DB1-LegalNumPar221"/>
        <w:numPr>
          <w:ilvl w:val="1"/>
          <w:numId w:val="5"/>
        </w:numPr>
        <w:jc w:val="both"/>
        <w:rPr>
          <w:noProof/>
          <w:spacing w:val="-6"/>
          <w:lang w:val="sk-SK"/>
        </w:rPr>
      </w:pPr>
      <w:r w:rsidRPr="00AB26B3">
        <w:rPr>
          <w:noProof/>
          <w:spacing w:val="-6"/>
          <w:lang w:val="sk-SK"/>
        </w:rPr>
        <w:t xml:space="preserve">Povinnosť finančných sprostredkovateľov prijímať rozhodnutia </w:t>
      </w:r>
      <w:r w:rsidRPr="00AB26B3">
        <w:rPr>
          <w:i/>
          <w:noProof/>
          <w:spacing w:val="-6"/>
          <w:lang w:val="sk-SK"/>
        </w:rPr>
        <w:t>mutatis mutandis</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požiadavkami investičnej politiky uvedenými vyššie</w:t>
      </w:r>
      <w:r w:rsidR="00AB26B3" w:rsidRPr="00AB26B3">
        <w:rPr>
          <w:noProof/>
          <w:spacing w:val="-6"/>
          <w:lang w:val="sk-SK"/>
        </w:rPr>
        <w:t>.</w:t>
      </w:r>
    </w:p>
    <w:p w14:paraId="350755FC" w14:textId="52D84C5B" w:rsidR="00302FC1" w:rsidRPr="00AB26B3" w:rsidRDefault="00D64F26">
      <w:pPr>
        <w:pStyle w:val="P68B1DB1-LegalNumPar221"/>
        <w:numPr>
          <w:ilvl w:val="1"/>
          <w:numId w:val="5"/>
        </w:numPr>
        <w:jc w:val="both"/>
        <w:rPr>
          <w:noProof/>
          <w:spacing w:val="-6"/>
          <w:lang w:val="sk-SK"/>
        </w:rPr>
      </w:pPr>
      <w:r w:rsidRPr="00AB26B3">
        <w:rPr>
          <w:noProof/>
          <w:spacing w:val="-6"/>
          <w:lang w:val="sk-SK"/>
        </w:rPr>
        <w:t>Požiadavky na monitorovanie, audit</w:t>
      </w:r>
      <w:r w:rsidR="00AB26B3" w:rsidRPr="00AB26B3">
        <w:rPr>
          <w:noProof/>
          <w:spacing w:val="-6"/>
          <w:lang w:val="sk-SK"/>
        </w:rPr>
        <w:t xml:space="preserve"> a </w:t>
      </w:r>
      <w:r w:rsidRPr="00AB26B3">
        <w:rPr>
          <w:noProof/>
          <w:spacing w:val="-6"/>
          <w:lang w:val="sk-SK"/>
        </w:rPr>
        <w:t>kontrolu finančných sprostredkovateľov vrátane:</w:t>
      </w:r>
    </w:p>
    <w:p w14:paraId="757A8128" w14:textId="0510BB34" w:rsidR="00302FC1" w:rsidRPr="00AB26B3" w:rsidRDefault="00D64F26">
      <w:pPr>
        <w:pStyle w:val="P68B1DB1-LegalNumPar221"/>
        <w:numPr>
          <w:ilvl w:val="2"/>
          <w:numId w:val="6"/>
        </w:numPr>
        <w:jc w:val="both"/>
        <w:rPr>
          <w:noProof/>
          <w:spacing w:val="-6"/>
          <w:lang w:val="sk-SK"/>
        </w:rPr>
      </w:pPr>
      <w:r w:rsidRPr="00AB26B3">
        <w:rPr>
          <w:noProof/>
          <w:spacing w:val="-6"/>
          <w:lang w:val="sk-SK"/>
        </w:rPr>
        <w:t>Opis systému monitorovania finančných sprostredkovateľov na podávanie správ</w:t>
      </w:r>
      <w:r w:rsidR="00AB26B3" w:rsidRPr="00AB26B3">
        <w:rPr>
          <w:noProof/>
          <w:spacing w:val="-6"/>
          <w:lang w:val="sk-SK"/>
        </w:rPr>
        <w:t xml:space="preserve"> o </w:t>
      </w:r>
      <w:r w:rsidRPr="00AB26B3">
        <w:rPr>
          <w:noProof/>
          <w:spacing w:val="-6"/>
          <w:lang w:val="sk-SK"/>
        </w:rPr>
        <w:t>mobilizovaných investíciách.</w:t>
      </w:r>
    </w:p>
    <w:p w14:paraId="76BBD6C8" w14:textId="45B5ACFA" w:rsidR="00AB26B3" w:rsidRPr="00AB26B3" w:rsidRDefault="00D64F26">
      <w:pPr>
        <w:pStyle w:val="P68B1DB1-LegalNumPar221"/>
        <w:numPr>
          <w:ilvl w:val="2"/>
          <w:numId w:val="6"/>
        </w:numPr>
        <w:jc w:val="both"/>
        <w:rPr>
          <w:noProof/>
          <w:spacing w:val="-6"/>
          <w:lang w:val="sk-SK"/>
        </w:rPr>
      </w:pPr>
      <w:r w:rsidRPr="00AB26B3">
        <w:rPr>
          <w:noProof/>
          <w:spacing w:val="-6"/>
          <w:lang w:val="sk-SK"/>
        </w:rPr>
        <w:t>Opis postupov finančných sprostredkovateľov, ktorými sa zabezpečí predchádzanie podvodom, korupcii</w:t>
      </w:r>
      <w:r w:rsidR="00AB26B3" w:rsidRPr="00AB26B3">
        <w:rPr>
          <w:noProof/>
          <w:spacing w:val="-6"/>
          <w:lang w:val="sk-SK"/>
        </w:rPr>
        <w:t xml:space="preserve"> a </w:t>
      </w:r>
      <w:r w:rsidRPr="00AB26B3">
        <w:rPr>
          <w:noProof/>
          <w:spacing w:val="-6"/>
          <w:lang w:val="sk-SK"/>
        </w:rPr>
        <w:t>konfliktom záujmov, ich odhaľovanie</w:t>
      </w:r>
      <w:r w:rsidR="00AB26B3" w:rsidRPr="00AB26B3">
        <w:rPr>
          <w:noProof/>
          <w:spacing w:val="-6"/>
          <w:lang w:val="sk-SK"/>
        </w:rPr>
        <w:t xml:space="preserve"> a </w:t>
      </w:r>
      <w:r w:rsidRPr="00AB26B3">
        <w:rPr>
          <w:noProof/>
          <w:spacing w:val="-6"/>
          <w:lang w:val="sk-SK"/>
        </w:rPr>
        <w:t>náprava</w:t>
      </w:r>
      <w:r w:rsidR="00AB26B3" w:rsidRPr="00AB26B3">
        <w:rPr>
          <w:noProof/>
          <w:spacing w:val="-6"/>
          <w:lang w:val="sk-SK"/>
        </w:rPr>
        <w:t>.</w:t>
      </w:r>
    </w:p>
    <w:p w14:paraId="2D5B2DA3" w14:textId="1314B057" w:rsidR="00302FC1" w:rsidRPr="00AB26B3" w:rsidRDefault="00D64F26">
      <w:pPr>
        <w:pStyle w:val="P68B1DB1-LegalNumPar221"/>
        <w:numPr>
          <w:ilvl w:val="2"/>
          <w:numId w:val="6"/>
        </w:numPr>
        <w:jc w:val="both"/>
        <w:rPr>
          <w:noProof/>
          <w:spacing w:val="-6"/>
          <w:lang w:val="sk-SK"/>
        </w:rPr>
      </w:pPr>
      <w:r w:rsidRPr="00AB26B3">
        <w:rPr>
          <w:noProof/>
          <w:spacing w:val="-6"/>
          <w:lang w:val="sk-SK"/>
        </w:rPr>
        <w:t>Povinnosť overiť oprávnenosť každej operácie</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požiadavkami stanovenými vo vykonávacej dohode pred tým, ako sa zaviaže financovať operáciu.</w:t>
      </w:r>
    </w:p>
    <w:p w14:paraId="6B40E599" w14:textId="0548A052" w:rsidR="00AB26B3" w:rsidRPr="00AB26B3" w:rsidRDefault="00D64F26">
      <w:pPr>
        <w:pStyle w:val="P68B1DB1-LegalNumPar221"/>
        <w:numPr>
          <w:ilvl w:val="2"/>
          <w:numId w:val="6"/>
        </w:numPr>
        <w:jc w:val="both"/>
        <w:rPr>
          <w:noProof/>
          <w:spacing w:val="-6"/>
          <w:lang w:val="sk-SK"/>
        </w:rPr>
      </w:pPr>
      <w:r w:rsidRPr="00AB26B3">
        <w:rPr>
          <w:noProof/>
          <w:spacing w:val="-6"/>
          <w:lang w:val="sk-SK"/>
        </w:rPr>
        <w:t>Povinnosť vykonávať ex post audity založené na riziku</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plánom auditov finančných sprostredkovateľov. Týmito auditmi sa overuje: I) či sú systémy kontroly účinné vrátane odhaľovania podvodov, korupcie</w:t>
      </w:r>
      <w:r w:rsidR="00AB26B3" w:rsidRPr="00AB26B3">
        <w:rPr>
          <w:noProof/>
          <w:spacing w:val="-6"/>
          <w:lang w:val="sk-SK"/>
        </w:rPr>
        <w:t xml:space="preserve"> a </w:t>
      </w:r>
      <w:r w:rsidRPr="00AB26B3">
        <w:rPr>
          <w:noProof/>
          <w:spacing w:val="-6"/>
          <w:lang w:val="sk-SK"/>
        </w:rPr>
        <w:t>konfliktu záujmov;</w:t>
      </w:r>
      <w:r w:rsidR="00AB26B3" w:rsidRPr="00AB26B3">
        <w:rPr>
          <w:noProof/>
          <w:spacing w:val="-6"/>
          <w:lang w:val="sk-SK"/>
        </w:rPr>
        <w:t xml:space="preserve"> a </w:t>
      </w:r>
      <w:r w:rsidRPr="00AB26B3">
        <w:rPr>
          <w:noProof/>
          <w:spacing w:val="-6"/>
          <w:lang w:val="sk-SK"/>
        </w:rPr>
        <w:t>ii) aby sa dodržala požiadavka, že koneční prijímatelia nástroja nedostali podporu</w:t>
      </w:r>
      <w:r w:rsidR="00AB26B3" w:rsidRPr="00AB26B3">
        <w:rPr>
          <w:noProof/>
          <w:spacing w:val="-6"/>
          <w:lang w:val="sk-SK"/>
        </w:rPr>
        <w:t xml:space="preserve"> z </w:t>
      </w:r>
      <w:r w:rsidRPr="00AB26B3">
        <w:rPr>
          <w:noProof/>
          <w:spacing w:val="-6"/>
          <w:lang w:val="sk-SK"/>
        </w:rPr>
        <w:t>iných nástrojov Únie na pokrytie rovnakých nákladov. Auditmi sa takisto overuje zákonnosť transakcií</w:t>
      </w:r>
      <w:r w:rsidR="00AB26B3" w:rsidRPr="00AB26B3">
        <w:rPr>
          <w:noProof/>
          <w:spacing w:val="-6"/>
          <w:lang w:val="sk-SK"/>
        </w:rPr>
        <w:t xml:space="preserve"> a </w:t>
      </w:r>
      <w:r w:rsidRPr="00AB26B3">
        <w:rPr>
          <w:noProof/>
          <w:spacing w:val="-6"/>
          <w:lang w:val="sk-SK"/>
        </w:rPr>
        <w:t>dodržiavanie podmienok platných dohôd</w:t>
      </w:r>
      <w:r w:rsidR="00AB26B3" w:rsidRPr="00AB26B3">
        <w:rPr>
          <w:noProof/>
          <w:spacing w:val="-6"/>
          <w:lang w:val="sk-SK"/>
        </w:rPr>
        <w:t>.</w:t>
      </w:r>
    </w:p>
    <w:p w14:paraId="7B97BCEF" w14:textId="1F2BB80F" w:rsidR="00302FC1" w:rsidRPr="00AB26B3" w:rsidRDefault="00302FC1">
      <w:pPr>
        <w:spacing w:before="120" w:after="120" w:line="240" w:lineRule="auto"/>
        <w:jc w:val="both"/>
        <w:rPr>
          <w:rFonts w:ascii="Times New Roman" w:hAnsi="Times New Roman"/>
          <w:b/>
          <w:noProof/>
          <w:spacing w:val="-6"/>
          <w:sz w:val="24"/>
          <w:lang w:val="sk-SK"/>
        </w:rPr>
        <w:sectPr w:rsidR="00302FC1" w:rsidRPr="00AB26B3" w:rsidSect="00315FC0">
          <w:headerReference w:type="default" r:id="rId200"/>
          <w:footerReference w:type="default" r:id="rId201"/>
          <w:pgSz w:w="11906" w:h="16838"/>
          <w:pgMar w:top="1417" w:right="1417" w:bottom="1417" w:left="1417" w:header="708" w:footer="708" w:gutter="0"/>
          <w:cols w:space="708"/>
          <w:docGrid w:linePitch="360"/>
        </w:sectPr>
      </w:pPr>
    </w:p>
    <w:p w14:paraId="0738104B" w14:textId="77777777" w:rsidR="00302FC1" w:rsidRPr="00AB26B3" w:rsidRDefault="00D64F26">
      <w:pPr>
        <w:pStyle w:val="P68B1DB1-Normal9"/>
        <w:keepNext/>
        <w:keepLines/>
        <w:spacing w:before="40" w:after="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Program cenovo dostupného bývania „Môj domov II“ (16400)</w:t>
      </w:r>
    </w:p>
    <w:tbl>
      <w:tblPr>
        <w:tblW w:w="1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197"/>
        <w:gridCol w:w="1320"/>
        <w:gridCol w:w="1560"/>
        <w:gridCol w:w="1320"/>
        <w:gridCol w:w="1200"/>
        <w:gridCol w:w="960"/>
        <w:gridCol w:w="1080"/>
        <w:gridCol w:w="840"/>
        <w:gridCol w:w="4001"/>
      </w:tblGrid>
      <w:tr w:rsidR="00302FC1" w:rsidRPr="00AB26B3" w14:paraId="688C0569" w14:textId="77777777">
        <w:trPr>
          <w:trHeight w:val="810"/>
          <w:tblHeader/>
          <w:jc w:val="center"/>
        </w:trPr>
        <w:tc>
          <w:tcPr>
            <w:tcW w:w="704" w:type="dxa"/>
            <w:vMerge w:val="restart"/>
            <w:shd w:val="clear" w:color="auto" w:fill="BDD7EE"/>
            <w:vAlign w:val="center"/>
            <w:hideMark/>
          </w:tcPr>
          <w:p w14:paraId="0CD5BD47" w14:textId="3F04DBB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A nasl. Nie.</w:t>
            </w:r>
          </w:p>
        </w:tc>
        <w:tc>
          <w:tcPr>
            <w:tcW w:w="1701" w:type="dxa"/>
            <w:vMerge w:val="restart"/>
            <w:shd w:val="clear" w:color="auto" w:fill="BDD7EE"/>
            <w:vAlign w:val="center"/>
            <w:hideMark/>
          </w:tcPr>
          <w:p w14:paraId="7ECB10D3"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Súvisiace opatrenie (reforma alebo investícia)</w:t>
            </w:r>
          </w:p>
        </w:tc>
        <w:tc>
          <w:tcPr>
            <w:tcW w:w="1197" w:type="dxa"/>
            <w:vMerge w:val="restart"/>
            <w:shd w:val="clear" w:color="auto" w:fill="BDD7EE"/>
            <w:vAlign w:val="center"/>
            <w:hideMark/>
          </w:tcPr>
          <w:p w14:paraId="4F516C28"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Míľnik/cieľ</w:t>
            </w:r>
          </w:p>
        </w:tc>
        <w:tc>
          <w:tcPr>
            <w:tcW w:w="1320" w:type="dxa"/>
            <w:vMerge w:val="restart"/>
            <w:shd w:val="clear" w:color="auto" w:fill="BDD7EE"/>
            <w:vAlign w:val="center"/>
            <w:hideMark/>
          </w:tcPr>
          <w:p w14:paraId="01AF1DF7"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Názov</w:t>
            </w:r>
          </w:p>
        </w:tc>
        <w:tc>
          <w:tcPr>
            <w:tcW w:w="1560" w:type="dxa"/>
            <w:vMerge w:val="restart"/>
            <w:shd w:val="clear" w:color="auto" w:fill="BDD7EE"/>
            <w:vAlign w:val="center"/>
            <w:hideMark/>
          </w:tcPr>
          <w:p w14:paraId="361D41A1" w14:textId="479AE6FB"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Kvalitatívne ukazovatele (pre míľniky)</w:t>
            </w:r>
          </w:p>
        </w:tc>
        <w:tc>
          <w:tcPr>
            <w:tcW w:w="3480" w:type="dxa"/>
            <w:gridSpan w:val="3"/>
            <w:shd w:val="clear" w:color="auto" w:fill="BDD7EE"/>
            <w:vAlign w:val="center"/>
            <w:hideMark/>
          </w:tcPr>
          <w:p w14:paraId="1B6BA079"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Kvantitatívne ukazovatele (pre ciele)</w:t>
            </w:r>
          </w:p>
        </w:tc>
        <w:tc>
          <w:tcPr>
            <w:tcW w:w="1920" w:type="dxa"/>
            <w:gridSpan w:val="2"/>
            <w:shd w:val="clear" w:color="auto" w:fill="BDD7EE"/>
            <w:vAlign w:val="center"/>
            <w:hideMark/>
          </w:tcPr>
          <w:p w14:paraId="0AF80A6B"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Orientačný harmonogram dokončenia</w:t>
            </w:r>
          </w:p>
        </w:tc>
        <w:tc>
          <w:tcPr>
            <w:tcW w:w="4001" w:type="dxa"/>
            <w:vMerge w:val="restart"/>
            <w:shd w:val="clear" w:color="auto" w:fill="BDD7EE"/>
            <w:vAlign w:val="center"/>
            <w:hideMark/>
          </w:tcPr>
          <w:p w14:paraId="68B450C8" w14:textId="6F7CCE63"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1519AB81" w14:textId="77777777">
        <w:trPr>
          <w:trHeight w:val="581"/>
          <w:tblHeader/>
          <w:jc w:val="center"/>
        </w:trPr>
        <w:tc>
          <w:tcPr>
            <w:tcW w:w="704" w:type="dxa"/>
            <w:vMerge/>
            <w:vAlign w:val="center"/>
            <w:hideMark/>
          </w:tcPr>
          <w:p w14:paraId="5EB8778B"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701" w:type="dxa"/>
            <w:vMerge/>
            <w:vAlign w:val="center"/>
            <w:hideMark/>
          </w:tcPr>
          <w:p w14:paraId="65CEE6A3"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197" w:type="dxa"/>
            <w:vMerge/>
            <w:vAlign w:val="center"/>
            <w:hideMark/>
          </w:tcPr>
          <w:p w14:paraId="4D72DE92"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320" w:type="dxa"/>
            <w:vMerge/>
            <w:vAlign w:val="center"/>
            <w:hideMark/>
          </w:tcPr>
          <w:p w14:paraId="4AD15B55"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560" w:type="dxa"/>
            <w:vMerge/>
            <w:vAlign w:val="center"/>
            <w:hideMark/>
          </w:tcPr>
          <w:p w14:paraId="5CA9B2FB"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320" w:type="dxa"/>
            <w:shd w:val="clear" w:color="auto" w:fill="BDD7EE"/>
            <w:vAlign w:val="center"/>
            <w:hideMark/>
          </w:tcPr>
          <w:p w14:paraId="75441E9F"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1200" w:type="dxa"/>
            <w:shd w:val="clear" w:color="auto" w:fill="BDD7EE"/>
            <w:vAlign w:val="center"/>
            <w:hideMark/>
          </w:tcPr>
          <w:p w14:paraId="5157B8FD"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Základná</w:t>
            </w:r>
          </w:p>
        </w:tc>
        <w:tc>
          <w:tcPr>
            <w:tcW w:w="960" w:type="dxa"/>
            <w:shd w:val="clear" w:color="auto" w:fill="BDD7EE"/>
            <w:vAlign w:val="center"/>
            <w:hideMark/>
          </w:tcPr>
          <w:p w14:paraId="2D60AC3C"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Cieľ</w:t>
            </w:r>
          </w:p>
        </w:tc>
        <w:tc>
          <w:tcPr>
            <w:tcW w:w="1080" w:type="dxa"/>
            <w:shd w:val="clear" w:color="auto" w:fill="BDD7EE"/>
            <w:vAlign w:val="center"/>
            <w:hideMark/>
          </w:tcPr>
          <w:p w14:paraId="70BC49F8"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840" w:type="dxa"/>
            <w:shd w:val="clear" w:color="auto" w:fill="BDD7EE"/>
            <w:vAlign w:val="center"/>
            <w:hideMark/>
          </w:tcPr>
          <w:p w14:paraId="026E9693"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4001" w:type="dxa"/>
            <w:vMerge/>
            <w:vAlign w:val="center"/>
            <w:hideMark/>
          </w:tcPr>
          <w:p w14:paraId="67933308"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r>
      <w:tr w:rsidR="00302FC1" w:rsidRPr="00AB26B3" w14:paraId="4D1C7B7F" w14:textId="77777777">
        <w:trPr>
          <w:trHeight w:val="314"/>
          <w:jc w:val="center"/>
        </w:trPr>
        <w:tc>
          <w:tcPr>
            <w:tcW w:w="704" w:type="dxa"/>
            <w:shd w:val="clear" w:color="auto" w:fill="C6EFCE"/>
            <w:noWrap/>
          </w:tcPr>
          <w:p w14:paraId="14D52611" w14:textId="77777777" w:rsidR="00302FC1" w:rsidRPr="00AB26B3" w:rsidRDefault="00D64F26">
            <w:pPr>
              <w:pStyle w:val="P68B1DB1-Normal12"/>
              <w:spacing w:after="0" w:line="240" w:lineRule="auto"/>
              <w:rPr>
                <w:noProof/>
                <w:spacing w:val="-6"/>
                <w:lang w:val="sk-SK"/>
              </w:rPr>
            </w:pPr>
            <w:r w:rsidRPr="00AB26B3">
              <w:rPr>
                <w:noProof/>
                <w:spacing w:val="-6"/>
                <w:lang w:val="sk-SK"/>
              </w:rPr>
              <w:t>378</w:t>
            </w:r>
          </w:p>
        </w:tc>
        <w:tc>
          <w:tcPr>
            <w:tcW w:w="1701" w:type="dxa"/>
            <w:shd w:val="clear" w:color="auto" w:fill="C6EFCE"/>
            <w:noWrap/>
          </w:tcPr>
          <w:p w14:paraId="5022287A" w14:textId="734473B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16400_ Program cenovo dostupného bývania „Môj domov II“</w:t>
            </w:r>
          </w:p>
        </w:tc>
        <w:tc>
          <w:tcPr>
            <w:tcW w:w="1197" w:type="dxa"/>
            <w:shd w:val="clear" w:color="auto" w:fill="C6EFCE"/>
            <w:noWrap/>
          </w:tcPr>
          <w:p w14:paraId="4977A3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20" w:type="dxa"/>
            <w:shd w:val="clear" w:color="auto" w:fill="C6EFCE"/>
            <w:noWrap/>
          </w:tcPr>
          <w:p w14:paraId="0DB6A4DB" w14:textId="7900D48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Môj domov II – vykonávacia dohoda medzi Helénskou rozvojovou bankou</w:t>
            </w:r>
            <w:r w:rsidR="00AB26B3" w:rsidRPr="00AB26B3">
              <w:rPr>
                <w:noProof/>
                <w:spacing w:val="-6"/>
                <w:lang w:val="sk-SK"/>
              </w:rPr>
              <w:t xml:space="preserve"> a </w:t>
            </w:r>
            <w:r w:rsidRPr="00AB26B3">
              <w:rPr>
                <w:noProof/>
                <w:spacing w:val="-6"/>
                <w:lang w:val="sk-SK"/>
              </w:rPr>
              <w:t>ministerstvom financií</w:t>
            </w:r>
          </w:p>
        </w:tc>
        <w:tc>
          <w:tcPr>
            <w:tcW w:w="1560" w:type="dxa"/>
            <w:shd w:val="clear" w:color="auto" w:fill="C6EFCE"/>
            <w:noWrap/>
          </w:tcPr>
          <w:p w14:paraId="32DF207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platnosti vykonávacej dohody</w:t>
            </w:r>
          </w:p>
        </w:tc>
        <w:tc>
          <w:tcPr>
            <w:tcW w:w="1320" w:type="dxa"/>
            <w:shd w:val="clear" w:color="auto" w:fill="C6EFCE"/>
            <w:noWrap/>
          </w:tcPr>
          <w:p w14:paraId="34ECD32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00" w:type="dxa"/>
            <w:shd w:val="clear" w:color="auto" w:fill="C6EFCE"/>
            <w:noWrap/>
          </w:tcPr>
          <w:p w14:paraId="7C6CCD1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7505C4D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shd w:val="clear" w:color="auto" w:fill="C6EFCE"/>
            <w:noWrap/>
          </w:tcPr>
          <w:p w14:paraId="795DA7A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40" w:type="dxa"/>
            <w:shd w:val="clear" w:color="auto" w:fill="C6EFCE"/>
            <w:noWrap/>
          </w:tcPr>
          <w:p w14:paraId="18F57E0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001" w:type="dxa"/>
            <w:shd w:val="clear" w:color="auto" w:fill="C6EFCE"/>
            <w:noWrap/>
          </w:tcPr>
          <w:p w14:paraId="1CF0634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platnosti vykonávacej dohody.</w:t>
            </w:r>
          </w:p>
        </w:tc>
      </w:tr>
      <w:tr w:rsidR="00302FC1" w:rsidRPr="00AB26B3" w14:paraId="6B4B5126" w14:textId="77777777">
        <w:trPr>
          <w:trHeight w:val="314"/>
          <w:jc w:val="center"/>
        </w:trPr>
        <w:tc>
          <w:tcPr>
            <w:tcW w:w="704" w:type="dxa"/>
            <w:shd w:val="clear" w:color="auto" w:fill="C6EFCE"/>
            <w:noWrap/>
            <w:hideMark/>
          </w:tcPr>
          <w:p w14:paraId="58BA8A88" w14:textId="77777777" w:rsidR="00302FC1" w:rsidRPr="00AB26B3" w:rsidRDefault="00D64F26">
            <w:pPr>
              <w:pStyle w:val="P68B1DB1-Normal12"/>
              <w:spacing w:after="0" w:line="240" w:lineRule="auto"/>
              <w:rPr>
                <w:noProof/>
                <w:spacing w:val="-6"/>
                <w:lang w:val="sk-SK"/>
              </w:rPr>
            </w:pPr>
            <w:r w:rsidRPr="00AB26B3">
              <w:rPr>
                <w:noProof/>
                <w:spacing w:val="-6"/>
                <w:lang w:val="sk-SK"/>
              </w:rPr>
              <w:t>379</w:t>
            </w:r>
          </w:p>
        </w:tc>
        <w:tc>
          <w:tcPr>
            <w:tcW w:w="1701" w:type="dxa"/>
            <w:shd w:val="clear" w:color="auto" w:fill="C6EFCE"/>
            <w:noWrap/>
            <w:hideMark/>
          </w:tcPr>
          <w:p w14:paraId="0761639E" w14:textId="374A672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16400_ Program cenovo dostupného bývania „Môj domov II“</w:t>
            </w:r>
          </w:p>
        </w:tc>
        <w:tc>
          <w:tcPr>
            <w:tcW w:w="1197" w:type="dxa"/>
            <w:shd w:val="clear" w:color="auto" w:fill="C6EFCE"/>
            <w:noWrap/>
          </w:tcPr>
          <w:p w14:paraId="3E376091" w14:textId="77777777" w:rsidR="00302FC1" w:rsidRPr="00AB26B3" w:rsidRDefault="00D64F26">
            <w:pPr>
              <w:pStyle w:val="P68B1DB1-Normal24"/>
              <w:spacing w:after="0" w:line="240" w:lineRule="auto"/>
              <w:rPr>
                <w:noProof/>
                <w:spacing w:val="-6"/>
                <w:lang w:val="sk-SK"/>
              </w:rPr>
            </w:pPr>
            <w:r w:rsidRPr="00AB26B3">
              <w:rPr>
                <w:noProof/>
                <w:spacing w:val="-6"/>
                <w:lang w:val="sk-SK"/>
              </w:rPr>
              <w:t>Cieľ</w:t>
            </w:r>
          </w:p>
        </w:tc>
        <w:tc>
          <w:tcPr>
            <w:tcW w:w="1320" w:type="dxa"/>
            <w:shd w:val="clear" w:color="auto" w:fill="C6EFCE"/>
            <w:noWrap/>
          </w:tcPr>
          <w:p w14:paraId="6D806F0B" w14:textId="403017E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Môj domov II – Právne dohody podpísané</w:t>
            </w:r>
            <w:r w:rsidR="00AB26B3" w:rsidRPr="00AB26B3">
              <w:rPr>
                <w:noProof/>
                <w:spacing w:val="-6"/>
                <w:lang w:val="sk-SK"/>
              </w:rPr>
              <w:t xml:space="preserve"> s </w:t>
            </w:r>
            <w:r w:rsidRPr="00AB26B3">
              <w:rPr>
                <w:noProof/>
                <w:spacing w:val="-6"/>
                <w:lang w:val="sk-SK"/>
              </w:rPr>
              <w:t>konečnými príjemcami – 50</w:t>
            </w:r>
            <w:r w:rsidR="00AB26B3" w:rsidRPr="00AB26B3">
              <w:rPr>
                <w:noProof/>
                <w:spacing w:val="-6"/>
                <w:lang w:val="sk-SK"/>
              </w:rPr>
              <w:t> %</w:t>
            </w:r>
          </w:p>
        </w:tc>
        <w:tc>
          <w:tcPr>
            <w:tcW w:w="1560" w:type="dxa"/>
            <w:shd w:val="clear" w:color="auto" w:fill="C6EFCE"/>
            <w:noWrap/>
          </w:tcPr>
          <w:p w14:paraId="7330E71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20" w:type="dxa"/>
            <w:shd w:val="clear" w:color="auto" w:fill="C6EFCE"/>
            <w:noWrap/>
          </w:tcPr>
          <w:p w14:paraId="361D4A9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Percentuálny podiel (%)</w:t>
            </w:r>
          </w:p>
        </w:tc>
        <w:tc>
          <w:tcPr>
            <w:tcW w:w="1200" w:type="dxa"/>
            <w:shd w:val="clear" w:color="auto" w:fill="C6EFCE"/>
            <w:noWrap/>
          </w:tcPr>
          <w:p w14:paraId="1CC2A353" w14:textId="2165D43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r w:rsidR="00AB26B3" w:rsidRPr="00AB26B3">
              <w:rPr>
                <w:noProof/>
                <w:spacing w:val="-6"/>
                <w:lang w:val="sk-SK"/>
              </w:rPr>
              <w:t> %</w:t>
            </w:r>
          </w:p>
        </w:tc>
        <w:tc>
          <w:tcPr>
            <w:tcW w:w="960" w:type="dxa"/>
            <w:shd w:val="clear" w:color="auto" w:fill="C6EFCE"/>
            <w:noWrap/>
          </w:tcPr>
          <w:p w14:paraId="72006A49" w14:textId="072F589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50</w:t>
            </w:r>
            <w:r w:rsidR="00AB26B3" w:rsidRPr="00AB26B3">
              <w:rPr>
                <w:noProof/>
                <w:spacing w:val="-6"/>
                <w:lang w:val="sk-SK"/>
              </w:rPr>
              <w:t> %</w:t>
            </w:r>
          </w:p>
        </w:tc>
        <w:tc>
          <w:tcPr>
            <w:tcW w:w="1080" w:type="dxa"/>
            <w:shd w:val="clear" w:color="auto" w:fill="C6EFCE"/>
            <w:noWrap/>
          </w:tcPr>
          <w:p w14:paraId="14FA692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40" w:type="dxa"/>
            <w:shd w:val="clear" w:color="auto" w:fill="C6EFCE"/>
            <w:noWrap/>
          </w:tcPr>
          <w:p w14:paraId="65A0058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001" w:type="dxa"/>
            <w:shd w:val="clear" w:color="auto" w:fill="C6EFCE"/>
            <w:noWrap/>
          </w:tcPr>
          <w:p w14:paraId="470022FE" w14:textId="072EFF6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Finanční sprostredkovatelia uzatvoria právne dohody</w:t>
            </w:r>
            <w:r w:rsidR="00AB26B3" w:rsidRPr="00AB26B3">
              <w:rPr>
                <w:noProof/>
                <w:spacing w:val="-6"/>
                <w:lang w:val="sk-SK"/>
              </w:rPr>
              <w:t xml:space="preserve"> o </w:t>
            </w:r>
            <w:r w:rsidRPr="00AB26B3">
              <w:rPr>
                <w:noProof/>
                <w:spacing w:val="-6"/>
                <w:lang w:val="sk-SK"/>
              </w:rPr>
              <w:t>financovaní</w:t>
            </w:r>
            <w:r w:rsidR="00AB26B3" w:rsidRPr="00AB26B3">
              <w:rPr>
                <w:noProof/>
                <w:spacing w:val="-6"/>
                <w:lang w:val="sk-SK"/>
              </w:rPr>
              <w:t xml:space="preserve"> s </w:t>
            </w:r>
            <w:r w:rsidRPr="00AB26B3">
              <w:rPr>
                <w:noProof/>
                <w:spacing w:val="-6"/>
                <w:lang w:val="sk-SK"/>
              </w:rPr>
              <w:t>konečnými príjemcami vo výške potrebnej na použitie aspoň 50</w:t>
            </w:r>
            <w:r w:rsidR="00AB26B3" w:rsidRPr="00AB26B3">
              <w:rPr>
                <w:noProof/>
                <w:spacing w:val="-6"/>
                <w:lang w:val="sk-SK"/>
              </w:rPr>
              <w:t> %</w:t>
            </w:r>
            <w:r w:rsidRPr="00AB26B3">
              <w:rPr>
                <w:noProof/>
                <w:spacing w:val="-6"/>
                <w:lang w:val="sk-SK"/>
              </w:rPr>
              <w:t xml:space="preserve"> investícií</w:t>
            </w:r>
            <w:r w:rsidR="00AB26B3" w:rsidRPr="00AB26B3">
              <w:rPr>
                <w:noProof/>
                <w:spacing w:val="-6"/>
                <w:lang w:val="sk-SK"/>
              </w:rPr>
              <w:t xml:space="preserve"> z </w:t>
            </w:r>
            <w:r w:rsidRPr="00AB26B3">
              <w:rPr>
                <w:noProof/>
                <w:spacing w:val="-6"/>
                <w:lang w:val="sk-SK"/>
              </w:rPr>
              <w:t>Mechanizmu na podporu obnovy</w:t>
            </w:r>
            <w:r w:rsidR="00AB26B3" w:rsidRPr="00AB26B3">
              <w:rPr>
                <w:noProof/>
                <w:spacing w:val="-6"/>
                <w:lang w:val="sk-SK"/>
              </w:rPr>
              <w:t xml:space="preserve"> a </w:t>
            </w:r>
            <w:r w:rsidRPr="00AB26B3">
              <w:rPr>
                <w:noProof/>
                <w:spacing w:val="-6"/>
                <w:lang w:val="sk-SK"/>
              </w:rPr>
              <w:t>odolnosti do mechanizmu „Môj domov II“ (s prihliadnutím na poplatky za správu).</w:t>
            </w:r>
          </w:p>
        </w:tc>
      </w:tr>
      <w:tr w:rsidR="00302FC1" w:rsidRPr="00AB26B3" w14:paraId="24C7437D" w14:textId="77777777">
        <w:trPr>
          <w:trHeight w:val="314"/>
          <w:jc w:val="center"/>
        </w:trPr>
        <w:tc>
          <w:tcPr>
            <w:tcW w:w="704" w:type="dxa"/>
            <w:shd w:val="clear" w:color="auto" w:fill="C6EFCE"/>
            <w:noWrap/>
          </w:tcPr>
          <w:p w14:paraId="437507B4" w14:textId="77777777" w:rsidR="00302FC1" w:rsidRPr="00AB26B3" w:rsidRDefault="00D64F26">
            <w:pPr>
              <w:pStyle w:val="P68B1DB1-Normal12"/>
              <w:spacing w:after="0" w:line="240" w:lineRule="auto"/>
              <w:rPr>
                <w:noProof/>
                <w:spacing w:val="-6"/>
                <w:lang w:val="sk-SK"/>
              </w:rPr>
            </w:pPr>
            <w:r w:rsidRPr="00AB26B3">
              <w:rPr>
                <w:noProof/>
                <w:spacing w:val="-6"/>
                <w:lang w:val="sk-SK"/>
              </w:rPr>
              <w:t>380</w:t>
            </w:r>
          </w:p>
        </w:tc>
        <w:tc>
          <w:tcPr>
            <w:tcW w:w="1701" w:type="dxa"/>
            <w:shd w:val="clear" w:color="auto" w:fill="C6EFCE"/>
            <w:noWrap/>
          </w:tcPr>
          <w:p w14:paraId="7BB5699E" w14:textId="110B81AE" w:rsidR="00302FC1" w:rsidRPr="00AB26B3" w:rsidRDefault="00D64F26">
            <w:pPr>
              <w:pStyle w:val="P68B1DB1-Normal12"/>
              <w:spacing w:after="0" w:line="240" w:lineRule="auto"/>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16400_ Program cenovo dostupného bývania „Môj domov II“</w:t>
            </w:r>
          </w:p>
        </w:tc>
        <w:tc>
          <w:tcPr>
            <w:tcW w:w="1197" w:type="dxa"/>
            <w:shd w:val="clear" w:color="auto" w:fill="C6EFCE"/>
            <w:noWrap/>
          </w:tcPr>
          <w:p w14:paraId="79A1BB72" w14:textId="77777777" w:rsidR="00302FC1" w:rsidRPr="00AB26B3" w:rsidRDefault="00D64F26">
            <w:pPr>
              <w:pStyle w:val="P68B1DB1-Normal24"/>
              <w:spacing w:after="0" w:line="240" w:lineRule="auto"/>
              <w:rPr>
                <w:noProof/>
                <w:spacing w:val="-6"/>
                <w:lang w:val="sk-SK"/>
              </w:rPr>
            </w:pPr>
            <w:r w:rsidRPr="00AB26B3">
              <w:rPr>
                <w:noProof/>
                <w:spacing w:val="-6"/>
                <w:lang w:val="sk-SK"/>
              </w:rPr>
              <w:t>Cieľ</w:t>
            </w:r>
          </w:p>
        </w:tc>
        <w:tc>
          <w:tcPr>
            <w:tcW w:w="1320" w:type="dxa"/>
            <w:shd w:val="clear" w:color="auto" w:fill="C6EFCE"/>
            <w:noWrap/>
          </w:tcPr>
          <w:p w14:paraId="4CA0F7BA" w14:textId="1D2E4FC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Môj domov II – Právne dohody podpísané</w:t>
            </w:r>
            <w:r w:rsidR="00AB26B3" w:rsidRPr="00AB26B3">
              <w:rPr>
                <w:noProof/>
                <w:spacing w:val="-6"/>
                <w:lang w:val="sk-SK"/>
              </w:rPr>
              <w:t xml:space="preserve"> s </w:t>
            </w:r>
            <w:r w:rsidRPr="00AB26B3">
              <w:rPr>
                <w:noProof/>
                <w:spacing w:val="-6"/>
                <w:lang w:val="sk-SK"/>
              </w:rPr>
              <w:t>konečnými príjemcami – 100</w:t>
            </w:r>
            <w:r w:rsidR="00AB26B3" w:rsidRPr="00AB26B3">
              <w:rPr>
                <w:noProof/>
                <w:spacing w:val="-6"/>
                <w:lang w:val="sk-SK"/>
              </w:rPr>
              <w:t> %</w:t>
            </w:r>
          </w:p>
        </w:tc>
        <w:tc>
          <w:tcPr>
            <w:tcW w:w="1560" w:type="dxa"/>
            <w:shd w:val="clear" w:color="auto" w:fill="C6EFCE"/>
            <w:noWrap/>
          </w:tcPr>
          <w:p w14:paraId="564C896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20" w:type="dxa"/>
            <w:shd w:val="clear" w:color="auto" w:fill="C6EFCE"/>
            <w:noWrap/>
          </w:tcPr>
          <w:p w14:paraId="513F8D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Percentuálny podiel (%)</w:t>
            </w:r>
          </w:p>
        </w:tc>
        <w:tc>
          <w:tcPr>
            <w:tcW w:w="1200" w:type="dxa"/>
            <w:shd w:val="clear" w:color="auto" w:fill="C6EFCE"/>
            <w:noWrap/>
          </w:tcPr>
          <w:p w14:paraId="0E2849B4" w14:textId="0471A1B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50</w:t>
            </w:r>
            <w:r w:rsidR="00AB26B3" w:rsidRPr="00AB26B3">
              <w:rPr>
                <w:noProof/>
                <w:spacing w:val="-6"/>
                <w:lang w:val="sk-SK"/>
              </w:rPr>
              <w:t> %</w:t>
            </w:r>
          </w:p>
        </w:tc>
        <w:tc>
          <w:tcPr>
            <w:tcW w:w="960" w:type="dxa"/>
            <w:shd w:val="clear" w:color="auto" w:fill="C6EFCE"/>
            <w:noWrap/>
          </w:tcPr>
          <w:p w14:paraId="3AA0426D" w14:textId="7294D99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100</w:t>
            </w:r>
            <w:r w:rsidR="00AB26B3" w:rsidRPr="00AB26B3">
              <w:rPr>
                <w:noProof/>
                <w:spacing w:val="-6"/>
                <w:lang w:val="sk-SK"/>
              </w:rPr>
              <w:t> %</w:t>
            </w:r>
          </w:p>
        </w:tc>
        <w:tc>
          <w:tcPr>
            <w:tcW w:w="1080" w:type="dxa"/>
            <w:shd w:val="clear" w:color="auto" w:fill="C6EFCE"/>
            <w:noWrap/>
          </w:tcPr>
          <w:p w14:paraId="312126B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40" w:type="dxa"/>
            <w:shd w:val="clear" w:color="auto" w:fill="C6EFCE"/>
            <w:noWrap/>
          </w:tcPr>
          <w:p w14:paraId="5FD8040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2026</w:t>
            </w:r>
          </w:p>
        </w:tc>
        <w:tc>
          <w:tcPr>
            <w:tcW w:w="4001" w:type="dxa"/>
            <w:shd w:val="clear" w:color="auto" w:fill="C6EFCE"/>
            <w:noWrap/>
          </w:tcPr>
          <w:p w14:paraId="7D1EE1BE" w14:textId="65A2E13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Finanční sprostredkovatelia uzatvoria právne dohody</w:t>
            </w:r>
            <w:r w:rsidR="00AB26B3" w:rsidRPr="00AB26B3">
              <w:rPr>
                <w:noProof/>
                <w:spacing w:val="-6"/>
                <w:lang w:val="sk-SK"/>
              </w:rPr>
              <w:t xml:space="preserve"> o </w:t>
            </w:r>
            <w:r w:rsidRPr="00AB26B3">
              <w:rPr>
                <w:noProof/>
                <w:spacing w:val="-6"/>
                <w:lang w:val="sk-SK"/>
              </w:rPr>
              <w:t>financovaní</w:t>
            </w:r>
            <w:r w:rsidR="00AB26B3" w:rsidRPr="00AB26B3">
              <w:rPr>
                <w:noProof/>
                <w:spacing w:val="-6"/>
                <w:lang w:val="sk-SK"/>
              </w:rPr>
              <w:t xml:space="preserve"> s </w:t>
            </w:r>
            <w:r w:rsidRPr="00AB26B3">
              <w:rPr>
                <w:noProof/>
                <w:spacing w:val="-6"/>
                <w:lang w:val="sk-SK"/>
              </w:rPr>
              <w:t>konečnými príjemcami vo výške potrebnej na použitie 100</w:t>
            </w:r>
            <w:r w:rsidR="00AB26B3" w:rsidRPr="00AB26B3">
              <w:rPr>
                <w:noProof/>
                <w:spacing w:val="-6"/>
                <w:lang w:val="sk-SK"/>
              </w:rPr>
              <w:t> %</w:t>
            </w:r>
            <w:r w:rsidRPr="00AB26B3">
              <w:rPr>
                <w:noProof/>
                <w:spacing w:val="-6"/>
                <w:lang w:val="sk-SK"/>
              </w:rPr>
              <w:t xml:space="preserve"> investícií</w:t>
            </w:r>
            <w:r w:rsidR="00AB26B3" w:rsidRPr="00AB26B3">
              <w:rPr>
                <w:noProof/>
                <w:spacing w:val="-6"/>
                <w:lang w:val="sk-SK"/>
              </w:rPr>
              <w:t xml:space="preserve"> z </w:t>
            </w:r>
            <w:r w:rsidRPr="00AB26B3">
              <w:rPr>
                <w:noProof/>
                <w:spacing w:val="-6"/>
                <w:lang w:val="sk-SK"/>
              </w:rPr>
              <w:t>Mechanizmu na podporu obnovy</w:t>
            </w:r>
            <w:r w:rsidR="00AB26B3" w:rsidRPr="00AB26B3">
              <w:rPr>
                <w:noProof/>
                <w:spacing w:val="-6"/>
                <w:lang w:val="sk-SK"/>
              </w:rPr>
              <w:t xml:space="preserve"> a </w:t>
            </w:r>
            <w:r w:rsidRPr="00AB26B3">
              <w:rPr>
                <w:noProof/>
                <w:spacing w:val="-6"/>
                <w:lang w:val="sk-SK"/>
              </w:rPr>
              <w:t>odolnosti do mechanizmu „Môj domov II“ (s prihliadnutím na poplatky za správu).</w:t>
            </w:r>
          </w:p>
        </w:tc>
      </w:tr>
      <w:tr w:rsidR="00302FC1" w:rsidRPr="00AB26B3" w14:paraId="2EF38E73" w14:textId="77777777">
        <w:trPr>
          <w:trHeight w:val="314"/>
          <w:jc w:val="center"/>
        </w:trPr>
        <w:tc>
          <w:tcPr>
            <w:tcW w:w="704" w:type="dxa"/>
            <w:shd w:val="clear" w:color="auto" w:fill="C6EFCE"/>
            <w:noWrap/>
          </w:tcPr>
          <w:p w14:paraId="0B74E9D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381</w:t>
            </w:r>
          </w:p>
        </w:tc>
        <w:tc>
          <w:tcPr>
            <w:tcW w:w="1701" w:type="dxa"/>
            <w:shd w:val="clear" w:color="auto" w:fill="C6EFCE"/>
            <w:noWrap/>
          </w:tcPr>
          <w:p w14:paraId="1F3C2910" w14:textId="0A685507" w:rsidR="00302FC1" w:rsidRPr="00AB26B3" w:rsidRDefault="00D64F26">
            <w:pPr>
              <w:pStyle w:val="P68B1DB1-Normal12"/>
              <w:spacing w:after="0" w:line="240" w:lineRule="auto"/>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16400_ Program cenovo dostupného bývania „Môj domov II“</w:t>
            </w:r>
          </w:p>
        </w:tc>
        <w:tc>
          <w:tcPr>
            <w:tcW w:w="1197" w:type="dxa"/>
            <w:shd w:val="clear" w:color="auto" w:fill="C6EFCE"/>
            <w:noWrap/>
          </w:tcPr>
          <w:p w14:paraId="62000E9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20" w:type="dxa"/>
            <w:shd w:val="clear" w:color="auto" w:fill="C6EFCE"/>
            <w:noWrap/>
          </w:tcPr>
          <w:p w14:paraId="373DD25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Môj domov II – Ministerstvo financií dokončilo investíciu</w:t>
            </w:r>
          </w:p>
        </w:tc>
        <w:tc>
          <w:tcPr>
            <w:tcW w:w="1560" w:type="dxa"/>
            <w:shd w:val="clear" w:color="auto" w:fill="C6EFCE"/>
            <w:noWrap/>
          </w:tcPr>
          <w:p w14:paraId="59BC0324" w14:textId="4973580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Osvedčenie</w:t>
            </w:r>
            <w:r w:rsidR="00AB26B3" w:rsidRPr="00AB26B3">
              <w:rPr>
                <w:noProof/>
                <w:spacing w:val="-6"/>
                <w:lang w:val="sk-SK"/>
              </w:rPr>
              <w:t xml:space="preserve"> o </w:t>
            </w:r>
            <w:r w:rsidRPr="00AB26B3">
              <w:rPr>
                <w:noProof/>
                <w:spacing w:val="-6"/>
                <w:lang w:val="sk-SK"/>
              </w:rPr>
              <w:t xml:space="preserve">premiestnení </w:t>
            </w:r>
          </w:p>
        </w:tc>
        <w:tc>
          <w:tcPr>
            <w:tcW w:w="1320" w:type="dxa"/>
            <w:shd w:val="clear" w:color="auto" w:fill="C6EFCE"/>
            <w:noWrap/>
          </w:tcPr>
          <w:p w14:paraId="1CD14F4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00" w:type="dxa"/>
            <w:shd w:val="clear" w:color="auto" w:fill="C6EFCE"/>
            <w:noWrap/>
          </w:tcPr>
          <w:p w14:paraId="24DA158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5D79B11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shd w:val="clear" w:color="auto" w:fill="C6EFCE"/>
            <w:noWrap/>
          </w:tcPr>
          <w:p w14:paraId="208C9F2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40" w:type="dxa"/>
            <w:shd w:val="clear" w:color="auto" w:fill="C6EFCE"/>
            <w:noWrap/>
          </w:tcPr>
          <w:p w14:paraId="4DC220B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2026</w:t>
            </w:r>
          </w:p>
        </w:tc>
        <w:tc>
          <w:tcPr>
            <w:tcW w:w="4001" w:type="dxa"/>
            <w:shd w:val="clear" w:color="auto" w:fill="C6EFCE"/>
            <w:noWrap/>
          </w:tcPr>
          <w:p w14:paraId="2B6DD0E4" w14:textId="1C9BF70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Grécko prevedie 1000 miliónov EUR Helénskej rozvojovej banke na nástroj.</w:t>
            </w:r>
          </w:p>
        </w:tc>
      </w:tr>
    </w:tbl>
    <w:p w14:paraId="50ACA087" w14:textId="7777777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15FC0">
          <w:headerReference w:type="even" r:id="rId202"/>
          <w:headerReference w:type="default" r:id="rId203"/>
          <w:footerReference w:type="even" r:id="rId204"/>
          <w:footerReference w:type="default" r:id="rId205"/>
          <w:headerReference w:type="first" r:id="rId206"/>
          <w:footerReference w:type="first" r:id="rId207"/>
          <w:pgSz w:w="16839" w:h="11907" w:orient="landscape"/>
          <w:pgMar w:top="720" w:right="720" w:bottom="720" w:left="720" w:header="709" w:footer="75" w:gutter="0"/>
          <w:cols w:space="720"/>
          <w:docGrid w:linePitch="360"/>
        </w:sectPr>
      </w:pPr>
    </w:p>
    <w:p w14:paraId="1AE4110C" w14:textId="77777777" w:rsidR="00302FC1" w:rsidRPr="00AB26B3" w:rsidRDefault="00D64F26">
      <w:pPr>
        <w:pStyle w:val="P68B1DB1-Normal16"/>
        <w:spacing w:before="120" w:after="120" w:line="240" w:lineRule="auto"/>
        <w:ind w:firstLine="6"/>
        <w:jc w:val="both"/>
        <w:outlineLvl w:val="3"/>
        <w:rPr>
          <w:rFonts w:cs="Times New Roman"/>
          <w:noProof/>
          <w:spacing w:val="-6"/>
          <w:szCs w:val="24"/>
          <w:lang w:val="sk-SK"/>
        </w:rPr>
      </w:pPr>
      <w:r w:rsidRPr="00AB26B3">
        <w:rPr>
          <w:noProof/>
          <w:spacing w:val="-6"/>
          <w:lang w:val="sk-SK"/>
        </w:rPr>
        <w:t>L. ZLOŽKA 4.1: ZABEZPEČENIE TOHO, ABY DANE VIAC PODPOROVALI RAST, A ZLEPŠENIE DAŇOVEJ SPRÁVY A VÝBERU DANÍ</w:t>
      </w:r>
    </w:p>
    <w:p w14:paraId="3A6EBC32" w14:textId="43C0331D"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Tento komponent gréckeho plánu obnovy</w:t>
      </w:r>
      <w:r w:rsidR="00AB26B3" w:rsidRPr="00AB26B3">
        <w:rPr>
          <w:noProof/>
          <w:spacing w:val="-6"/>
          <w:lang w:val="sk-SK"/>
        </w:rPr>
        <w:t xml:space="preserve"> a </w:t>
      </w:r>
      <w:r w:rsidRPr="00AB26B3">
        <w:rPr>
          <w:noProof/>
          <w:spacing w:val="-6"/>
          <w:lang w:val="sk-SK"/>
        </w:rPr>
        <w:t>odolnosti zahŕňa cielené reformy</w:t>
      </w:r>
      <w:r w:rsidR="00AB26B3" w:rsidRPr="00AB26B3">
        <w:rPr>
          <w:noProof/>
          <w:spacing w:val="-6"/>
          <w:lang w:val="sk-SK"/>
        </w:rPr>
        <w:t xml:space="preserve"> a </w:t>
      </w:r>
      <w:r w:rsidRPr="00AB26B3">
        <w:rPr>
          <w:noProof/>
          <w:spacing w:val="-6"/>
          <w:lang w:val="sk-SK"/>
        </w:rPr>
        <w:t>investície</w:t>
      </w:r>
      <w:r w:rsidR="00AB26B3" w:rsidRPr="00AB26B3">
        <w:rPr>
          <w:noProof/>
          <w:spacing w:val="-6"/>
          <w:lang w:val="sk-SK"/>
        </w:rPr>
        <w:t xml:space="preserve"> s </w:t>
      </w:r>
      <w:r w:rsidRPr="00AB26B3">
        <w:rPr>
          <w:noProof/>
          <w:spacing w:val="-6"/>
          <w:lang w:val="sk-SK"/>
        </w:rPr>
        <w:t>cieľom naďalej zlepšovať fungovanie správy verejných príjmov</w:t>
      </w:r>
      <w:r w:rsidR="00AB26B3" w:rsidRPr="00AB26B3">
        <w:rPr>
          <w:noProof/>
          <w:spacing w:val="-6"/>
          <w:lang w:val="sk-SK"/>
        </w:rPr>
        <w:t xml:space="preserve"> a </w:t>
      </w:r>
      <w:r w:rsidRPr="00AB26B3">
        <w:rPr>
          <w:noProof/>
          <w:spacing w:val="-6"/>
          <w:lang w:val="sk-SK"/>
        </w:rPr>
        <w:t>bojovať proti daňovým únikom. Po prvé, táto zložka zahŕňa reformy daňovej politiky</w:t>
      </w:r>
      <w:r w:rsidR="00AB26B3" w:rsidRPr="00AB26B3">
        <w:rPr>
          <w:noProof/>
          <w:spacing w:val="-6"/>
          <w:lang w:val="sk-SK"/>
        </w:rPr>
        <w:t xml:space="preserve"> s </w:t>
      </w:r>
      <w:r w:rsidRPr="00AB26B3">
        <w:rPr>
          <w:noProof/>
          <w:spacing w:val="-6"/>
          <w:lang w:val="sk-SK"/>
        </w:rPr>
        <w:t>cieľom uľahčiť kodifikáciu daňových právnych predpisov, ako aj zaviesť stimuly na zlepšenie elektronických transakcií, podporu zelených</w:t>
      </w:r>
      <w:r w:rsidR="00AB26B3" w:rsidRPr="00AB26B3">
        <w:rPr>
          <w:noProof/>
          <w:spacing w:val="-6"/>
          <w:lang w:val="sk-SK"/>
        </w:rPr>
        <w:t xml:space="preserve"> a </w:t>
      </w:r>
      <w:r w:rsidRPr="00AB26B3">
        <w:rPr>
          <w:noProof/>
          <w:spacing w:val="-6"/>
          <w:lang w:val="sk-SK"/>
        </w:rPr>
        <w:t>digitálnych súkromných investícií</w:t>
      </w:r>
      <w:r w:rsidR="00AB26B3" w:rsidRPr="00AB26B3">
        <w:rPr>
          <w:noProof/>
          <w:spacing w:val="-6"/>
          <w:lang w:val="sk-SK"/>
        </w:rPr>
        <w:t xml:space="preserve"> a </w:t>
      </w:r>
      <w:r w:rsidRPr="00AB26B3">
        <w:rPr>
          <w:noProof/>
          <w:spacing w:val="-6"/>
          <w:lang w:val="sk-SK"/>
        </w:rPr>
        <w:t>zvýšenie veľkosti podnikov. Po druhé, komponent obsahuje reformy</w:t>
      </w:r>
      <w:r w:rsidR="00AB26B3" w:rsidRPr="00AB26B3">
        <w:rPr>
          <w:noProof/>
          <w:spacing w:val="-6"/>
          <w:lang w:val="sk-SK"/>
        </w:rPr>
        <w:t xml:space="preserve"> a </w:t>
      </w:r>
      <w:r w:rsidRPr="00AB26B3">
        <w:rPr>
          <w:noProof/>
          <w:spacing w:val="-6"/>
          <w:lang w:val="sk-SK"/>
        </w:rPr>
        <w:t>investície zamerané na transformáciu správy verejných príjmov prostredníctvom digitalizácie procesov</w:t>
      </w:r>
      <w:r w:rsidR="00AB26B3" w:rsidRPr="00AB26B3">
        <w:rPr>
          <w:noProof/>
          <w:spacing w:val="-6"/>
          <w:lang w:val="sk-SK"/>
        </w:rPr>
        <w:t xml:space="preserve"> a </w:t>
      </w:r>
      <w:r w:rsidRPr="00AB26B3">
        <w:rPr>
          <w:noProof/>
          <w:spacing w:val="-6"/>
          <w:lang w:val="sk-SK"/>
        </w:rPr>
        <w:t>zavedenia legislatívnych iniciatív na boj proti prevádzačstvu</w:t>
      </w:r>
      <w:r w:rsidR="00AB26B3" w:rsidRPr="00AB26B3">
        <w:rPr>
          <w:noProof/>
          <w:spacing w:val="-6"/>
          <w:lang w:val="sk-SK"/>
        </w:rPr>
        <w:t xml:space="preserve"> a </w:t>
      </w:r>
      <w:r w:rsidRPr="00AB26B3">
        <w:rPr>
          <w:noProof/>
          <w:spacing w:val="-6"/>
          <w:lang w:val="sk-SK"/>
        </w:rPr>
        <w:t>podporu urýchlenia vrátenia DPH.</w:t>
      </w:r>
    </w:p>
    <w:p w14:paraId="4536A4E7" w14:textId="1420A47B"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Komponent prispieva</w:t>
      </w:r>
      <w:r w:rsidR="00AB26B3" w:rsidRPr="00AB26B3">
        <w:rPr>
          <w:noProof/>
          <w:spacing w:val="-6"/>
          <w:lang w:val="sk-SK"/>
        </w:rPr>
        <w:t xml:space="preserve"> k </w:t>
      </w:r>
      <w:r w:rsidRPr="00AB26B3">
        <w:rPr>
          <w:noProof/>
          <w:spacing w:val="-6"/>
          <w:lang w:val="sk-SK"/>
        </w:rPr>
        <w:t>digitálnej transformácii nahradením</w:t>
      </w:r>
      <w:r w:rsidR="00AB26B3" w:rsidRPr="00AB26B3">
        <w:rPr>
          <w:noProof/>
          <w:spacing w:val="-6"/>
          <w:lang w:val="sk-SK"/>
        </w:rPr>
        <w:t xml:space="preserve"> a </w:t>
      </w:r>
      <w:r w:rsidRPr="00AB26B3">
        <w:rPr>
          <w:noProof/>
          <w:spacing w:val="-6"/>
          <w:lang w:val="sk-SK"/>
        </w:rPr>
        <w:t>modernizáciou základných digitálnych systémov nezávislého orgánu pre verejné príjmy (IAPR), zavedením automatizovaných kancelárskych</w:t>
      </w:r>
      <w:r w:rsidR="00AB26B3" w:rsidRPr="00AB26B3">
        <w:rPr>
          <w:noProof/>
          <w:spacing w:val="-6"/>
          <w:lang w:val="sk-SK"/>
        </w:rPr>
        <w:t xml:space="preserve"> a </w:t>
      </w:r>
      <w:r w:rsidRPr="00AB26B3">
        <w:rPr>
          <w:noProof/>
          <w:spacing w:val="-6"/>
          <w:lang w:val="sk-SK"/>
        </w:rPr>
        <w:t>pracovných procesov, digitalizáciou auditov</w:t>
      </w:r>
      <w:r w:rsidR="00AB26B3" w:rsidRPr="00AB26B3">
        <w:rPr>
          <w:noProof/>
          <w:spacing w:val="-6"/>
          <w:lang w:val="sk-SK"/>
        </w:rPr>
        <w:t xml:space="preserve"> a </w:t>
      </w:r>
      <w:r w:rsidRPr="00AB26B3">
        <w:rPr>
          <w:noProof/>
          <w:spacing w:val="-6"/>
          <w:lang w:val="sk-SK"/>
        </w:rPr>
        <w:t>kontrol, ako aj aktualizáciou</w:t>
      </w:r>
      <w:r w:rsidR="00AB26B3" w:rsidRPr="00AB26B3">
        <w:rPr>
          <w:noProof/>
          <w:spacing w:val="-6"/>
          <w:lang w:val="sk-SK"/>
        </w:rPr>
        <w:t xml:space="preserve"> a </w:t>
      </w:r>
      <w:r w:rsidRPr="00AB26B3">
        <w:rPr>
          <w:noProof/>
          <w:spacing w:val="-6"/>
          <w:lang w:val="sk-SK"/>
        </w:rPr>
        <w:t>zlepšením elektronických služieb pre daňovníkov.</w:t>
      </w:r>
    </w:p>
    <w:p w14:paraId="5C610A7B" w14:textId="2ABA035C"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Tento komponent podporuje plnenie odporúčaní pre danú krajinu týkajúcich sa verejných</w:t>
      </w:r>
      <w:r w:rsidR="00AB26B3" w:rsidRPr="00AB26B3">
        <w:rPr>
          <w:noProof/>
          <w:spacing w:val="-6"/>
          <w:lang w:val="sk-SK"/>
        </w:rPr>
        <w:t xml:space="preserve"> a </w:t>
      </w:r>
      <w:r w:rsidRPr="00AB26B3">
        <w:rPr>
          <w:noProof/>
          <w:spacing w:val="-6"/>
          <w:lang w:val="sk-SK"/>
        </w:rPr>
        <w:t xml:space="preserve">súkromných investícií (odporúčanie pre danú krajinu </w:t>
      </w:r>
      <w:r w:rsidR="00AB26B3" w:rsidRPr="00AB26B3">
        <w:rPr>
          <w:noProof/>
          <w:spacing w:val="-6"/>
          <w:lang w:val="sk-SK"/>
        </w:rPr>
        <w:t>č. </w:t>
      </w:r>
      <w:r w:rsidRPr="00AB26B3">
        <w:rPr>
          <w:noProof/>
          <w:spacing w:val="-6"/>
          <w:lang w:val="sk-SK"/>
        </w:rPr>
        <w:t xml:space="preserve">3 2020), štrukturálnych reforiem na zlepšenie fungovania hospodárstva (odporúčanie pre danú krajinu </w:t>
      </w:r>
      <w:r w:rsidR="00AB26B3" w:rsidRPr="00AB26B3">
        <w:rPr>
          <w:noProof/>
          <w:spacing w:val="-6"/>
          <w:lang w:val="sk-SK"/>
        </w:rPr>
        <w:t>č. </w:t>
      </w:r>
      <w:r w:rsidRPr="00AB26B3">
        <w:rPr>
          <w:noProof/>
          <w:spacing w:val="-6"/>
          <w:lang w:val="sk-SK"/>
        </w:rPr>
        <w:t>4 2020)</w:t>
      </w:r>
      <w:r w:rsidR="00AB26B3" w:rsidRPr="00AB26B3">
        <w:rPr>
          <w:noProof/>
          <w:spacing w:val="-6"/>
          <w:lang w:val="sk-SK"/>
        </w:rPr>
        <w:t xml:space="preserve"> a </w:t>
      </w:r>
      <w:r w:rsidRPr="00AB26B3">
        <w:rPr>
          <w:noProof/>
          <w:spacing w:val="-6"/>
          <w:lang w:val="sk-SK"/>
        </w:rPr>
        <w:t>daňovej politiky</w:t>
      </w:r>
      <w:r w:rsidR="00AB26B3" w:rsidRPr="00AB26B3">
        <w:rPr>
          <w:noProof/>
          <w:spacing w:val="-6"/>
          <w:lang w:val="sk-SK"/>
        </w:rPr>
        <w:t xml:space="preserve"> a </w:t>
      </w:r>
      <w:r w:rsidRPr="00AB26B3">
        <w:rPr>
          <w:noProof/>
          <w:spacing w:val="-6"/>
          <w:lang w:val="sk-SK"/>
        </w:rPr>
        <w:t xml:space="preserve">daňovej správy (odporúčanie pre danú krajinu </w:t>
      </w:r>
      <w:r w:rsidR="00AB26B3" w:rsidRPr="00AB26B3">
        <w:rPr>
          <w:noProof/>
          <w:spacing w:val="-6"/>
          <w:lang w:val="sk-SK"/>
        </w:rPr>
        <w:t>č. </w:t>
      </w:r>
      <w:r w:rsidRPr="00AB26B3">
        <w:rPr>
          <w:noProof/>
          <w:spacing w:val="-6"/>
          <w:lang w:val="sk-SK"/>
        </w:rPr>
        <w:t>1 2022</w:t>
      </w:r>
      <w:r w:rsidR="00AB26B3" w:rsidRPr="00AB26B3">
        <w:rPr>
          <w:noProof/>
          <w:spacing w:val="-6"/>
          <w:lang w:val="sk-SK"/>
        </w:rPr>
        <w:t xml:space="preserve"> a </w:t>
      </w:r>
      <w:r w:rsidRPr="00AB26B3">
        <w:rPr>
          <w:noProof/>
          <w:spacing w:val="-6"/>
          <w:lang w:val="sk-SK"/>
        </w:rPr>
        <w:t xml:space="preserve">odporúčanie pre danú krajinu </w:t>
      </w:r>
      <w:r w:rsidR="00AB26B3" w:rsidRPr="00AB26B3">
        <w:rPr>
          <w:noProof/>
          <w:spacing w:val="-6"/>
          <w:lang w:val="sk-SK"/>
        </w:rPr>
        <w:t>č. </w:t>
      </w:r>
      <w:r w:rsidRPr="00AB26B3">
        <w:rPr>
          <w:noProof/>
          <w:spacing w:val="-6"/>
          <w:lang w:val="sk-SK"/>
        </w:rPr>
        <w:t>1 2023).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11DC055A" w14:textId="4DC374C7"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L.1.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40C5FA0E"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daňových auditov (opatrenie ID 16611)</w:t>
      </w:r>
    </w:p>
    <w:p w14:paraId="2BC51E09" w14:textId="4B729F7A" w:rsidR="00302FC1" w:rsidRPr="00AB26B3" w:rsidRDefault="00D64F26">
      <w:pPr>
        <w:pStyle w:val="P68B1DB1-Normal8"/>
        <w:spacing w:before="120" w:after="120" w:line="240" w:lineRule="auto"/>
        <w:jc w:val="both"/>
        <w:rPr>
          <w:rFonts w:ascii="Times New Roman" w:hAnsi="Times New Roman"/>
          <w:noProof/>
          <w:spacing w:val="-6"/>
          <w:lang w:val="sk-SK"/>
        </w:rPr>
      </w:pPr>
      <w:r w:rsidRPr="00AB26B3">
        <w:rPr>
          <w:rFonts w:ascii="Times New Roman" w:hAnsi="Times New Roman"/>
          <w:noProof/>
          <w:spacing w:val="-6"/>
          <w:lang w:val="sk-SK"/>
        </w:rPr>
        <w:t>Cieľom investície je i) uľahčiť automatické vypĺňanie daňových priznaní; zvýšiť účinnosť daňových auditov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výberu verejných príjmov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iii) zvýšiť účinnosť daňových auditov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bojovať proti pašovaniu.</w:t>
      </w:r>
      <w:r w:rsidRPr="00AB26B3">
        <w:rPr>
          <w:rFonts w:ascii="Times New Roman" w:eastAsiaTheme="minorEastAsia" w:hAnsi="Times New Roman" w:cstheme="minorBidi"/>
          <w:noProof/>
          <w:spacing w:val="-6"/>
          <w:lang w:val="sk-SK"/>
        </w:rPr>
        <w:t xml:space="preserve"> </w:t>
      </w:r>
      <w:r w:rsidRPr="00AB26B3">
        <w:rPr>
          <w:rFonts w:ascii="Times New Roman" w:hAnsi="Times New Roman"/>
          <w:noProof/>
          <w:spacing w:val="-6"/>
          <w:lang w:val="sk-SK"/>
        </w:rPr>
        <w:t>Opatrenie pozostáva</w:t>
      </w:r>
      <w:r w:rsidR="00AB26B3" w:rsidRPr="00AB26B3">
        <w:rPr>
          <w:rFonts w:ascii="Times New Roman" w:hAnsi="Times New Roman"/>
          <w:noProof/>
          <w:spacing w:val="-6"/>
          <w:lang w:val="sk-SK"/>
        </w:rPr>
        <w:t xml:space="preserve"> z </w:t>
      </w:r>
      <w:r w:rsidRPr="00AB26B3">
        <w:rPr>
          <w:rFonts w:ascii="Times New Roman" w:hAnsi="Times New Roman"/>
          <w:noProof/>
          <w:spacing w:val="-6"/>
          <w:lang w:val="sk-SK"/>
        </w:rPr>
        <w:t>poskytovania systému podnikovej inteligencie/analýzy údajov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uvedenia systému „ELEGXOSlive“ do prevádzky.</w:t>
      </w:r>
    </w:p>
    <w:p w14:paraId="2FDBA8CF" w14:textId="11CD47B3"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Kodifikácia</w:t>
      </w:r>
      <w:r w:rsidR="00AB26B3" w:rsidRPr="00AB26B3">
        <w:rPr>
          <w:noProof/>
          <w:spacing w:val="-6"/>
          <w:lang w:val="sk-SK"/>
        </w:rPr>
        <w:t xml:space="preserve"> a </w:t>
      </w:r>
      <w:r w:rsidRPr="00AB26B3">
        <w:rPr>
          <w:noProof/>
          <w:spacing w:val="-6"/>
          <w:lang w:val="sk-SK"/>
        </w:rPr>
        <w:t>zjednodušenie daňových právnych predpisov (opatrenie ID 16643)</w:t>
      </w:r>
    </w:p>
    <w:p w14:paraId="49455A94" w14:textId="79B6F3D8"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zvýšiť transparentnosť daňových</w:t>
      </w:r>
      <w:r w:rsidR="00AB26B3" w:rsidRPr="00AB26B3">
        <w:rPr>
          <w:noProof/>
          <w:spacing w:val="-6"/>
          <w:lang w:val="sk-SK"/>
        </w:rPr>
        <w:t xml:space="preserve"> a </w:t>
      </w:r>
      <w:r w:rsidRPr="00AB26B3">
        <w:rPr>
          <w:noProof/>
          <w:spacing w:val="-6"/>
          <w:lang w:val="sk-SK"/>
        </w:rPr>
        <w:t>colných predpisov</w:t>
      </w:r>
      <w:r w:rsidR="00AB26B3" w:rsidRPr="00AB26B3">
        <w:rPr>
          <w:noProof/>
          <w:spacing w:val="-6"/>
          <w:lang w:val="sk-SK"/>
        </w:rPr>
        <w:t xml:space="preserve"> a </w:t>
      </w:r>
      <w:r w:rsidRPr="00AB26B3">
        <w:rPr>
          <w:noProof/>
          <w:spacing w:val="-6"/>
          <w:lang w:val="sk-SK"/>
        </w:rPr>
        <w:t>zabezpečiť právnu istotu pre daňovú správu, daňovníkov</w:t>
      </w:r>
      <w:r w:rsidR="00AB26B3" w:rsidRPr="00AB26B3">
        <w:rPr>
          <w:noProof/>
          <w:spacing w:val="-6"/>
          <w:lang w:val="sk-SK"/>
        </w:rPr>
        <w:t xml:space="preserve"> a </w:t>
      </w:r>
      <w:r w:rsidRPr="00AB26B3">
        <w:rPr>
          <w:noProof/>
          <w:spacing w:val="-6"/>
          <w:lang w:val="sk-SK"/>
        </w:rPr>
        <w:t>podniky</w:t>
      </w:r>
      <w:r w:rsidR="00AB26B3" w:rsidRPr="00AB26B3">
        <w:rPr>
          <w:noProof/>
          <w:spacing w:val="-6"/>
          <w:lang w:val="sk-SK"/>
        </w:rPr>
        <w:t>.</w:t>
      </w:r>
    </w:p>
    <w:p w14:paraId="4FF5AD05" w14:textId="55F7ED7B" w:rsidR="00302FC1" w:rsidRPr="00AB26B3" w:rsidRDefault="00D64F26">
      <w:pPr>
        <w:pStyle w:val="P68B1DB1-Normal7"/>
        <w:spacing w:before="120" w:after="120" w:line="240" w:lineRule="auto"/>
        <w:jc w:val="both"/>
        <w:rPr>
          <w:noProof/>
          <w:spacing w:val="-6"/>
          <w:lang w:val="sk-SK"/>
        </w:rPr>
      </w:pPr>
      <w:r w:rsidRPr="00AB26B3">
        <w:rPr>
          <w:noProof/>
          <w:spacing w:val="-6"/>
          <w:lang w:val="sk-SK"/>
        </w:rPr>
        <w:t>Opatrenie pozostáva</w:t>
      </w:r>
      <w:r w:rsidR="00AB26B3" w:rsidRPr="00AB26B3">
        <w:rPr>
          <w:noProof/>
          <w:spacing w:val="-6"/>
          <w:lang w:val="sk-SK"/>
        </w:rPr>
        <w:t xml:space="preserve"> z </w:t>
      </w:r>
      <w:r w:rsidRPr="00AB26B3">
        <w:rPr>
          <w:noProof/>
          <w:spacing w:val="-6"/>
          <w:lang w:val="sk-SK"/>
        </w:rPr>
        <w:t>kodifikácie primárnej</w:t>
      </w:r>
      <w:r w:rsidR="00AB26B3" w:rsidRPr="00AB26B3">
        <w:rPr>
          <w:noProof/>
          <w:spacing w:val="-6"/>
          <w:lang w:val="sk-SK"/>
        </w:rPr>
        <w:t xml:space="preserve"> a </w:t>
      </w:r>
      <w:r w:rsidRPr="00AB26B3">
        <w:rPr>
          <w:noProof/>
          <w:spacing w:val="-6"/>
          <w:lang w:val="sk-SK"/>
        </w:rPr>
        <w:t>sekundárnej daňovej</w:t>
      </w:r>
      <w:r w:rsidR="00AB26B3" w:rsidRPr="00AB26B3">
        <w:rPr>
          <w:noProof/>
          <w:spacing w:val="-6"/>
          <w:lang w:val="sk-SK"/>
        </w:rPr>
        <w:t xml:space="preserve"> a </w:t>
      </w:r>
      <w:r w:rsidRPr="00AB26B3">
        <w:rPr>
          <w:noProof/>
          <w:spacing w:val="-6"/>
          <w:lang w:val="sk-SK"/>
        </w:rPr>
        <w:t>colnej legislatívy</w:t>
      </w:r>
      <w:r w:rsidR="00AB26B3" w:rsidRPr="00AB26B3">
        <w:rPr>
          <w:noProof/>
          <w:spacing w:val="-6"/>
          <w:lang w:val="sk-SK"/>
        </w:rPr>
        <w:t xml:space="preserve"> a </w:t>
      </w:r>
      <w:r w:rsidRPr="00AB26B3">
        <w:rPr>
          <w:noProof/>
          <w:spacing w:val="-6"/>
          <w:lang w:val="sk-SK"/>
        </w:rPr>
        <w:t>jej uverejnenia na osobitnom webovom sídle daňovníka.</w:t>
      </w:r>
    </w:p>
    <w:p w14:paraId="577C86A0"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Podpora urýchlenia vrátenia DPH (opatrenie ID 16610)</w:t>
      </w:r>
    </w:p>
    <w:p w14:paraId="5F4596DE" w14:textId="0A3432AA"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IAPR zjednoduší administratívne postupy vrátenia DPH pre podniky zavedením automatizovaných postupov vrátenia DPH, elektronickým predkladaním</w:t>
      </w:r>
      <w:r w:rsidR="00AB26B3" w:rsidRPr="00AB26B3">
        <w:rPr>
          <w:noProof/>
          <w:spacing w:val="-6"/>
          <w:lang w:val="sk-SK"/>
        </w:rPr>
        <w:t xml:space="preserve"> a </w:t>
      </w:r>
      <w:r w:rsidRPr="00AB26B3">
        <w:rPr>
          <w:noProof/>
          <w:spacing w:val="-6"/>
          <w:lang w:val="sk-SK"/>
        </w:rPr>
        <w:t>uľahčením procesu analýzy rizika</w:t>
      </w:r>
      <w:r w:rsidR="00AB26B3" w:rsidRPr="00AB26B3">
        <w:rPr>
          <w:noProof/>
          <w:spacing w:val="-6"/>
          <w:lang w:val="sk-SK"/>
        </w:rPr>
        <w:t xml:space="preserve"> v </w:t>
      </w:r>
      <w:r w:rsidRPr="00AB26B3">
        <w:rPr>
          <w:noProof/>
          <w:spacing w:val="-6"/>
          <w:lang w:val="sk-SK"/>
        </w:rPr>
        <w:t>prípade žiadostí</w:t>
      </w:r>
      <w:r w:rsidR="00AB26B3" w:rsidRPr="00AB26B3">
        <w:rPr>
          <w:noProof/>
          <w:spacing w:val="-6"/>
          <w:lang w:val="sk-SK"/>
        </w:rPr>
        <w:t xml:space="preserve"> o </w:t>
      </w:r>
      <w:r w:rsidRPr="00AB26B3">
        <w:rPr>
          <w:noProof/>
          <w:spacing w:val="-6"/>
          <w:lang w:val="sk-SK"/>
        </w:rPr>
        <w:t>vrátenie DPH. Cieľom nového procesu je obmedziť ľudský zásah prostredníctvom digitálnych transakcií</w:t>
      </w:r>
      <w:r w:rsidR="00AB26B3" w:rsidRPr="00AB26B3">
        <w:rPr>
          <w:noProof/>
          <w:spacing w:val="-6"/>
          <w:lang w:val="sk-SK"/>
        </w:rPr>
        <w:t xml:space="preserve"> a </w:t>
      </w:r>
      <w:r w:rsidRPr="00AB26B3">
        <w:rPr>
          <w:noProof/>
          <w:spacing w:val="-6"/>
          <w:lang w:val="sk-SK"/>
        </w:rPr>
        <w:t>riešiť oneskorenia pri vrátení DPH. Reforma musí byť</w:t>
      </w:r>
      <w:r w:rsidR="00AB26B3" w:rsidRPr="00AB26B3">
        <w:rPr>
          <w:noProof/>
          <w:spacing w:val="-6"/>
          <w:lang w:val="sk-SK"/>
        </w:rPr>
        <w:t xml:space="preserve"> v </w:t>
      </w:r>
      <w:r w:rsidRPr="00AB26B3">
        <w:rPr>
          <w:noProof/>
          <w:spacing w:val="-6"/>
          <w:lang w:val="sk-SK"/>
        </w:rPr>
        <w:t>súlade so smernicou</w:t>
      </w:r>
      <w:r w:rsidR="00AB26B3" w:rsidRPr="00AB26B3">
        <w:rPr>
          <w:noProof/>
          <w:spacing w:val="-6"/>
          <w:lang w:val="sk-SK"/>
        </w:rPr>
        <w:t xml:space="preserve"> o </w:t>
      </w:r>
      <w:r w:rsidRPr="00AB26B3">
        <w:rPr>
          <w:noProof/>
          <w:spacing w:val="-6"/>
          <w:lang w:val="sk-SK"/>
        </w:rPr>
        <w:t>vrátení DPH (smernica Rady 2008/9/ES). Implementácia reformy sa dokončí do 31</w:t>
      </w:r>
      <w:r w:rsidR="00AB26B3" w:rsidRPr="00AB26B3">
        <w:rPr>
          <w:noProof/>
          <w:spacing w:val="-6"/>
          <w:lang w:val="sk-SK"/>
        </w:rPr>
        <w:t>. decembra</w:t>
      </w:r>
      <w:r w:rsidRPr="00AB26B3">
        <w:rPr>
          <w:noProof/>
          <w:spacing w:val="-6"/>
          <w:lang w:val="sk-SK"/>
        </w:rPr>
        <w:t xml:space="preserve"> 2023.</w:t>
      </w:r>
    </w:p>
    <w:p w14:paraId="0BB9AE53" w14:textId="3EFD83BE"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Prijatie opatrení</w:t>
      </w:r>
      <w:r w:rsidR="00AB26B3" w:rsidRPr="00AB26B3">
        <w:rPr>
          <w:noProof/>
          <w:spacing w:val="-6"/>
          <w:lang w:val="sk-SK"/>
        </w:rPr>
        <w:t xml:space="preserve"> a </w:t>
      </w:r>
      <w:r w:rsidRPr="00AB26B3">
        <w:rPr>
          <w:noProof/>
          <w:spacing w:val="-6"/>
          <w:lang w:val="sk-SK"/>
        </w:rPr>
        <w:t>stimulov na zvýšenie počtu elektronických transakcií (opatrenie ID 16616)</w:t>
      </w:r>
    </w:p>
    <w:p w14:paraId="6D615A4D" w14:textId="7FB4E5DE"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reformy je znížiť administratívne zaťaženie podnikov</w:t>
      </w:r>
      <w:r w:rsidR="00AB26B3" w:rsidRPr="00AB26B3">
        <w:rPr>
          <w:noProof/>
          <w:spacing w:val="-6"/>
          <w:lang w:val="sk-SK"/>
        </w:rPr>
        <w:t xml:space="preserve"> a </w:t>
      </w:r>
      <w:r w:rsidRPr="00AB26B3">
        <w:rPr>
          <w:noProof/>
          <w:spacing w:val="-6"/>
          <w:lang w:val="sk-SK"/>
        </w:rPr>
        <w:t>zlepšiť dodržiavanie daňových predpisov podporou elektronických transakcií. IAPR využíva nástroj myDATA na elektronické vedenie účtovných kníh, elektronickú fakturáciu</w:t>
      </w:r>
      <w:r w:rsidR="00AB26B3" w:rsidRPr="00AB26B3">
        <w:rPr>
          <w:noProof/>
          <w:spacing w:val="-6"/>
          <w:lang w:val="sk-SK"/>
        </w:rPr>
        <w:t xml:space="preserve"> a </w:t>
      </w:r>
      <w:r w:rsidRPr="00AB26B3">
        <w:rPr>
          <w:noProof/>
          <w:spacing w:val="-6"/>
          <w:lang w:val="sk-SK"/>
        </w:rPr>
        <w:t>prepojenie všetkých registračných pokladníc so svojimi informačnými systémami</w:t>
      </w:r>
      <w:r w:rsidR="00AB26B3" w:rsidRPr="00AB26B3">
        <w:rPr>
          <w:noProof/>
          <w:spacing w:val="-6"/>
          <w:lang w:val="sk-SK"/>
        </w:rPr>
        <w:t xml:space="preserve"> s </w:t>
      </w:r>
      <w:r w:rsidRPr="00AB26B3">
        <w:rPr>
          <w:noProof/>
          <w:spacing w:val="-6"/>
          <w:lang w:val="sk-SK"/>
        </w:rPr>
        <w:t>cieľom uľahčiť automatické vypĺňanie daňových priznaní</w:t>
      </w:r>
      <w:r w:rsidR="00AB26B3" w:rsidRPr="00AB26B3">
        <w:rPr>
          <w:noProof/>
          <w:spacing w:val="-6"/>
          <w:lang w:val="sk-SK"/>
        </w:rPr>
        <w:t xml:space="preserve"> a </w:t>
      </w:r>
      <w:r w:rsidRPr="00AB26B3">
        <w:rPr>
          <w:noProof/>
          <w:spacing w:val="-6"/>
          <w:lang w:val="sk-SK"/>
        </w:rPr>
        <w:t>zvýšiť účinnosť daňových auditov. Implementácia daňových stimulov reformy sa dokončí do 31</w:t>
      </w:r>
      <w:r w:rsidR="00AB26B3" w:rsidRPr="00AB26B3">
        <w:rPr>
          <w:noProof/>
          <w:spacing w:val="-6"/>
          <w:lang w:val="sk-SK"/>
        </w:rPr>
        <w:t>. decembra</w:t>
      </w:r>
      <w:r w:rsidRPr="00AB26B3">
        <w:rPr>
          <w:noProof/>
          <w:spacing w:val="-6"/>
          <w:lang w:val="sk-SK"/>
        </w:rPr>
        <w:t xml:space="preserve"> 2023.</w:t>
      </w:r>
    </w:p>
    <w:p w14:paraId="4AD225FF" w14:textId="3838B8C3"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Super-odpočet výdavkov MSP na ekologické hospodárstvo, energetiku</w:t>
      </w:r>
      <w:r w:rsidR="00AB26B3" w:rsidRPr="00AB26B3">
        <w:rPr>
          <w:noProof/>
          <w:spacing w:val="-6"/>
          <w:lang w:val="sk-SK"/>
        </w:rPr>
        <w:t xml:space="preserve"> a </w:t>
      </w:r>
      <w:r w:rsidRPr="00AB26B3">
        <w:rPr>
          <w:noProof/>
          <w:spacing w:val="-6"/>
          <w:lang w:val="sk-SK"/>
        </w:rPr>
        <w:t>digitálnu transformáciu (opatrenie ID 16863)</w:t>
      </w:r>
    </w:p>
    <w:p w14:paraId="7B08825F" w14:textId="03CE7929"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Reforma pozostáva</w:t>
      </w:r>
      <w:r w:rsidR="00AB26B3" w:rsidRPr="00AB26B3">
        <w:rPr>
          <w:noProof/>
          <w:spacing w:val="-6"/>
          <w:lang w:val="sk-SK"/>
        </w:rPr>
        <w:t xml:space="preserve"> z </w:t>
      </w:r>
      <w:r w:rsidRPr="00AB26B3">
        <w:rPr>
          <w:noProof/>
          <w:spacing w:val="-6"/>
          <w:lang w:val="sk-SK"/>
        </w:rPr>
        <w:t>daňových stimulov na superodpočet výdavkov</w:t>
      </w:r>
      <w:r w:rsidR="00AB26B3" w:rsidRPr="00AB26B3">
        <w:rPr>
          <w:noProof/>
          <w:spacing w:val="-6"/>
          <w:lang w:val="sk-SK"/>
        </w:rPr>
        <w:t xml:space="preserve"> s </w:t>
      </w:r>
      <w:r w:rsidRPr="00AB26B3">
        <w:rPr>
          <w:noProof/>
          <w:spacing w:val="-6"/>
          <w:lang w:val="sk-SK"/>
        </w:rPr>
        <w:t>cieľom posilniť investície malých</w:t>
      </w:r>
      <w:r w:rsidR="00AB26B3" w:rsidRPr="00AB26B3">
        <w:rPr>
          <w:noProof/>
          <w:spacing w:val="-6"/>
          <w:lang w:val="sk-SK"/>
        </w:rPr>
        <w:t xml:space="preserve"> a </w:t>
      </w:r>
      <w:r w:rsidRPr="00AB26B3">
        <w:rPr>
          <w:noProof/>
          <w:spacing w:val="-6"/>
          <w:lang w:val="sk-SK"/>
        </w:rPr>
        <w:t>stredných podnikov do zariadení súvisiacich</w:t>
      </w:r>
      <w:r w:rsidR="00AB26B3" w:rsidRPr="00AB26B3">
        <w:rPr>
          <w:noProof/>
          <w:spacing w:val="-6"/>
          <w:lang w:val="sk-SK"/>
        </w:rPr>
        <w:t xml:space="preserve"> s </w:t>
      </w:r>
      <w:r w:rsidRPr="00AB26B3">
        <w:rPr>
          <w:noProof/>
          <w:spacing w:val="-6"/>
          <w:lang w:val="sk-SK"/>
        </w:rPr>
        <w:t>adaptáciou na zmenu klímy, podporou obehového hospodárstva</w:t>
      </w:r>
      <w:r w:rsidR="00AB26B3" w:rsidRPr="00AB26B3">
        <w:rPr>
          <w:noProof/>
          <w:spacing w:val="-6"/>
          <w:lang w:val="sk-SK"/>
        </w:rPr>
        <w:t xml:space="preserve"> a </w:t>
      </w:r>
      <w:r w:rsidRPr="00AB26B3">
        <w:rPr>
          <w:noProof/>
          <w:spacing w:val="-6"/>
          <w:lang w:val="sk-SK"/>
        </w:rPr>
        <w:t>digitalizáciou. Musí byť plne</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pravidlami EÚ</w:t>
      </w:r>
      <w:r w:rsidR="00AB26B3" w:rsidRPr="00AB26B3">
        <w:rPr>
          <w:noProof/>
          <w:spacing w:val="-6"/>
          <w:lang w:val="sk-SK"/>
        </w:rPr>
        <w:t xml:space="preserve"> o </w:t>
      </w:r>
      <w:r w:rsidRPr="00AB26B3">
        <w:rPr>
          <w:noProof/>
          <w:spacing w:val="-6"/>
          <w:lang w:val="sk-SK"/>
        </w:rPr>
        <w:t>štátnej pomoci. Implementácia daňových stimulov reformy sa dokončí do 31</w:t>
      </w:r>
      <w:r w:rsidR="00AB26B3" w:rsidRPr="00AB26B3">
        <w:rPr>
          <w:noProof/>
          <w:spacing w:val="-6"/>
          <w:lang w:val="sk-SK"/>
        </w:rPr>
        <w:t>. decembra</w:t>
      </w:r>
      <w:r w:rsidRPr="00AB26B3">
        <w:rPr>
          <w:noProof/>
          <w:spacing w:val="-6"/>
          <w:lang w:val="sk-SK"/>
        </w:rPr>
        <w:t xml:space="preserve"> 2024.</w:t>
      </w:r>
    </w:p>
    <w:p w14:paraId="107E7572" w14:textId="5D9C7618"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Nový rámec boja proti pašovaniu, najmä pokiaľ ide</w:t>
      </w:r>
      <w:r w:rsidR="00AB26B3" w:rsidRPr="00AB26B3">
        <w:rPr>
          <w:noProof/>
          <w:spacing w:val="-6"/>
          <w:lang w:val="sk-SK"/>
        </w:rPr>
        <w:t xml:space="preserve"> o </w:t>
      </w:r>
      <w:r w:rsidRPr="00AB26B3">
        <w:rPr>
          <w:noProof/>
          <w:spacing w:val="-6"/>
          <w:lang w:val="sk-SK"/>
        </w:rPr>
        <w:t>výrobky podliehajúce spotrebnej dani (tabak, alkohol</w:t>
      </w:r>
      <w:r w:rsidR="00AB26B3" w:rsidRPr="00AB26B3">
        <w:rPr>
          <w:noProof/>
          <w:spacing w:val="-6"/>
          <w:lang w:val="sk-SK"/>
        </w:rPr>
        <w:t xml:space="preserve"> a </w:t>
      </w:r>
      <w:r w:rsidRPr="00AB26B3">
        <w:rPr>
          <w:noProof/>
          <w:spacing w:val="-6"/>
          <w:lang w:val="sk-SK"/>
        </w:rPr>
        <w:t>energia) (opatrenie ID 16656)</w:t>
      </w:r>
    </w:p>
    <w:p w14:paraId="5E6C3E80" w14:textId="6E78BE12"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reformy je podporiť boj proti pašovaniu, najmä</w:t>
      </w:r>
      <w:r w:rsidR="00AB26B3" w:rsidRPr="00AB26B3">
        <w:rPr>
          <w:noProof/>
          <w:spacing w:val="-6"/>
          <w:lang w:val="sk-SK"/>
        </w:rPr>
        <w:t xml:space="preserve"> v </w:t>
      </w:r>
      <w:r w:rsidRPr="00AB26B3">
        <w:rPr>
          <w:noProof/>
          <w:spacing w:val="-6"/>
          <w:lang w:val="sk-SK"/>
        </w:rPr>
        <w:t>prípade výrobkov podliehajúcich spotrebnej dani (tabak, alkohol, energia) prostredníctvom modernizácie colných systémov sledovania, audítorských procesov</w:t>
      </w:r>
      <w:r w:rsidR="00AB26B3" w:rsidRPr="00AB26B3">
        <w:rPr>
          <w:noProof/>
          <w:spacing w:val="-6"/>
          <w:lang w:val="sk-SK"/>
        </w:rPr>
        <w:t xml:space="preserve"> a </w:t>
      </w:r>
      <w:r w:rsidRPr="00AB26B3">
        <w:rPr>
          <w:noProof/>
          <w:spacing w:val="-6"/>
          <w:lang w:val="sk-SK"/>
        </w:rPr>
        <w:t>vybavenia</w:t>
      </w:r>
      <w:r w:rsidR="00AB26B3" w:rsidRPr="00AB26B3">
        <w:rPr>
          <w:noProof/>
          <w:spacing w:val="-6"/>
          <w:lang w:val="sk-SK"/>
        </w:rPr>
        <w:t xml:space="preserve"> s </w:t>
      </w:r>
      <w:r w:rsidRPr="00AB26B3">
        <w:rPr>
          <w:noProof/>
          <w:spacing w:val="-6"/>
          <w:lang w:val="sk-SK"/>
        </w:rPr>
        <w:t>cieľom zvýšiť účinnosť auditov nákladu. To si vyžaduje aj modernizáciu informačných systémov agentúry IAPR potrebnú na získavanie informácií</w:t>
      </w:r>
      <w:r w:rsidR="00AB26B3" w:rsidRPr="00AB26B3">
        <w:rPr>
          <w:noProof/>
          <w:spacing w:val="-6"/>
          <w:lang w:val="sk-SK"/>
        </w:rPr>
        <w:t xml:space="preserve"> z </w:t>
      </w:r>
      <w:r w:rsidRPr="00AB26B3">
        <w:rPr>
          <w:noProof/>
          <w:spacing w:val="-6"/>
          <w:lang w:val="sk-SK"/>
        </w:rPr>
        <w:t>európskych</w:t>
      </w:r>
      <w:r w:rsidR="00AB26B3" w:rsidRPr="00AB26B3">
        <w:rPr>
          <w:noProof/>
          <w:spacing w:val="-6"/>
          <w:lang w:val="sk-SK"/>
        </w:rPr>
        <w:t xml:space="preserve"> a </w:t>
      </w:r>
      <w:r w:rsidRPr="00AB26B3">
        <w:rPr>
          <w:noProof/>
          <w:spacing w:val="-6"/>
          <w:lang w:val="sk-SK"/>
        </w:rPr>
        <w:t>vnútroštátnych databáz. Implementácia tejto reformy sa dokončí do 31</w:t>
      </w:r>
      <w:r w:rsidR="00AB26B3" w:rsidRPr="00AB26B3">
        <w:rPr>
          <w:noProof/>
          <w:spacing w:val="-6"/>
          <w:lang w:val="sk-SK"/>
        </w:rPr>
        <w:t>. decembra</w:t>
      </w:r>
      <w:r w:rsidRPr="00AB26B3">
        <w:rPr>
          <w:noProof/>
          <w:spacing w:val="-6"/>
          <w:lang w:val="sk-SK"/>
        </w:rPr>
        <w:t xml:space="preserve"> 2025.</w:t>
      </w:r>
    </w:p>
    <w:p w14:paraId="79A69528" w14:textId="327B131B"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 xml:space="preserve">Reforma: </w:t>
      </w:r>
      <w:r w:rsidRPr="00AB26B3">
        <w:rPr>
          <w:noProof/>
          <w:spacing w:val="-6"/>
          <w:lang w:val="sk-SK"/>
        </w:rPr>
        <w:t>Online registračné pokladnice</w:t>
      </w:r>
      <w:r w:rsidR="00AB26B3" w:rsidRPr="00AB26B3">
        <w:rPr>
          <w:noProof/>
          <w:spacing w:val="-6"/>
          <w:lang w:val="sk-SK"/>
        </w:rPr>
        <w:t xml:space="preserve"> a </w:t>
      </w:r>
      <w:r w:rsidRPr="00AB26B3">
        <w:rPr>
          <w:noProof/>
          <w:spacing w:val="-6"/>
          <w:lang w:val="sk-SK"/>
        </w:rPr>
        <w:t>POS (opatrenie ID 16614)</w:t>
      </w:r>
    </w:p>
    <w:p w14:paraId="06B50583" w14:textId="362404EE"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IAPR vypracuje rámec na uľahčenie prepojenia registračných pokladníc</w:t>
      </w:r>
      <w:r w:rsidR="00AB26B3" w:rsidRPr="00AB26B3">
        <w:rPr>
          <w:noProof/>
          <w:spacing w:val="-6"/>
          <w:lang w:val="sk-SK"/>
        </w:rPr>
        <w:t xml:space="preserve"> s </w:t>
      </w:r>
      <w:r w:rsidRPr="00AB26B3">
        <w:rPr>
          <w:noProof/>
          <w:spacing w:val="-6"/>
          <w:lang w:val="sk-SK"/>
        </w:rPr>
        <w:t>terminálmi na mieste predaja</w:t>
      </w:r>
      <w:r w:rsidR="00AB26B3" w:rsidRPr="00AB26B3">
        <w:rPr>
          <w:noProof/>
          <w:spacing w:val="-6"/>
          <w:lang w:val="sk-SK"/>
        </w:rPr>
        <w:t xml:space="preserve"> a </w:t>
      </w:r>
      <w:r w:rsidRPr="00AB26B3">
        <w:rPr>
          <w:noProof/>
          <w:spacing w:val="-6"/>
          <w:lang w:val="sk-SK"/>
        </w:rPr>
        <w:t>svojimi informačnými systémami. Tento projekt zahŕňa: I) stanovenie špecifikácií pre prepojenie registračných pokladníc</w:t>
      </w:r>
      <w:r w:rsidR="00AB26B3" w:rsidRPr="00AB26B3">
        <w:rPr>
          <w:noProof/>
          <w:spacing w:val="-6"/>
          <w:lang w:val="sk-SK"/>
        </w:rPr>
        <w:t xml:space="preserve"> s </w:t>
      </w:r>
      <w:r w:rsidRPr="00AB26B3">
        <w:rPr>
          <w:noProof/>
          <w:spacing w:val="-6"/>
          <w:lang w:val="sk-SK"/>
        </w:rPr>
        <w:t>terminálmi POS</w:t>
      </w:r>
      <w:r w:rsidR="00AB26B3" w:rsidRPr="00AB26B3">
        <w:rPr>
          <w:noProof/>
          <w:spacing w:val="-6"/>
          <w:lang w:val="sk-SK"/>
        </w:rPr>
        <w:t xml:space="preserve"> s </w:t>
      </w:r>
      <w:r w:rsidRPr="00AB26B3">
        <w:rPr>
          <w:noProof/>
          <w:spacing w:val="-6"/>
          <w:lang w:val="sk-SK"/>
        </w:rPr>
        <w:t>cieľom osvedčiť, že každá transakcia POS sa zaznamená</w:t>
      </w:r>
      <w:r w:rsidR="00AB26B3" w:rsidRPr="00AB26B3">
        <w:rPr>
          <w:noProof/>
          <w:spacing w:val="-6"/>
          <w:lang w:val="sk-SK"/>
        </w:rPr>
        <w:t xml:space="preserve"> v </w:t>
      </w:r>
      <w:r w:rsidRPr="00AB26B3">
        <w:rPr>
          <w:noProof/>
          <w:spacing w:val="-6"/>
          <w:lang w:val="sk-SK"/>
        </w:rPr>
        <w:t>registračnom pokladnici</w:t>
      </w:r>
      <w:r w:rsidR="00AB26B3" w:rsidRPr="00AB26B3">
        <w:rPr>
          <w:noProof/>
          <w:spacing w:val="-6"/>
          <w:lang w:val="sk-SK"/>
        </w:rPr>
        <w:t xml:space="preserve"> a </w:t>
      </w:r>
      <w:r w:rsidRPr="00AB26B3">
        <w:rPr>
          <w:noProof/>
          <w:spacing w:val="-6"/>
          <w:lang w:val="sk-SK"/>
        </w:rPr>
        <w:t>získané údaje sa</w:t>
      </w:r>
      <w:r w:rsidR="00AB26B3" w:rsidRPr="00AB26B3">
        <w:rPr>
          <w:noProof/>
          <w:spacing w:val="-6"/>
          <w:lang w:val="sk-SK"/>
        </w:rPr>
        <w:t xml:space="preserve"> v </w:t>
      </w:r>
      <w:r w:rsidRPr="00AB26B3">
        <w:rPr>
          <w:noProof/>
          <w:spacing w:val="-6"/>
          <w:lang w:val="sk-SK"/>
        </w:rPr>
        <w:t>takmer reálnom čase zašlú agentúre IAPR;</w:t>
      </w:r>
      <w:r w:rsidR="00AB26B3" w:rsidRPr="00AB26B3">
        <w:rPr>
          <w:noProof/>
          <w:spacing w:val="-6"/>
          <w:lang w:val="sk-SK"/>
        </w:rPr>
        <w:t xml:space="preserve"> a </w:t>
      </w:r>
      <w:r w:rsidRPr="00AB26B3">
        <w:rPr>
          <w:noProof/>
          <w:spacing w:val="-6"/>
          <w:lang w:val="sk-SK"/>
        </w:rPr>
        <w:t>ii) rozvoj infraštruktúry</w:t>
      </w:r>
      <w:r w:rsidR="00AB26B3" w:rsidRPr="00AB26B3">
        <w:rPr>
          <w:noProof/>
          <w:spacing w:val="-6"/>
          <w:lang w:val="sk-SK"/>
        </w:rPr>
        <w:t xml:space="preserve"> a </w:t>
      </w:r>
      <w:r w:rsidRPr="00AB26B3">
        <w:rPr>
          <w:noProof/>
          <w:spacing w:val="-6"/>
          <w:lang w:val="sk-SK"/>
        </w:rPr>
        <w:t>aplikácií na monitorovanie transakcií</w:t>
      </w:r>
      <w:r w:rsidR="00AB26B3" w:rsidRPr="00AB26B3">
        <w:rPr>
          <w:noProof/>
          <w:spacing w:val="-6"/>
          <w:lang w:val="sk-SK"/>
        </w:rPr>
        <w:t xml:space="preserve"> v </w:t>
      </w:r>
      <w:r w:rsidRPr="00AB26B3">
        <w:rPr>
          <w:noProof/>
          <w:spacing w:val="-6"/>
          <w:lang w:val="sk-SK"/>
        </w:rPr>
        <w:t>pokladniach</w:t>
      </w:r>
      <w:r w:rsidR="00AB26B3" w:rsidRPr="00AB26B3">
        <w:rPr>
          <w:noProof/>
          <w:spacing w:val="-6"/>
          <w:lang w:val="sk-SK"/>
        </w:rPr>
        <w:t xml:space="preserve"> a </w:t>
      </w:r>
      <w:r w:rsidRPr="00AB26B3">
        <w:rPr>
          <w:noProof/>
          <w:spacing w:val="-6"/>
          <w:lang w:val="sk-SK"/>
        </w:rPr>
        <w:t>podporu kontrolného mechanizmu. Cieľom opatrenia je po jeho dokončení obmedziť potenciál daňových únikov</w:t>
      </w:r>
      <w:r w:rsidR="00AB26B3" w:rsidRPr="00AB26B3">
        <w:rPr>
          <w:noProof/>
          <w:spacing w:val="-6"/>
          <w:lang w:val="sk-SK"/>
        </w:rPr>
        <w:t xml:space="preserve"> a v </w:t>
      </w:r>
      <w:r w:rsidRPr="00AB26B3">
        <w:rPr>
          <w:noProof/>
          <w:spacing w:val="-6"/>
          <w:lang w:val="sk-SK"/>
        </w:rPr>
        <w:t>konečnom dôsledku znížiť výpadok príjmov</w:t>
      </w:r>
      <w:r w:rsidR="00AB26B3" w:rsidRPr="00AB26B3">
        <w:rPr>
          <w:noProof/>
          <w:spacing w:val="-6"/>
          <w:lang w:val="sk-SK"/>
        </w:rPr>
        <w:t xml:space="preserve"> z </w:t>
      </w:r>
      <w:r w:rsidRPr="00AB26B3">
        <w:rPr>
          <w:noProof/>
          <w:spacing w:val="-6"/>
          <w:lang w:val="sk-SK"/>
        </w:rPr>
        <w:t>DPH. Implementácia tejto reformy sa dokončí do 30</w:t>
      </w:r>
      <w:r w:rsidR="00AB26B3" w:rsidRPr="00AB26B3">
        <w:rPr>
          <w:noProof/>
          <w:spacing w:val="-6"/>
          <w:lang w:val="sk-SK"/>
        </w:rPr>
        <w:t>. júna</w:t>
      </w:r>
      <w:r w:rsidRPr="00AB26B3">
        <w:rPr>
          <w:noProof/>
          <w:spacing w:val="-6"/>
          <w:lang w:val="sk-SK"/>
        </w:rPr>
        <w:t xml:space="preserve"> 2024.</w:t>
      </w:r>
    </w:p>
    <w:p w14:paraId="69A12E4E" w14:textId="6D89589E"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daňovej</w:t>
      </w:r>
      <w:r w:rsidR="00AB26B3" w:rsidRPr="00AB26B3">
        <w:rPr>
          <w:noProof/>
          <w:spacing w:val="-6"/>
          <w:lang w:val="sk-SK"/>
        </w:rPr>
        <w:t xml:space="preserve"> a </w:t>
      </w:r>
      <w:r w:rsidRPr="00AB26B3">
        <w:rPr>
          <w:noProof/>
          <w:spacing w:val="-6"/>
          <w:lang w:val="sk-SK"/>
        </w:rPr>
        <w:t>colnej správy (opatrenie ID 16291)</w:t>
      </w:r>
    </w:p>
    <w:p w14:paraId="677A5D9F" w14:textId="02A72BA2"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dosiahnuť digitálnu transformáciu správy príjmov</w:t>
      </w:r>
      <w:r w:rsidR="00AB26B3" w:rsidRPr="00AB26B3">
        <w:rPr>
          <w:noProof/>
          <w:spacing w:val="-6"/>
          <w:lang w:val="sk-SK"/>
        </w:rPr>
        <w:t xml:space="preserve"> a </w:t>
      </w:r>
      <w:r w:rsidRPr="00AB26B3">
        <w:rPr>
          <w:noProof/>
          <w:spacing w:val="-6"/>
          <w:lang w:val="sk-SK"/>
        </w:rPr>
        <w:t>služieb</w:t>
      </w:r>
      <w:r w:rsidR="00AB26B3" w:rsidRPr="00AB26B3">
        <w:rPr>
          <w:noProof/>
          <w:spacing w:val="-6"/>
          <w:lang w:val="sk-SK"/>
        </w:rPr>
        <w:t xml:space="preserve"> s </w:t>
      </w:r>
      <w:r w:rsidRPr="00AB26B3">
        <w:rPr>
          <w:noProof/>
          <w:spacing w:val="-6"/>
          <w:lang w:val="sk-SK"/>
        </w:rPr>
        <w:t xml:space="preserve">cieľom posilniť schopnosť IAPR plniť si povinnosti ako úplne nezávislý orgán (v súlade so splnomocňujúcim zákonom IAPR </w:t>
      </w:r>
      <w:r w:rsidR="00AB26B3" w:rsidRPr="00AB26B3">
        <w:rPr>
          <w:noProof/>
          <w:spacing w:val="-6"/>
          <w:lang w:val="sk-SK"/>
        </w:rPr>
        <w:t>č. </w:t>
      </w:r>
      <w:r w:rsidRPr="00AB26B3">
        <w:rPr>
          <w:noProof/>
          <w:spacing w:val="-6"/>
          <w:lang w:val="sk-SK"/>
        </w:rPr>
        <w:t>4389/2016)</w:t>
      </w:r>
      <w:r w:rsidR="00AB26B3" w:rsidRPr="00AB26B3">
        <w:rPr>
          <w:noProof/>
          <w:spacing w:val="-6"/>
          <w:lang w:val="sk-SK"/>
        </w:rPr>
        <w:t xml:space="preserve"> a </w:t>
      </w:r>
      <w:r w:rsidRPr="00AB26B3">
        <w:rPr>
          <w:noProof/>
          <w:spacing w:val="-6"/>
          <w:lang w:val="sk-SK"/>
        </w:rPr>
        <w:t>zlepšiť jeho celkovú výkonnosť zvýšením kvality služieb poskytovaných jednotlivcom</w:t>
      </w:r>
      <w:r w:rsidR="00AB26B3" w:rsidRPr="00AB26B3">
        <w:rPr>
          <w:noProof/>
          <w:spacing w:val="-6"/>
          <w:lang w:val="sk-SK"/>
        </w:rPr>
        <w:t xml:space="preserve"> a </w:t>
      </w:r>
      <w:r w:rsidRPr="00AB26B3">
        <w:rPr>
          <w:noProof/>
          <w:spacing w:val="-6"/>
          <w:lang w:val="sk-SK"/>
        </w:rPr>
        <w:t>podnikom. Touto investíciou sa konsolidujú čiastkové projekty digitálnej infraštruktúry, ktoré má realizovať IAPR, rozdelené do štyroch oblastí intervencie:</w:t>
      </w:r>
    </w:p>
    <w:p w14:paraId="5C667D31" w14:textId="50185DFD" w:rsidR="00302FC1" w:rsidRPr="00AB26B3" w:rsidRDefault="00D64F26">
      <w:pPr>
        <w:pStyle w:val="P68B1DB1-ListParagraph45"/>
        <w:numPr>
          <w:ilvl w:val="0"/>
          <w:numId w:val="36"/>
        </w:numPr>
        <w:spacing w:before="120" w:after="120" w:line="240" w:lineRule="auto"/>
        <w:ind w:left="426" w:hanging="426"/>
        <w:jc w:val="both"/>
        <w:rPr>
          <w:rFonts w:cs="Times New Roman"/>
          <w:noProof/>
          <w:spacing w:val="-6"/>
          <w:lang w:val="sk-SK"/>
        </w:rPr>
      </w:pPr>
      <w:r w:rsidRPr="00AB26B3">
        <w:rPr>
          <w:noProof/>
          <w:spacing w:val="-6"/>
          <w:lang w:val="sk-SK"/>
        </w:rPr>
        <w:t>Nahradenie základných digitálnych systémov</w:t>
      </w:r>
      <w:r w:rsidR="00AB26B3" w:rsidRPr="00AB26B3">
        <w:rPr>
          <w:noProof/>
          <w:spacing w:val="-6"/>
          <w:lang w:val="sk-SK"/>
        </w:rPr>
        <w:t xml:space="preserve"> a </w:t>
      </w:r>
      <w:r w:rsidRPr="00AB26B3">
        <w:rPr>
          <w:noProof/>
          <w:spacing w:val="-6"/>
          <w:lang w:val="sk-SK"/>
        </w:rPr>
        <w:t>rozšírenie funkčnosti poskytovania služieb vrátane zavedenia mechanizmov interoperability informačných systémov IAPR</w:t>
      </w:r>
      <w:r w:rsidR="00AB26B3" w:rsidRPr="00AB26B3">
        <w:rPr>
          <w:noProof/>
          <w:spacing w:val="-6"/>
          <w:lang w:val="sk-SK"/>
        </w:rPr>
        <w:t xml:space="preserve"> s </w:t>
      </w:r>
      <w:r w:rsidRPr="00AB26B3">
        <w:rPr>
          <w:noProof/>
          <w:spacing w:val="-6"/>
          <w:lang w:val="sk-SK"/>
        </w:rPr>
        <w:t>informačnými systémami bankových údajov;</w:t>
      </w:r>
    </w:p>
    <w:p w14:paraId="62DDB83C" w14:textId="46C40587" w:rsidR="00302FC1" w:rsidRPr="00AB26B3" w:rsidRDefault="00D64F26">
      <w:pPr>
        <w:pStyle w:val="P68B1DB1-ListParagraph45"/>
        <w:numPr>
          <w:ilvl w:val="0"/>
          <w:numId w:val="36"/>
        </w:numPr>
        <w:spacing w:before="120" w:after="120" w:line="240" w:lineRule="auto"/>
        <w:ind w:left="426" w:hanging="426"/>
        <w:jc w:val="both"/>
        <w:rPr>
          <w:rFonts w:cs="Times New Roman"/>
          <w:noProof/>
          <w:spacing w:val="-6"/>
          <w:lang w:val="sk-SK"/>
        </w:rPr>
      </w:pPr>
      <w:r w:rsidRPr="00AB26B3">
        <w:rPr>
          <w:noProof/>
          <w:spacing w:val="-6"/>
          <w:lang w:val="sk-SK"/>
        </w:rPr>
        <w:t>Automatizácia kancelárskych</w:t>
      </w:r>
      <w:r w:rsidR="00AB26B3" w:rsidRPr="00AB26B3">
        <w:rPr>
          <w:noProof/>
          <w:spacing w:val="-6"/>
          <w:lang w:val="sk-SK"/>
        </w:rPr>
        <w:t xml:space="preserve"> a </w:t>
      </w:r>
      <w:r w:rsidRPr="00AB26B3">
        <w:rPr>
          <w:noProof/>
          <w:spacing w:val="-6"/>
          <w:lang w:val="sk-SK"/>
        </w:rPr>
        <w:t>pracovných procesov;</w:t>
      </w:r>
    </w:p>
    <w:p w14:paraId="6EF1C42A" w14:textId="61EC1EF6" w:rsidR="00302FC1" w:rsidRPr="00AB26B3" w:rsidRDefault="00D64F26">
      <w:pPr>
        <w:pStyle w:val="P68B1DB1-ListParagraph45"/>
        <w:numPr>
          <w:ilvl w:val="0"/>
          <w:numId w:val="36"/>
        </w:numPr>
        <w:spacing w:before="120" w:after="120" w:line="240" w:lineRule="auto"/>
        <w:ind w:left="426" w:hanging="426"/>
        <w:jc w:val="both"/>
        <w:rPr>
          <w:rFonts w:cs="Times New Roman"/>
          <w:noProof/>
          <w:spacing w:val="-6"/>
          <w:lang w:val="sk-SK"/>
        </w:rPr>
      </w:pPr>
      <w:r w:rsidRPr="00AB26B3">
        <w:rPr>
          <w:noProof/>
          <w:spacing w:val="-6"/>
          <w:lang w:val="sk-SK"/>
        </w:rPr>
        <w:t>Digitalizácia auditov</w:t>
      </w:r>
      <w:r w:rsidR="00AB26B3" w:rsidRPr="00AB26B3">
        <w:rPr>
          <w:noProof/>
          <w:spacing w:val="-6"/>
          <w:lang w:val="sk-SK"/>
        </w:rPr>
        <w:t xml:space="preserve"> a </w:t>
      </w:r>
      <w:r w:rsidRPr="00AB26B3">
        <w:rPr>
          <w:noProof/>
          <w:spacing w:val="-6"/>
          <w:lang w:val="sk-SK"/>
        </w:rPr>
        <w:t>kontrol; podielu a</w:t>
      </w:r>
    </w:p>
    <w:p w14:paraId="4BFF6E73" w14:textId="77777777" w:rsidR="00302FC1" w:rsidRPr="00AB26B3" w:rsidRDefault="00D64F26">
      <w:pPr>
        <w:pStyle w:val="P68B1DB1-ListParagraph45"/>
        <w:numPr>
          <w:ilvl w:val="0"/>
          <w:numId w:val="36"/>
        </w:numPr>
        <w:spacing w:before="120" w:after="120" w:line="240" w:lineRule="auto"/>
        <w:ind w:left="426" w:hanging="426"/>
        <w:jc w:val="both"/>
        <w:rPr>
          <w:rFonts w:cs="Times New Roman"/>
          <w:noProof/>
          <w:spacing w:val="-6"/>
          <w:lang w:val="sk-SK"/>
        </w:rPr>
      </w:pPr>
      <w:r w:rsidRPr="00AB26B3">
        <w:rPr>
          <w:noProof/>
          <w:spacing w:val="-6"/>
          <w:lang w:val="sk-SK"/>
        </w:rPr>
        <w:t>Modernizácia služieb pre daňových poplatníkov.</w:t>
      </w:r>
    </w:p>
    <w:p w14:paraId="4123D958"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Úpravy gréckeho rámca daňovej politiky (identifikačné číslo opatrenia: 16985)</w:t>
      </w:r>
    </w:p>
    <w:p w14:paraId="1755CAE1" w14:textId="0446E702"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Cieľom reformy je bojovať proti daňovým únikom</w:t>
      </w:r>
      <w:r w:rsidR="00AB26B3" w:rsidRPr="00AB26B3">
        <w:rPr>
          <w:noProof/>
          <w:spacing w:val="-6"/>
          <w:lang w:val="sk-SK"/>
        </w:rPr>
        <w:t xml:space="preserve"> a </w:t>
      </w:r>
      <w:r w:rsidRPr="00AB26B3">
        <w:rPr>
          <w:noProof/>
          <w:spacing w:val="-6"/>
          <w:lang w:val="sk-SK"/>
        </w:rPr>
        <w:t>zlepšiť stimuly prostredníctvom podpory elektronických platieb</w:t>
      </w:r>
      <w:r w:rsidR="00AB26B3" w:rsidRPr="00AB26B3">
        <w:rPr>
          <w:noProof/>
          <w:spacing w:val="-6"/>
          <w:lang w:val="sk-SK"/>
        </w:rPr>
        <w:t xml:space="preserve"> a </w:t>
      </w:r>
      <w:r w:rsidRPr="00AB26B3">
        <w:rPr>
          <w:noProof/>
          <w:spacing w:val="-6"/>
          <w:lang w:val="sk-SK"/>
        </w:rPr>
        <w:t>zlepšenia štruktúry daní pre samostatne zárobkovo činné osoby, ako aj posilniť operačnú autonómiu daňovej správy. Touto reformou sa najmä: I) reformovať zdaňovanie samostatne zárobkovo činných osôb</w:t>
      </w:r>
      <w:r w:rsidR="00AB26B3" w:rsidRPr="00AB26B3">
        <w:rPr>
          <w:noProof/>
          <w:spacing w:val="-6"/>
          <w:lang w:val="sk-SK"/>
        </w:rPr>
        <w:t xml:space="preserve"> a </w:t>
      </w:r>
      <w:r w:rsidRPr="00AB26B3">
        <w:rPr>
          <w:noProof/>
          <w:spacing w:val="-6"/>
          <w:lang w:val="sk-SK"/>
        </w:rPr>
        <w:t>kolkovné; II) bojovať proti daňovým únikom rozšírením povinného prijímania elektronických platieb; III) stanoviť nové požiadavky na vykazovanie údajov zasielaných daňovej správe</w:t>
      </w:r>
      <w:r w:rsidR="00AB26B3" w:rsidRPr="00AB26B3">
        <w:rPr>
          <w:noProof/>
          <w:spacing w:val="-6"/>
          <w:lang w:val="sk-SK"/>
        </w:rPr>
        <w:t xml:space="preserve"> a </w:t>
      </w:r>
      <w:r w:rsidRPr="00AB26B3">
        <w:rPr>
          <w:noProof/>
          <w:spacing w:val="-6"/>
          <w:lang w:val="sk-SK"/>
        </w:rPr>
        <w:t>umožniť používanie týchto údajov na účely DPH</w:t>
      </w:r>
      <w:r w:rsidR="00AB26B3" w:rsidRPr="00AB26B3">
        <w:rPr>
          <w:noProof/>
          <w:spacing w:val="-6"/>
          <w:lang w:val="sk-SK"/>
        </w:rPr>
        <w:t xml:space="preserve"> a </w:t>
      </w:r>
      <w:r w:rsidRPr="00AB26B3">
        <w:rPr>
          <w:noProof/>
          <w:spacing w:val="-6"/>
          <w:lang w:val="sk-SK"/>
        </w:rPr>
        <w:t>dane</w:t>
      </w:r>
      <w:r w:rsidR="00AB26B3" w:rsidRPr="00AB26B3">
        <w:rPr>
          <w:noProof/>
          <w:spacing w:val="-6"/>
          <w:lang w:val="sk-SK"/>
        </w:rPr>
        <w:t xml:space="preserve"> z </w:t>
      </w:r>
      <w:r w:rsidRPr="00AB26B3">
        <w:rPr>
          <w:noProof/>
          <w:spacing w:val="-6"/>
          <w:lang w:val="sk-SK"/>
        </w:rPr>
        <w:t>príjmov;</w:t>
      </w:r>
      <w:r w:rsidR="00AB26B3" w:rsidRPr="00AB26B3">
        <w:rPr>
          <w:noProof/>
          <w:spacing w:val="-6"/>
          <w:lang w:val="sk-SK"/>
        </w:rPr>
        <w:t xml:space="preserve"> a </w:t>
      </w:r>
      <w:r w:rsidRPr="00AB26B3">
        <w:rPr>
          <w:noProof/>
          <w:spacing w:val="-6"/>
          <w:lang w:val="sk-SK"/>
        </w:rPr>
        <w:t>iv) posilniť prevádzkovú autonómiu, odolnosť</w:t>
      </w:r>
      <w:r w:rsidR="00AB26B3" w:rsidRPr="00AB26B3">
        <w:rPr>
          <w:noProof/>
          <w:spacing w:val="-6"/>
          <w:lang w:val="sk-SK"/>
        </w:rPr>
        <w:t xml:space="preserve"> a </w:t>
      </w:r>
      <w:r w:rsidRPr="00AB26B3">
        <w:rPr>
          <w:noProof/>
          <w:spacing w:val="-6"/>
          <w:lang w:val="sk-SK"/>
        </w:rPr>
        <w:t>úroveň zákazníckych služieb nezávislého orgánu pre verejné príjmy (IAPR).</w:t>
      </w:r>
    </w:p>
    <w:p w14:paraId="4006497C" w14:textId="675F0290"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Implementácia tejto reformy sa dokončí do 31</w:t>
      </w:r>
      <w:r w:rsidR="00AB26B3" w:rsidRPr="00AB26B3">
        <w:rPr>
          <w:noProof/>
          <w:spacing w:val="-6"/>
          <w:lang w:val="sk-SK"/>
        </w:rPr>
        <w:t>. decembra</w:t>
      </w:r>
      <w:r w:rsidRPr="00AB26B3">
        <w:rPr>
          <w:noProof/>
          <w:spacing w:val="-6"/>
          <w:lang w:val="sk-SK"/>
        </w:rPr>
        <w:t xml:space="preserve"> 2024.</w:t>
      </w:r>
    </w:p>
    <w:p w14:paraId="4C3DF7B5"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pPr>
    </w:p>
    <w:p w14:paraId="0054B68C"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208"/>
          <w:headerReference w:type="default" r:id="rId209"/>
          <w:footerReference w:type="even" r:id="rId210"/>
          <w:footerReference w:type="default" r:id="rId211"/>
          <w:headerReference w:type="first" r:id="rId212"/>
          <w:footerReference w:type="first" r:id="rId213"/>
          <w:pgSz w:w="11906" w:h="16838"/>
          <w:pgMar w:top="1417" w:right="1417" w:bottom="1417" w:left="1417" w:header="708" w:footer="708" w:gutter="0"/>
          <w:cols w:space="708"/>
          <w:docGrid w:linePitch="360"/>
        </w:sectPr>
      </w:pPr>
    </w:p>
    <w:p w14:paraId="4CEBB987" w14:textId="54081EF9"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L.2.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53F3B63A" w14:textId="4A9FB36F" w:rsidR="00302FC1" w:rsidRPr="00AB26B3" w:rsidRDefault="00D64F26">
      <w:pPr>
        <w:pStyle w:val="P68B1DB1-Normal9"/>
        <w:keepNext/>
        <w:keepLines/>
        <w:spacing w:before="40" w:after="0" w:line="240" w:lineRule="auto"/>
        <w:jc w:val="both"/>
        <w:outlineLvl w:val="4"/>
        <w:rPr>
          <w:rFonts w:ascii="Times New Roman" w:hAnsi="Times New Roman"/>
          <w:noProof/>
          <w:spacing w:val="-6"/>
          <w:lang w:val="sk-SK"/>
        </w:rPr>
      </w:pPr>
      <w:r w:rsidRPr="00AB26B3">
        <w:rPr>
          <w:rFonts w:ascii="Times New Roman" w:hAnsi="Times New Roman"/>
          <w:noProof/>
          <w:spacing w:val="-6"/>
          <w:lang w:val="sk-SK"/>
        </w:rPr>
        <w:t>Kľúčová reforma 8: Online registračné pokladnice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POS</w:t>
      </w:r>
    </w:p>
    <w:tbl>
      <w:tblPr>
        <w:tblW w:w="16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876"/>
        <w:gridCol w:w="1122"/>
        <w:gridCol w:w="1550"/>
        <w:gridCol w:w="2363"/>
        <w:gridCol w:w="1200"/>
        <w:gridCol w:w="1200"/>
        <w:gridCol w:w="960"/>
        <w:gridCol w:w="1119"/>
        <w:gridCol w:w="840"/>
        <w:gridCol w:w="3396"/>
      </w:tblGrid>
      <w:tr w:rsidR="00302FC1" w:rsidRPr="00AB26B3" w14:paraId="4EA031BC" w14:textId="77777777">
        <w:trPr>
          <w:trHeight w:val="798"/>
          <w:tblHeader/>
          <w:jc w:val="center"/>
        </w:trPr>
        <w:tc>
          <w:tcPr>
            <w:tcW w:w="757" w:type="dxa"/>
            <w:vMerge w:val="restart"/>
            <w:shd w:val="clear" w:color="auto" w:fill="BDD7EE"/>
            <w:vAlign w:val="center"/>
            <w:hideMark/>
          </w:tcPr>
          <w:p w14:paraId="46E8FC4C" w14:textId="7DEBC1E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1876" w:type="dxa"/>
            <w:vMerge w:val="restart"/>
            <w:shd w:val="clear" w:color="auto" w:fill="BDD7EE"/>
            <w:vAlign w:val="center"/>
            <w:hideMark/>
          </w:tcPr>
          <w:p w14:paraId="7323D60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22" w:type="dxa"/>
            <w:vMerge w:val="restart"/>
            <w:shd w:val="clear" w:color="auto" w:fill="BDD7EE"/>
            <w:vAlign w:val="center"/>
            <w:hideMark/>
          </w:tcPr>
          <w:p w14:paraId="40D6FCB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550" w:type="dxa"/>
            <w:vMerge w:val="restart"/>
            <w:shd w:val="clear" w:color="auto" w:fill="BDD7EE"/>
            <w:vAlign w:val="center"/>
            <w:hideMark/>
          </w:tcPr>
          <w:p w14:paraId="12AA1CF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2363" w:type="dxa"/>
            <w:vMerge w:val="restart"/>
            <w:shd w:val="clear" w:color="auto" w:fill="BDD7EE"/>
            <w:vAlign w:val="center"/>
            <w:hideMark/>
          </w:tcPr>
          <w:p w14:paraId="232564A8" w14:textId="4C596ECD"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360" w:type="dxa"/>
            <w:gridSpan w:val="3"/>
            <w:shd w:val="clear" w:color="auto" w:fill="BDD7EE"/>
            <w:vAlign w:val="center"/>
            <w:hideMark/>
          </w:tcPr>
          <w:p w14:paraId="6C93345B" w14:textId="4C149308"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920" w:type="dxa"/>
            <w:gridSpan w:val="2"/>
            <w:shd w:val="clear" w:color="auto" w:fill="BDD7EE"/>
            <w:vAlign w:val="center"/>
            <w:hideMark/>
          </w:tcPr>
          <w:p w14:paraId="664C712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396" w:type="dxa"/>
            <w:vMerge w:val="restart"/>
            <w:shd w:val="clear" w:color="auto" w:fill="BDD7EE"/>
            <w:vAlign w:val="center"/>
            <w:hideMark/>
          </w:tcPr>
          <w:p w14:paraId="1D9DED2A" w14:textId="61AD2911"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F0C6EE3" w14:textId="77777777">
        <w:trPr>
          <w:trHeight w:val="441"/>
          <w:jc w:val="center"/>
        </w:trPr>
        <w:tc>
          <w:tcPr>
            <w:tcW w:w="757" w:type="dxa"/>
            <w:vMerge/>
            <w:vAlign w:val="center"/>
            <w:hideMark/>
          </w:tcPr>
          <w:p w14:paraId="72A0CC17"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876" w:type="dxa"/>
            <w:vMerge/>
            <w:vAlign w:val="center"/>
            <w:hideMark/>
          </w:tcPr>
          <w:p w14:paraId="1DC2838C"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122" w:type="dxa"/>
            <w:vMerge/>
            <w:vAlign w:val="center"/>
            <w:hideMark/>
          </w:tcPr>
          <w:p w14:paraId="4A3D48A2"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550" w:type="dxa"/>
            <w:vMerge/>
            <w:vAlign w:val="center"/>
            <w:hideMark/>
          </w:tcPr>
          <w:p w14:paraId="2C18403A"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2363" w:type="dxa"/>
            <w:vMerge/>
            <w:vAlign w:val="center"/>
            <w:hideMark/>
          </w:tcPr>
          <w:p w14:paraId="3964AE96"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200" w:type="dxa"/>
            <w:shd w:val="clear" w:color="auto" w:fill="BDD7EE"/>
            <w:vAlign w:val="center"/>
            <w:hideMark/>
          </w:tcPr>
          <w:p w14:paraId="668A8F3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200" w:type="dxa"/>
            <w:shd w:val="clear" w:color="auto" w:fill="BDD7EE"/>
            <w:vAlign w:val="center"/>
            <w:hideMark/>
          </w:tcPr>
          <w:p w14:paraId="6CA4882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960" w:type="dxa"/>
            <w:shd w:val="clear" w:color="auto" w:fill="BDD7EE"/>
            <w:vAlign w:val="center"/>
            <w:hideMark/>
          </w:tcPr>
          <w:p w14:paraId="7F07CD8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1080" w:type="dxa"/>
            <w:shd w:val="clear" w:color="auto" w:fill="BDD7EE"/>
            <w:vAlign w:val="center"/>
            <w:hideMark/>
          </w:tcPr>
          <w:p w14:paraId="6963B49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840" w:type="dxa"/>
            <w:shd w:val="clear" w:color="auto" w:fill="BDD7EE"/>
            <w:vAlign w:val="center"/>
            <w:hideMark/>
          </w:tcPr>
          <w:p w14:paraId="3113DFE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396" w:type="dxa"/>
            <w:vMerge/>
            <w:vAlign w:val="center"/>
            <w:hideMark/>
          </w:tcPr>
          <w:p w14:paraId="62812244"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r>
      <w:tr w:rsidR="00302FC1" w:rsidRPr="00AB26B3" w14:paraId="5ED50B6B" w14:textId="77777777">
        <w:trPr>
          <w:trHeight w:val="309"/>
          <w:jc w:val="center"/>
        </w:trPr>
        <w:tc>
          <w:tcPr>
            <w:tcW w:w="757" w:type="dxa"/>
            <w:shd w:val="clear" w:color="auto" w:fill="C6EFCE"/>
            <w:noWrap/>
          </w:tcPr>
          <w:p w14:paraId="6B06A85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188</w:t>
            </w:r>
          </w:p>
        </w:tc>
        <w:tc>
          <w:tcPr>
            <w:tcW w:w="1876" w:type="dxa"/>
            <w:shd w:val="clear" w:color="auto" w:fill="C6EFCE"/>
            <w:noWrap/>
          </w:tcPr>
          <w:p w14:paraId="797431EB" w14:textId="16152948"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16614_Online registračné pokladnice</w:t>
            </w:r>
            <w:r w:rsidR="00AB26B3" w:rsidRPr="00AB26B3">
              <w:rPr>
                <w:noProof/>
                <w:spacing w:val="-6"/>
                <w:lang w:val="sk-SK"/>
              </w:rPr>
              <w:t xml:space="preserve"> a </w:t>
            </w:r>
            <w:r w:rsidRPr="00AB26B3">
              <w:rPr>
                <w:noProof/>
                <w:spacing w:val="-6"/>
                <w:lang w:val="sk-SK"/>
              </w:rPr>
              <w:t>POS (reforma)</w:t>
            </w:r>
          </w:p>
        </w:tc>
        <w:tc>
          <w:tcPr>
            <w:tcW w:w="1122" w:type="dxa"/>
            <w:shd w:val="clear" w:color="auto" w:fill="C6EFCE"/>
            <w:noWrap/>
          </w:tcPr>
          <w:p w14:paraId="79AC065E"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Míľnik</w:t>
            </w:r>
          </w:p>
        </w:tc>
        <w:tc>
          <w:tcPr>
            <w:tcW w:w="1550" w:type="dxa"/>
            <w:shd w:val="clear" w:color="auto" w:fill="C6EFCE"/>
            <w:noWrap/>
          </w:tcPr>
          <w:p w14:paraId="577D4A0B" w14:textId="7F792BDA"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Nezávislý orgán pre verejné príjmy (IAPR): Online registračné pokladnice</w:t>
            </w:r>
            <w:r w:rsidR="00AB26B3" w:rsidRPr="00AB26B3">
              <w:rPr>
                <w:noProof/>
                <w:spacing w:val="-6"/>
                <w:lang w:val="sk-SK"/>
              </w:rPr>
              <w:t xml:space="preserve"> a </w:t>
            </w:r>
            <w:r w:rsidRPr="00AB26B3">
              <w:rPr>
                <w:noProof/>
                <w:spacing w:val="-6"/>
                <w:lang w:val="sk-SK"/>
              </w:rPr>
              <w:t>predajné miesta – nadobudnutie účinnosti právneho rámca</w:t>
            </w:r>
          </w:p>
        </w:tc>
        <w:tc>
          <w:tcPr>
            <w:tcW w:w="2363" w:type="dxa"/>
            <w:shd w:val="clear" w:color="auto" w:fill="C6EFCE"/>
            <w:noWrap/>
          </w:tcPr>
          <w:p w14:paraId="7C8E789C"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Nadobudnutie účinnosti zákona</w:t>
            </w:r>
          </w:p>
        </w:tc>
        <w:tc>
          <w:tcPr>
            <w:tcW w:w="1200" w:type="dxa"/>
            <w:shd w:val="clear" w:color="auto" w:fill="C6EFCE"/>
            <w:noWrap/>
          </w:tcPr>
          <w:p w14:paraId="00B5F91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00" w:type="dxa"/>
            <w:shd w:val="clear" w:color="auto" w:fill="C6EFCE"/>
            <w:noWrap/>
          </w:tcPr>
          <w:p w14:paraId="60221AC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176B522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shd w:val="clear" w:color="auto" w:fill="C6EFCE"/>
            <w:noWrap/>
          </w:tcPr>
          <w:p w14:paraId="0B3BE7D5"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ŠTVRŤROK</w:t>
            </w:r>
          </w:p>
        </w:tc>
        <w:tc>
          <w:tcPr>
            <w:tcW w:w="840" w:type="dxa"/>
            <w:shd w:val="clear" w:color="auto" w:fill="C6EFCE"/>
            <w:noWrap/>
          </w:tcPr>
          <w:p w14:paraId="1439904D"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2022</w:t>
            </w:r>
          </w:p>
        </w:tc>
        <w:tc>
          <w:tcPr>
            <w:tcW w:w="3396" w:type="dxa"/>
            <w:shd w:val="clear" w:color="auto" w:fill="C6EFCE"/>
            <w:noWrap/>
          </w:tcPr>
          <w:p w14:paraId="7F619D1B" w14:textId="3A5962C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rozhodnutia nezávislého orgánu guvernéra verejných príjmov</w:t>
            </w:r>
            <w:r w:rsidR="00AB26B3" w:rsidRPr="00AB26B3">
              <w:rPr>
                <w:noProof/>
                <w:spacing w:val="-6"/>
                <w:lang w:val="sk-SK"/>
              </w:rPr>
              <w:t xml:space="preserve"> o </w:t>
            </w:r>
            <w:r w:rsidRPr="00AB26B3">
              <w:rPr>
                <w:noProof/>
                <w:spacing w:val="-6"/>
                <w:lang w:val="sk-SK"/>
              </w:rPr>
              <w:t xml:space="preserve">technických požiadavkách (na základe článku 12 zákona </w:t>
            </w:r>
            <w:r w:rsidR="00AB26B3" w:rsidRPr="00AB26B3">
              <w:rPr>
                <w:noProof/>
                <w:spacing w:val="-6"/>
                <w:lang w:val="sk-SK"/>
              </w:rPr>
              <w:t>č. </w:t>
            </w:r>
            <w:r w:rsidRPr="00AB26B3">
              <w:rPr>
                <w:noProof/>
                <w:spacing w:val="-6"/>
                <w:lang w:val="sk-SK"/>
              </w:rPr>
              <w:t>4308/2014)</w:t>
            </w:r>
            <w:r w:rsidR="00AB26B3" w:rsidRPr="00AB26B3">
              <w:rPr>
                <w:noProof/>
                <w:spacing w:val="-6"/>
                <w:lang w:val="sk-SK"/>
              </w:rPr>
              <w:t xml:space="preserve"> a </w:t>
            </w:r>
            <w:r w:rsidRPr="00AB26B3">
              <w:rPr>
                <w:noProof/>
                <w:spacing w:val="-6"/>
                <w:lang w:val="sk-SK"/>
              </w:rPr>
              <w:t>spoločného ministerského rozhodnutia</w:t>
            </w:r>
            <w:r w:rsidR="00AB26B3" w:rsidRPr="00AB26B3">
              <w:rPr>
                <w:noProof/>
                <w:spacing w:val="-6"/>
                <w:lang w:val="sk-SK"/>
              </w:rPr>
              <w:t xml:space="preserve"> o </w:t>
            </w:r>
            <w:r w:rsidRPr="00AB26B3">
              <w:rPr>
                <w:noProof/>
                <w:spacing w:val="-6"/>
                <w:lang w:val="sk-SK"/>
              </w:rPr>
              <w:t xml:space="preserve">elektronickom prenose údajov nezávislému orgánu pre verejné príjmy (na základe článku 15 zákona </w:t>
            </w:r>
            <w:r w:rsidR="00AB26B3" w:rsidRPr="00AB26B3">
              <w:rPr>
                <w:noProof/>
                <w:spacing w:val="-6"/>
                <w:lang w:val="sk-SK"/>
              </w:rPr>
              <w:t>č. </w:t>
            </w:r>
            <w:r w:rsidRPr="00AB26B3">
              <w:rPr>
                <w:noProof/>
                <w:spacing w:val="-6"/>
                <w:lang w:val="sk-SK"/>
              </w:rPr>
              <w:t>4174/2013),</w:t>
            </w:r>
            <w:r w:rsidR="00AB26B3" w:rsidRPr="00AB26B3">
              <w:rPr>
                <w:noProof/>
                <w:spacing w:val="-6"/>
                <w:lang w:val="sk-SK"/>
              </w:rPr>
              <w:t xml:space="preserve"> v </w:t>
            </w:r>
            <w:r w:rsidRPr="00AB26B3">
              <w:rPr>
                <w:noProof/>
                <w:spacing w:val="-6"/>
                <w:lang w:val="sk-SK"/>
              </w:rPr>
              <w:t>ktorom sa stanovia kľúčové prvky potrebné na prepojenie online registračných pokladníc</w:t>
            </w:r>
            <w:r w:rsidR="00AB26B3" w:rsidRPr="00AB26B3">
              <w:rPr>
                <w:noProof/>
                <w:spacing w:val="-6"/>
                <w:lang w:val="sk-SK"/>
              </w:rPr>
              <w:t xml:space="preserve"> a </w:t>
            </w:r>
            <w:r w:rsidRPr="00AB26B3">
              <w:rPr>
                <w:noProof/>
                <w:spacing w:val="-6"/>
                <w:lang w:val="sk-SK"/>
              </w:rPr>
              <w:t>systémov predajných miest</w:t>
            </w:r>
            <w:r w:rsidR="00AB26B3" w:rsidRPr="00AB26B3">
              <w:rPr>
                <w:noProof/>
                <w:spacing w:val="-6"/>
                <w:lang w:val="sk-SK"/>
              </w:rPr>
              <w:t xml:space="preserve"> s </w:t>
            </w:r>
            <w:r w:rsidRPr="00AB26B3">
              <w:rPr>
                <w:noProof/>
                <w:spacing w:val="-6"/>
                <w:lang w:val="sk-SK"/>
              </w:rPr>
              <w:t xml:space="preserve">nezávislým orgánom pre verejné príjmy vrátane prehodnotenia sankcií za registračné pokladnice (článok 54 zákona </w:t>
            </w:r>
            <w:r w:rsidR="00AB26B3" w:rsidRPr="00AB26B3">
              <w:rPr>
                <w:noProof/>
                <w:spacing w:val="-6"/>
                <w:lang w:val="sk-SK"/>
              </w:rPr>
              <w:t>č. </w:t>
            </w:r>
            <w:r w:rsidRPr="00AB26B3">
              <w:rPr>
                <w:noProof/>
                <w:spacing w:val="-6"/>
                <w:lang w:val="sk-SK"/>
              </w:rPr>
              <w:t>4174/2013).</w:t>
            </w:r>
          </w:p>
        </w:tc>
      </w:tr>
      <w:tr w:rsidR="00302FC1" w:rsidRPr="00AB26B3" w14:paraId="639B4AF7" w14:textId="77777777">
        <w:trPr>
          <w:trHeight w:val="309"/>
          <w:jc w:val="center"/>
        </w:trPr>
        <w:tc>
          <w:tcPr>
            <w:tcW w:w="757" w:type="dxa"/>
            <w:shd w:val="clear" w:color="auto" w:fill="C6EFCE"/>
            <w:noWrap/>
          </w:tcPr>
          <w:p w14:paraId="2E23F66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189</w:t>
            </w:r>
          </w:p>
        </w:tc>
        <w:tc>
          <w:tcPr>
            <w:tcW w:w="1876" w:type="dxa"/>
            <w:shd w:val="clear" w:color="auto" w:fill="C6EFCE"/>
            <w:noWrap/>
          </w:tcPr>
          <w:p w14:paraId="34B03119" w14:textId="7215CEE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16614_Online registračné pokladnice</w:t>
            </w:r>
            <w:r w:rsidR="00AB26B3" w:rsidRPr="00AB26B3">
              <w:rPr>
                <w:noProof/>
                <w:spacing w:val="-6"/>
                <w:lang w:val="sk-SK"/>
              </w:rPr>
              <w:t xml:space="preserve"> a </w:t>
            </w:r>
            <w:r w:rsidRPr="00AB26B3">
              <w:rPr>
                <w:noProof/>
                <w:spacing w:val="-6"/>
                <w:lang w:val="sk-SK"/>
              </w:rPr>
              <w:t>POS (reforma)</w:t>
            </w:r>
          </w:p>
        </w:tc>
        <w:tc>
          <w:tcPr>
            <w:tcW w:w="1122" w:type="dxa"/>
            <w:shd w:val="clear" w:color="auto" w:fill="C6EFCE"/>
            <w:noWrap/>
          </w:tcPr>
          <w:p w14:paraId="66584C98"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Cieľ</w:t>
            </w:r>
          </w:p>
        </w:tc>
        <w:tc>
          <w:tcPr>
            <w:tcW w:w="1550" w:type="dxa"/>
            <w:shd w:val="clear" w:color="auto" w:fill="C6EFCE"/>
            <w:noWrap/>
          </w:tcPr>
          <w:p w14:paraId="647F4C1E" w14:textId="2CDA371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Nezávislý orgán pre verejné príjmy: Online registračné pokladnice</w:t>
            </w:r>
            <w:r w:rsidR="00AB26B3" w:rsidRPr="00AB26B3">
              <w:rPr>
                <w:noProof/>
                <w:spacing w:val="-6"/>
                <w:lang w:val="sk-SK"/>
              </w:rPr>
              <w:t xml:space="preserve"> a </w:t>
            </w:r>
            <w:r w:rsidRPr="00AB26B3">
              <w:rPr>
                <w:noProof/>
                <w:spacing w:val="-6"/>
                <w:lang w:val="sk-SK"/>
              </w:rPr>
              <w:t>predajné miesta – integrácia</w:t>
            </w:r>
            <w:r w:rsidR="00AB26B3" w:rsidRPr="00AB26B3">
              <w:rPr>
                <w:noProof/>
                <w:spacing w:val="-6"/>
                <w:lang w:val="sk-SK"/>
              </w:rPr>
              <w:t xml:space="preserve"> a </w:t>
            </w:r>
            <w:r w:rsidRPr="00AB26B3">
              <w:rPr>
                <w:noProof/>
                <w:spacing w:val="-6"/>
                <w:lang w:val="sk-SK"/>
              </w:rPr>
              <w:t xml:space="preserve">prepojenie </w:t>
            </w:r>
          </w:p>
        </w:tc>
        <w:tc>
          <w:tcPr>
            <w:tcW w:w="2363" w:type="dxa"/>
            <w:shd w:val="clear" w:color="auto" w:fill="C6EFCE"/>
            <w:noWrap/>
          </w:tcPr>
          <w:p w14:paraId="0298002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highlight w:val="yellow"/>
                <w:lang w:val="sk-SK"/>
              </w:rPr>
            </w:pPr>
          </w:p>
        </w:tc>
        <w:tc>
          <w:tcPr>
            <w:tcW w:w="1200" w:type="dxa"/>
            <w:shd w:val="clear" w:color="auto" w:fill="C6EFCE"/>
            <w:noWrap/>
          </w:tcPr>
          <w:p w14:paraId="1C49B4AD"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Počet registračných pokladníc</w:t>
            </w:r>
          </w:p>
        </w:tc>
        <w:tc>
          <w:tcPr>
            <w:tcW w:w="1200" w:type="dxa"/>
            <w:shd w:val="clear" w:color="auto" w:fill="C6EFCE"/>
            <w:noWrap/>
          </w:tcPr>
          <w:p w14:paraId="52A51DA7"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0</w:t>
            </w:r>
          </w:p>
        </w:tc>
        <w:tc>
          <w:tcPr>
            <w:tcW w:w="960" w:type="dxa"/>
            <w:shd w:val="clear" w:color="auto" w:fill="C6EFCE"/>
            <w:noWrap/>
          </w:tcPr>
          <w:p w14:paraId="236F611E"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400 000</w:t>
            </w:r>
          </w:p>
        </w:tc>
        <w:tc>
          <w:tcPr>
            <w:tcW w:w="1080" w:type="dxa"/>
            <w:shd w:val="clear" w:color="auto" w:fill="C6EFCE"/>
            <w:noWrap/>
          </w:tcPr>
          <w:p w14:paraId="02ED8063"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ŠTVRŤROK</w:t>
            </w:r>
          </w:p>
        </w:tc>
        <w:tc>
          <w:tcPr>
            <w:tcW w:w="840" w:type="dxa"/>
            <w:shd w:val="clear" w:color="auto" w:fill="C6EFCE"/>
            <w:noWrap/>
          </w:tcPr>
          <w:p w14:paraId="6C630A30"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2024</w:t>
            </w:r>
          </w:p>
        </w:tc>
        <w:tc>
          <w:tcPr>
            <w:tcW w:w="3396" w:type="dxa"/>
            <w:shd w:val="clear" w:color="auto" w:fill="C6EFCE"/>
            <w:noWrap/>
          </w:tcPr>
          <w:p w14:paraId="6CCFC648" w14:textId="1CF75DB1" w:rsidR="00AB26B3" w:rsidRPr="00AB26B3" w:rsidRDefault="00D64F26">
            <w:pPr>
              <w:pStyle w:val="P68B1DB1-Normal12"/>
              <w:spacing w:after="0" w:line="240" w:lineRule="auto"/>
              <w:rPr>
                <w:noProof/>
                <w:spacing w:val="-6"/>
                <w:lang w:val="sk-SK"/>
              </w:rPr>
            </w:pPr>
            <w:r w:rsidRPr="00AB26B3">
              <w:rPr>
                <w:noProof/>
                <w:spacing w:val="-6"/>
                <w:lang w:val="sk-SK"/>
              </w:rPr>
              <w:t>Integrácia príslušného informačného systému</w:t>
            </w:r>
            <w:r w:rsidR="00AB26B3" w:rsidRPr="00AB26B3">
              <w:rPr>
                <w:noProof/>
                <w:spacing w:val="-6"/>
                <w:lang w:val="sk-SK"/>
              </w:rPr>
              <w:t xml:space="preserve"> a </w:t>
            </w:r>
            <w:r w:rsidRPr="00AB26B3">
              <w:rPr>
                <w:noProof/>
                <w:spacing w:val="-6"/>
                <w:lang w:val="sk-SK"/>
              </w:rPr>
              <w:t>databázy do platformy myDATA – všetky podniky podľa právneho rámca prepojili svoje online registračné pokladnice so systémami na mieste predaja</w:t>
            </w:r>
            <w:r w:rsidR="00AB26B3" w:rsidRPr="00AB26B3">
              <w:rPr>
                <w:noProof/>
                <w:spacing w:val="-6"/>
                <w:lang w:val="sk-SK"/>
              </w:rPr>
              <w:t xml:space="preserve"> s </w:t>
            </w:r>
            <w:r w:rsidRPr="00AB26B3">
              <w:rPr>
                <w:noProof/>
                <w:spacing w:val="-6"/>
                <w:lang w:val="sk-SK"/>
              </w:rPr>
              <w:t>nezávislým orgánom pre verejné príjmy</w:t>
            </w:r>
            <w:r w:rsidR="00AB26B3" w:rsidRPr="00AB26B3">
              <w:rPr>
                <w:noProof/>
                <w:spacing w:val="-6"/>
                <w:lang w:val="sk-SK"/>
              </w:rPr>
              <w:t>.</w:t>
            </w:r>
          </w:p>
          <w:p w14:paraId="1C9E9D95" w14:textId="2090C484"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0C102D02" w14:textId="0F17178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nezávislého orgánu pre verejné príjmy potvrdzujúca dokončenie reformy</w:t>
            </w:r>
            <w:r w:rsidR="00AB26B3" w:rsidRPr="00AB26B3">
              <w:rPr>
                <w:noProof/>
                <w:spacing w:val="-6"/>
                <w:lang w:val="sk-SK"/>
              </w:rPr>
              <w:t xml:space="preserve"> a </w:t>
            </w:r>
            <w:r w:rsidRPr="00AB26B3">
              <w:rPr>
                <w:noProof/>
                <w:spacing w:val="-6"/>
                <w:lang w:val="sk-SK"/>
              </w:rPr>
              <w:t>uvádzajúca celkový počet online registračných pokladníc, ktoré prepojili svoje systémy predajných miest</w:t>
            </w:r>
            <w:r w:rsidR="00AB26B3" w:rsidRPr="00AB26B3">
              <w:rPr>
                <w:noProof/>
                <w:spacing w:val="-6"/>
                <w:lang w:val="sk-SK"/>
              </w:rPr>
              <w:t xml:space="preserve"> s </w:t>
            </w:r>
            <w:r w:rsidRPr="00AB26B3">
              <w:rPr>
                <w:noProof/>
                <w:spacing w:val="-6"/>
                <w:lang w:val="sk-SK"/>
              </w:rPr>
              <w:t>nezávislým orgánom pre verejné príjmy. Oprávnené registračné pokladnice musia byť najmenej 400000.</w:t>
            </w:r>
          </w:p>
        </w:tc>
      </w:tr>
    </w:tbl>
    <w:p w14:paraId="5797CA22" w14:textId="5F6007B8"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0214F9A3" w14:textId="77777777" w:rsidR="00302FC1" w:rsidRPr="00AB26B3" w:rsidRDefault="00D64F26">
      <w:pPr>
        <w:pStyle w:val="NormalWeb"/>
        <w:spacing w:after="0" w:line="240" w:lineRule="auto"/>
        <w:rPr>
          <w:noProof/>
          <w:spacing w:val="-6"/>
          <w:lang w:val="sk-SK"/>
        </w:rPr>
      </w:pPr>
      <w:r w:rsidRPr="00AB26B3">
        <w:rPr>
          <w:noProof/>
          <w:spacing w:val="-6"/>
          <w:lang w:val="sk-SK"/>
        </w:rPr>
        <w:br w:type="page"/>
      </w:r>
    </w:p>
    <w:p w14:paraId="75326379" w14:textId="77777777"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17: Opatrenia daňovej správy</w:t>
      </w:r>
    </w:p>
    <w:p w14:paraId="291F1318" w14:textId="77777777" w:rsidR="00302FC1" w:rsidRPr="00AB26B3" w:rsidRDefault="00D64F26">
      <w:pPr>
        <w:pStyle w:val="P68B1DB1-Normal5"/>
        <w:numPr>
          <w:ilvl w:val="0"/>
          <w:numId w:val="34"/>
        </w:numPr>
        <w:spacing w:before="120" w:after="0" w:line="240" w:lineRule="auto"/>
        <w:jc w:val="both"/>
        <w:rPr>
          <w:rFonts w:cs="Times New Roman"/>
          <w:noProof/>
          <w:spacing w:val="-6"/>
          <w:lang w:val="sk-SK"/>
        </w:rPr>
      </w:pPr>
      <w:r w:rsidRPr="00AB26B3">
        <w:rPr>
          <w:noProof/>
          <w:spacing w:val="-6"/>
          <w:lang w:val="sk-SK"/>
        </w:rPr>
        <w:t>Digitálna transformácia daňových auditov (ID: 16611)</w:t>
      </w:r>
    </w:p>
    <w:p w14:paraId="282C3632" w14:textId="77777777" w:rsidR="00302FC1" w:rsidRPr="00AB26B3" w:rsidRDefault="00D64F26">
      <w:pPr>
        <w:pStyle w:val="P68B1DB1-Normal5"/>
        <w:numPr>
          <w:ilvl w:val="0"/>
          <w:numId w:val="34"/>
        </w:numPr>
        <w:spacing w:before="120" w:after="0" w:line="240" w:lineRule="auto"/>
        <w:jc w:val="both"/>
        <w:rPr>
          <w:rFonts w:cs="Times New Roman"/>
          <w:noProof/>
          <w:spacing w:val="-6"/>
          <w:lang w:val="sk-SK"/>
        </w:rPr>
      </w:pPr>
      <w:r w:rsidRPr="00AB26B3">
        <w:rPr>
          <w:noProof/>
          <w:spacing w:val="-6"/>
          <w:lang w:val="sk-SK"/>
        </w:rPr>
        <w:t>Podpora urýchlenia vracania DPH (ID: 16610)</w:t>
      </w:r>
    </w:p>
    <w:p w14:paraId="4327D1AA" w14:textId="1600CDB6" w:rsidR="00302FC1" w:rsidRPr="00AB26B3" w:rsidRDefault="00D64F26">
      <w:pPr>
        <w:pStyle w:val="P68B1DB1-Normal5"/>
        <w:numPr>
          <w:ilvl w:val="0"/>
          <w:numId w:val="34"/>
        </w:numPr>
        <w:spacing w:before="120" w:after="0" w:line="240" w:lineRule="auto"/>
        <w:jc w:val="both"/>
        <w:rPr>
          <w:rFonts w:cs="Times New Roman"/>
          <w:noProof/>
          <w:spacing w:val="-6"/>
          <w:lang w:val="sk-SK"/>
        </w:rPr>
      </w:pPr>
      <w:r w:rsidRPr="00AB26B3">
        <w:rPr>
          <w:noProof/>
          <w:spacing w:val="-6"/>
          <w:lang w:val="sk-SK"/>
        </w:rPr>
        <w:t>Nový rámec pre boj proti pašovaniu, najmä pokiaľ ide</w:t>
      </w:r>
      <w:r w:rsidR="00AB26B3" w:rsidRPr="00AB26B3">
        <w:rPr>
          <w:noProof/>
          <w:spacing w:val="-6"/>
          <w:lang w:val="sk-SK"/>
        </w:rPr>
        <w:t xml:space="preserve"> o </w:t>
      </w:r>
      <w:r w:rsidRPr="00AB26B3">
        <w:rPr>
          <w:noProof/>
          <w:spacing w:val="-6"/>
          <w:lang w:val="sk-SK"/>
        </w:rPr>
        <w:t>výrobky podliehajúce spotrebnej dani (tabak, alkohol</w:t>
      </w:r>
      <w:r w:rsidR="00AB26B3" w:rsidRPr="00AB26B3">
        <w:rPr>
          <w:noProof/>
          <w:spacing w:val="-6"/>
          <w:lang w:val="sk-SK"/>
        </w:rPr>
        <w:t xml:space="preserve"> a </w:t>
      </w:r>
      <w:r w:rsidRPr="00AB26B3">
        <w:rPr>
          <w:noProof/>
          <w:spacing w:val="-6"/>
          <w:lang w:val="sk-SK"/>
        </w:rPr>
        <w:t>energia) (ID: 16656)</w:t>
      </w:r>
    </w:p>
    <w:p w14:paraId="352BD3B0" w14:textId="3AB84A73" w:rsidR="00302FC1" w:rsidRPr="00AB26B3" w:rsidRDefault="00D64F26">
      <w:pPr>
        <w:pStyle w:val="P68B1DB1-Normal5"/>
        <w:numPr>
          <w:ilvl w:val="0"/>
          <w:numId w:val="34"/>
        </w:numPr>
        <w:spacing w:before="120" w:after="120" w:line="240" w:lineRule="auto"/>
        <w:jc w:val="both"/>
        <w:rPr>
          <w:rFonts w:cs="Times New Roman"/>
          <w:noProof/>
          <w:spacing w:val="-6"/>
          <w:lang w:val="sk-SK"/>
        </w:rPr>
      </w:pPr>
      <w:r w:rsidRPr="00AB26B3">
        <w:rPr>
          <w:noProof/>
          <w:spacing w:val="-6"/>
          <w:lang w:val="sk-SK"/>
        </w:rPr>
        <w:t>Digitálna transformácia daňovej</w:t>
      </w:r>
      <w:r w:rsidR="00AB26B3" w:rsidRPr="00AB26B3">
        <w:rPr>
          <w:noProof/>
          <w:spacing w:val="-6"/>
          <w:lang w:val="sk-SK"/>
        </w:rPr>
        <w:t xml:space="preserve"> a </w:t>
      </w:r>
      <w:r w:rsidRPr="00AB26B3">
        <w:rPr>
          <w:noProof/>
          <w:spacing w:val="-6"/>
          <w:lang w:val="sk-SK"/>
        </w:rPr>
        <w:t>colnej správy (ID: 16291)</w:t>
      </w:r>
    </w:p>
    <w:tbl>
      <w:tblPr>
        <w:tblpPr w:leftFromText="180" w:rightFromText="180" w:vertAnchor="text" w:tblpXSpec="center" w:tblpY="1"/>
        <w:tblOverlap w:val="never"/>
        <w:tblW w:w="16160" w:type="dxa"/>
        <w:tblLayout w:type="fixed"/>
        <w:tblLook w:val="04A0" w:firstRow="1" w:lastRow="0" w:firstColumn="1" w:lastColumn="0" w:noHBand="0" w:noVBand="1"/>
      </w:tblPr>
      <w:tblGrid>
        <w:gridCol w:w="6"/>
        <w:gridCol w:w="669"/>
        <w:gridCol w:w="2410"/>
        <w:gridCol w:w="1134"/>
        <w:gridCol w:w="1409"/>
        <w:gridCol w:w="1803"/>
        <w:gridCol w:w="1065"/>
        <w:gridCol w:w="961"/>
        <w:gridCol w:w="826"/>
        <w:gridCol w:w="1098"/>
        <w:gridCol w:w="1369"/>
        <w:gridCol w:w="3410"/>
      </w:tblGrid>
      <w:tr w:rsidR="00302FC1" w:rsidRPr="00AB26B3" w14:paraId="28AD0E3A" w14:textId="77777777">
        <w:trPr>
          <w:trHeight w:val="939"/>
          <w:tblHeader/>
        </w:trPr>
        <w:tc>
          <w:tcPr>
            <w:tcW w:w="675"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D64DF47" w14:textId="4E41EC59"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1D6868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F4AE7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D5932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80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7BE291" w14:textId="7ADE240D"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85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65AF9783" w14:textId="1DFC8099" w:rsidR="00302FC1" w:rsidRPr="00AB26B3" w:rsidRDefault="00D64F26">
            <w:pPr>
              <w:pStyle w:val="P68B1DB1-Normal34"/>
              <w:spacing w:after="0" w:line="240" w:lineRule="auto"/>
              <w:jc w:val="center"/>
              <w:rPr>
                <w:rFonts w:ascii="Times New Roman" w:eastAsia="Times New Roman" w:hAnsi="Times New Roman" w:cs="Times New Roman"/>
                <w:b/>
                <w:bCs/>
                <w:noProof/>
                <w:spacing w:val="-6"/>
                <w:szCs w:val="18"/>
                <w:lang w:val="sk-SK"/>
              </w:rPr>
            </w:pPr>
            <w:r w:rsidRPr="00AB26B3">
              <w:rPr>
                <w:rFonts w:ascii="Times New Roman" w:hAnsi="Times New Roman"/>
                <w:b/>
                <w:noProof/>
                <w:spacing w:val="-6"/>
                <w:lang w:val="sk-SK"/>
              </w:rPr>
              <w:t>Kvantitatívne ukazovatele</w:t>
            </w:r>
            <w:r w:rsidRPr="00AB26B3">
              <w:rPr>
                <w:rFonts w:ascii="Times New Roman" w:hAnsi="Times New Roman" w:cs="Times New Roman"/>
                <w:noProof/>
                <w:spacing w:val="-6"/>
                <w:szCs w:val="18"/>
                <w:lang w:val="sk-SK"/>
              </w:rPr>
              <w:t xml:space="preserve"> </w:t>
            </w:r>
            <w:r w:rsidRPr="00AB26B3">
              <w:rPr>
                <w:rFonts w:ascii="Times New Roman" w:hAnsi="Times New Roman"/>
                <w:b/>
                <w:noProof/>
                <w:spacing w:val="-6"/>
                <w:lang w:val="sk-SK"/>
              </w:rPr>
              <w:t>(pre ciele)</w:t>
            </w:r>
          </w:p>
        </w:tc>
        <w:tc>
          <w:tcPr>
            <w:tcW w:w="2467" w:type="dxa"/>
            <w:gridSpan w:val="2"/>
            <w:tcBorders>
              <w:top w:val="single" w:sz="4" w:space="0" w:color="auto"/>
              <w:left w:val="nil"/>
              <w:bottom w:val="single" w:sz="4" w:space="0" w:color="auto"/>
              <w:right w:val="single" w:sz="4" w:space="0" w:color="auto"/>
            </w:tcBorders>
            <w:shd w:val="clear" w:color="auto" w:fill="BDD7EE"/>
            <w:vAlign w:val="center"/>
            <w:hideMark/>
          </w:tcPr>
          <w:p w14:paraId="1C54575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4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A72115" w14:textId="49B56EE4"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766F8BE" w14:textId="77777777">
        <w:trPr>
          <w:trHeight w:val="464"/>
          <w:tblHeader/>
        </w:trPr>
        <w:tc>
          <w:tcPr>
            <w:tcW w:w="675" w:type="dxa"/>
            <w:gridSpan w:val="2"/>
            <w:vMerge/>
            <w:tcBorders>
              <w:top w:val="single" w:sz="4" w:space="0" w:color="auto"/>
              <w:left w:val="single" w:sz="4" w:space="0" w:color="auto"/>
              <w:bottom w:val="single" w:sz="4" w:space="0" w:color="auto"/>
              <w:right w:val="single" w:sz="4" w:space="0" w:color="auto"/>
            </w:tcBorders>
            <w:vAlign w:val="center"/>
            <w:hideMark/>
          </w:tcPr>
          <w:p w14:paraId="12079A9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C3672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5A2A0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1D0A171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2725C0E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6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E67149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61" w:type="dxa"/>
            <w:tcBorders>
              <w:top w:val="single" w:sz="4" w:space="0" w:color="auto"/>
              <w:left w:val="nil"/>
              <w:bottom w:val="single" w:sz="4" w:space="0" w:color="auto"/>
              <w:right w:val="single" w:sz="4" w:space="0" w:color="auto"/>
            </w:tcBorders>
            <w:shd w:val="clear" w:color="auto" w:fill="BDD7EE"/>
            <w:vAlign w:val="center"/>
            <w:hideMark/>
          </w:tcPr>
          <w:p w14:paraId="038D020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826" w:type="dxa"/>
            <w:tcBorders>
              <w:top w:val="single" w:sz="4" w:space="0" w:color="auto"/>
              <w:left w:val="nil"/>
              <w:bottom w:val="single" w:sz="4" w:space="0" w:color="auto"/>
              <w:right w:val="single" w:sz="4" w:space="0" w:color="auto"/>
            </w:tcBorders>
            <w:shd w:val="clear" w:color="auto" w:fill="BDD7EE"/>
            <w:vAlign w:val="center"/>
            <w:hideMark/>
          </w:tcPr>
          <w:p w14:paraId="53938A0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1098" w:type="dxa"/>
            <w:tcBorders>
              <w:top w:val="single" w:sz="4" w:space="0" w:color="auto"/>
              <w:left w:val="nil"/>
              <w:bottom w:val="single" w:sz="4" w:space="0" w:color="auto"/>
              <w:right w:val="single" w:sz="4" w:space="0" w:color="auto"/>
            </w:tcBorders>
            <w:shd w:val="clear" w:color="auto" w:fill="BDD7EE"/>
            <w:vAlign w:val="center"/>
            <w:hideMark/>
          </w:tcPr>
          <w:p w14:paraId="5E2407D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1369" w:type="dxa"/>
            <w:tcBorders>
              <w:top w:val="single" w:sz="4" w:space="0" w:color="auto"/>
              <w:left w:val="nil"/>
              <w:bottom w:val="single" w:sz="4" w:space="0" w:color="auto"/>
              <w:right w:val="single" w:sz="4" w:space="0" w:color="auto"/>
            </w:tcBorders>
            <w:shd w:val="clear" w:color="auto" w:fill="BDD7EE"/>
            <w:vAlign w:val="center"/>
            <w:hideMark/>
          </w:tcPr>
          <w:p w14:paraId="274C906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410" w:type="dxa"/>
            <w:vMerge/>
            <w:tcBorders>
              <w:top w:val="single" w:sz="4" w:space="0" w:color="auto"/>
              <w:bottom w:val="single" w:sz="4" w:space="0" w:color="auto"/>
              <w:right w:val="single" w:sz="4" w:space="0" w:color="auto"/>
            </w:tcBorders>
            <w:vAlign w:val="center"/>
            <w:hideMark/>
          </w:tcPr>
          <w:p w14:paraId="3F4C911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664BA2E8" w14:textId="77777777">
        <w:trPr>
          <w:gridBefore w:val="1"/>
          <w:wBefore w:w="6" w:type="dxa"/>
          <w:trHeight w:val="313"/>
        </w:trPr>
        <w:tc>
          <w:tcPr>
            <w:tcW w:w="669" w:type="dxa"/>
            <w:tcBorders>
              <w:top w:val="single" w:sz="4" w:space="0" w:color="auto"/>
              <w:left w:val="single" w:sz="4" w:space="0" w:color="auto"/>
              <w:bottom w:val="single" w:sz="4" w:space="0" w:color="auto"/>
              <w:right w:val="single" w:sz="4" w:space="0" w:color="auto"/>
            </w:tcBorders>
            <w:shd w:val="clear" w:color="auto" w:fill="C6EFCE"/>
            <w:noWrap/>
          </w:tcPr>
          <w:p w14:paraId="4461859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190</w:t>
            </w:r>
          </w:p>
        </w:tc>
        <w:tc>
          <w:tcPr>
            <w:tcW w:w="2410" w:type="dxa"/>
            <w:tcBorders>
              <w:top w:val="single" w:sz="4" w:space="0" w:color="auto"/>
              <w:left w:val="nil"/>
              <w:bottom w:val="single" w:sz="4" w:space="0" w:color="auto"/>
              <w:right w:val="single" w:sz="4" w:space="0" w:color="auto"/>
            </w:tcBorders>
            <w:shd w:val="clear" w:color="auto" w:fill="C6EFCE"/>
            <w:noWrap/>
          </w:tcPr>
          <w:p w14:paraId="6C4FA3C9" w14:textId="6A8E7EB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16656_Nový rámec pre boj proti pašovaniu, najmä</w:t>
            </w:r>
            <w:r w:rsidR="00AB26B3" w:rsidRPr="00AB26B3">
              <w:rPr>
                <w:noProof/>
                <w:spacing w:val="-6"/>
                <w:lang w:val="sk-SK"/>
              </w:rPr>
              <w:t xml:space="preserve"> v </w:t>
            </w:r>
            <w:r w:rsidRPr="00AB26B3">
              <w:rPr>
                <w:noProof/>
                <w:spacing w:val="-6"/>
                <w:lang w:val="sk-SK"/>
              </w:rPr>
              <w:t>prípade výrobkov podliehajúcich spotrebným daniam (tabak, alkohol</w:t>
            </w:r>
            <w:r w:rsidR="00AB26B3" w:rsidRPr="00AB26B3">
              <w:rPr>
                <w:noProof/>
                <w:spacing w:val="-6"/>
                <w:lang w:val="sk-SK"/>
              </w:rPr>
              <w:t xml:space="preserve"> a </w:t>
            </w:r>
            <w:r w:rsidRPr="00AB26B3">
              <w:rPr>
                <w:noProof/>
                <w:spacing w:val="-6"/>
                <w:lang w:val="sk-SK"/>
              </w:rPr>
              <w:t>energia)</w:t>
            </w:r>
          </w:p>
        </w:tc>
        <w:tc>
          <w:tcPr>
            <w:tcW w:w="1134" w:type="dxa"/>
            <w:tcBorders>
              <w:top w:val="single" w:sz="4" w:space="0" w:color="auto"/>
              <w:left w:val="nil"/>
              <w:bottom w:val="single" w:sz="4" w:space="0" w:color="auto"/>
              <w:right w:val="single" w:sz="4" w:space="0" w:color="auto"/>
            </w:tcBorders>
            <w:shd w:val="clear" w:color="auto" w:fill="C6EFCE"/>
            <w:noWrap/>
          </w:tcPr>
          <w:p w14:paraId="464B485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09" w:type="dxa"/>
            <w:tcBorders>
              <w:top w:val="single" w:sz="4" w:space="0" w:color="auto"/>
              <w:left w:val="nil"/>
              <w:bottom w:val="single" w:sz="4" w:space="0" w:color="auto"/>
              <w:right w:val="single" w:sz="4" w:space="0" w:color="auto"/>
            </w:tcBorders>
            <w:shd w:val="clear" w:color="auto" w:fill="C6EFCE"/>
            <w:noWrap/>
          </w:tcPr>
          <w:p w14:paraId="5123D27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Boj proti prevádzačstvu – plán regulačných rozhodnutí</w:t>
            </w:r>
          </w:p>
        </w:tc>
        <w:tc>
          <w:tcPr>
            <w:tcW w:w="1803" w:type="dxa"/>
            <w:tcBorders>
              <w:top w:val="single" w:sz="4" w:space="0" w:color="auto"/>
              <w:left w:val="nil"/>
              <w:bottom w:val="single" w:sz="4" w:space="0" w:color="auto"/>
              <w:right w:val="single" w:sz="4" w:space="0" w:color="auto"/>
            </w:tcBorders>
            <w:shd w:val="clear" w:color="auto" w:fill="C6EFCE"/>
            <w:noWrap/>
          </w:tcPr>
          <w:p w14:paraId="664D8E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nezávislého orgánu pre verejné príjmy obsahujúca plán rozhodnutí/obežníkov týkajúcich sa boja proti prevádzačstvu.</w:t>
            </w:r>
          </w:p>
        </w:tc>
        <w:tc>
          <w:tcPr>
            <w:tcW w:w="1065" w:type="dxa"/>
            <w:tcBorders>
              <w:top w:val="single" w:sz="4" w:space="0" w:color="auto"/>
              <w:left w:val="nil"/>
              <w:bottom w:val="single" w:sz="4" w:space="0" w:color="auto"/>
              <w:right w:val="single" w:sz="4" w:space="0" w:color="auto"/>
            </w:tcBorders>
            <w:shd w:val="clear" w:color="auto" w:fill="C6EFCE"/>
            <w:noWrap/>
          </w:tcPr>
          <w:p w14:paraId="486450F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1" w:type="dxa"/>
            <w:tcBorders>
              <w:top w:val="nil"/>
              <w:left w:val="nil"/>
              <w:bottom w:val="single" w:sz="4" w:space="0" w:color="auto"/>
              <w:right w:val="single" w:sz="4" w:space="0" w:color="auto"/>
            </w:tcBorders>
            <w:shd w:val="clear" w:color="auto" w:fill="C6EFCE"/>
            <w:noWrap/>
          </w:tcPr>
          <w:p w14:paraId="4B839F6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6" w:type="dxa"/>
            <w:tcBorders>
              <w:top w:val="nil"/>
              <w:left w:val="nil"/>
              <w:bottom w:val="single" w:sz="4" w:space="0" w:color="auto"/>
              <w:right w:val="single" w:sz="4" w:space="0" w:color="auto"/>
            </w:tcBorders>
            <w:shd w:val="clear" w:color="auto" w:fill="C6EFCE"/>
            <w:noWrap/>
          </w:tcPr>
          <w:p w14:paraId="1385F8D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98" w:type="dxa"/>
            <w:tcBorders>
              <w:top w:val="nil"/>
              <w:left w:val="nil"/>
              <w:bottom w:val="single" w:sz="4" w:space="0" w:color="auto"/>
              <w:right w:val="single" w:sz="4" w:space="0" w:color="auto"/>
            </w:tcBorders>
            <w:shd w:val="clear" w:color="auto" w:fill="C6EFCE"/>
            <w:noWrap/>
          </w:tcPr>
          <w:p w14:paraId="15A76D0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1369" w:type="dxa"/>
            <w:tcBorders>
              <w:top w:val="nil"/>
              <w:left w:val="nil"/>
              <w:bottom w:val="single" w:sz="4" w:space="0" w:color="auto"/>
              <w:right w:val="single" w:sz="4" w:space="0" w:color="auto"/>
            </w:tcBorders>
            <w:shd w:val="clear" w:color="auto" w:fill="C6EFCE"/>
            <w:noWrap/>
          </w:tcPr>
          <w:p w14:paraId="530F609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410" w:type="dxa"/>
            <w:tcBorders>
              <w:top w:val="single" w:sz="4" w:space="0" w:color="auto"/>
              <w:left w:val="single" w:sz="4" w:space="0" w:color="auto"/>
              <w:bottom w:val="single" w:sz="4" w:space="0" w:color="auto"/>
              <w:right w:val="single" w:sz="4" w:space="0" w:color="auto"/>
            </w:tcBorders>
            <w:shd w:val="clear" w:color="auto" w:fill="C6EFCE"/>
            <w:noWrap/>
          </w:tcPr>
          <w:p w14:paraId="0FFA5F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Nezávislý orgán pre verejné príjmy prijme plán (vrátane harmonogramu) vydávania rozhodnutí/obežníkov týkajúcich sa reformy právneho rámca boja proti prevádzačstvu.</w:t>
            </w:r>
          </w:p>
          <w:p w14:paraId="132F4E2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18D60A08" w14:textId="6E6F7A7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Nezávislý orgán pre verejné príjmy vydá správu</w:t>
            </w:r>
            <w:r w:rsidR="00AB26B3" w:rsidRPr="00AB26B3">
              <w:rPr>
                <w:noProof/>
                <w:spacing w:val="-6"/>
                <w:lang w:val="sk-SK"/>
              </w:rPr>
              <w:t xml:space="preserve"> o </w:t>
            </w:r>
            <w:r w:rsidRPr="00AB26B3">
              <w:rPr>
                <w:noProof/>
                <w:spacing w:val="-6"/>
                <w:lang w:val="sk-SK"/>
              </w:rPr>
              <w:t>pláne vydávania rozhodnutí/obežníkov,</w:t>
            </w:r>
            <w:r w:rsidR="00AB26B3" w:rsidRPr="00AB26B3">
              <w:rPr>
                <w:noProof/>
                <w:spacing w:val="-6"/>
                <w:lang w:val="sk-SK"/>
              </w:rPr>
              <w:t xml:space="preserve"> v </w:t>
            </w:r>
            <w:r w:rsidRPr="00AB26B3">
              <w:rPr>
                <w:noProof/>
                <w:spacing w:val="-6"/>
                <w:lang w:val="sk-SK"/>
              </w:rPr>
              <w:t>ktorej podrobne opíše kroky potrebné na prepracovanie operačných informačných systémov ICISNET</w:t>
            </w:r>
            <w:r w:rsidR="00AB26B3" w:rsidRPr="00AB26B3">
              <w:rPr>
                <w:noProof/>
                <w:spacing w:val="-6"/>
                <w:lang w:val="sk-SK"/>
              </w:rPr>
              <w:t xml:space="preserve"> a </w:t>
            </w:r>
            <w:r w:rsidRPr="00AB26B3">
              <w:rPr>
                <w:noProof/>
                <w:spacing w:val="-6"/>
                <w:lang w:val="sk-SK"/>
              </w:rPr>
              <w:t>ELENXIS</w:t>
            </w:r>
            <w:r w:rsidR="00AB26B3" w:rsidRPr="00AB26B3">
              <w:rPr>
                <w:noProof/>
                <w:spacing w:val="-6"/>
                <w:lang w:val="sk-SK"/>
              </w:rPr>
              <w:t xml:space="preserve"> s </w:t>
            </w:r>
            <w:r w:rsidRPr="00AB26B3">
              <w:rPr>
                <w:noProof/>
                <w:spacing w:val="-6"/>
                <w:lang w:val="sk-SK"/>
              </w:rPr>
              <w:t>cieľom účinne uprednostniť riziká nesúladu</w:t>
            </w:r>
            <w:r w:rsidR="00AB26B3" w:rsidRPr="00AB26B3">
              <w:rPr>
                <w:noProof/>
                <w:spacing w:val="-6"/>
                <w:lang w:val="sk-SK"/>
              </w:rPr>
              <w:t xml:space="preserve"> a </w:t>
            </w:r>
            <w:r w:rsidRPr="00AB26B3">
              <w:rPr>
                <w:noProof/>
                <w:spacing w:val="-6"/>
                <w:lang w:val="sk-SK"/>
              </w:rPr>
              <w:t>vytvoriť čo najlepšie profily auditu</w:t>
            </w:r>
            <w:r w:rsidR="00AB26B3" w:rsidRPr="00AB26B3">
              <w:rPr>
                <w:noProof/>
                <w:spacing w:val="-6"/>
                <w:lang w:val="sk-SK"/>
              </w:rPr>
              <w:t xml:space="preserve"> s </w:t>
            </w:r>
            <w:r w:rsidRPr="00AB26B3">
              <w:rPr>
                <w:noProof/>
                <w:spacing w:val="-6"/>
                <w:lang w:val="sk-SK"/>
              </w:rPr>
              <w:t>využitím informácií</w:t>
            </w:r>
            <w:r w:rsidR="00AB26B3" w:rsidRPr="00AB26B3">
              <w:rPr>
                <w:noProof/>
                <w:spacing w:val="-6"/>
                <w:lang w:val="sk-SK"/>
              </w:rPr>
              <w:t xml:space="preserve"> z </w:t>
            </w:r>
            <w:r w:rsidRPr="00AB26B3">
              <w:rPr>
                <w:noProof/>
                <w:spacing w:val="-6"/>
                <w:lang w:val="sk-SK"/>
              </w:rPr>
              <w:t>databáz Európskej únie</w:t>
            </w:r>
            <w:r w:rsidR="00AB26B3" w:rsidRPr="00AB26B3">
              <w:rPr>
                <w:noProof/>
                <w:spacing w:val="-6"/>
                <w:lang w:val="sk-SK"/>
              </w:rPr>
              <w:t xml:space="preserve"> a </w:t>
            </w:r>
            <w:r w:rsidRPr="00AB26B3">
              <w:rPr>
                <w:noProof/>
                <w:spacing w:val="-6"/>
                <w:lang w:val="sk-SK"/>
              </w:rPr>
              <w:t>vnútroštátnych databáz.</w:t>
            </w:r>
          </w:p>
        </w:tc>
      </w:tr>
      <w:tr w:rsidR="00302FC1" w:rsidRPr="00AB26B3" w14:paraId="51B388D3" w14:textId="77777777">
        <w:trPr>
          <w:gridBefore w:val="1"/>
          <w:wBefore w:w="6" w:type="dxa"/>
          <w:trHeight w:val="313"/>
        </w:trPr>
        <w:tc>
          <w:tcPr>
            <w:tcW w:w="669" w:type="dxa"/>
            <w:tcBorders>
              <w:top w:val="nil"/>
              <w:left w:val="single" w:sz="4" w:space="0" w:color="auto"/>
              <w:bottom w:val="single" w:sz="4" w:space="0" w:color="auto"/>
              <w:right w:val="single" w:sz="4" w:space="0" w:color="auto"/>
            </w:tcBorders>
            <w:shd w:val="clear" w:color="auto" w:fill="C6EFCE"/>
            <w:noWrap/>
          </w:tcPr>
          <w:p w14:paraId="7EB57B7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191</w:t>
            </w:r>
          </w:p>
        </w:tc>
        <w:tc>
          <w:tcPr>
            <w:tcW w:w="2410" w:type="dxa"/>
            <w:tcBorders>
              <w:top w:val="nil"/>
              <w:left w:val="nil"/>
              <w:bottom w:val="single" w:sz="4" w:space="0" w:color="auto"/>
              <w:right w:val="single" w:sz="4" w:space="0" w:color="auto"/>
            </w:tcBorders>
            <w:shd w:val="clear" w:color="auto" w:fill="C6EFCE"/>
            <w:noWrap/>
          </w:tcPr>
          <w:p w14:paraId="134F691E" w14:textId="462E320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16656_Nový rámec pre boj proti pašovaniu, najmä</w:t>
            </w:r>
            <w:r w:rsidR="00AB26B3" w:rsidRPr="00AB26B3">
              <w:rPr>
                <w:noProof/>
                <w:spacing w:val="-6"/>
                <w:lang w:val="sk-SK"/>
              </w:rPr>
              <w:t xml:space="preserve"> v </w:t>
            </w:r>
            <w:r w:rsidRPr="00AB26B3">
              <w:rPr>
                <w:noProof/>
                <w:spacing w:val="-6"/>
                <w:lang w:val="sk-SK"/>
              </w:rPr>
              <w:t>prípade výrobkov podliehajúcich spotrebným daniam (tabak, alkohol</w:t>
            </w:r>
            <w:r w:rsidR="00AB26B3" w:rsidRPr="00AB26B3">
              <w:rPr>
                <w:noProof/>
                <w:spacing w:val="-6"/>
                <w:lang w:val="sk-SK"/>
              </w:rPr>
              <w:t xml:space="preserve"> a </w:t>
            </w:r>
            <w:r w:rsidRPr="00AB26B3">
              <w:rPr>
                <w:noProof/>
                <w:spacing w:val="-6"/>
                <w:lang w:val="sk-SK"/>
              </w:rPr>
              <w:t>energia)</w:t>
            </w:r>
          </w:p>
        </w:tc>
        <w:tc>
          <w:tcPr>
            <w:tcW w:w="1134" w:type="dxa"/>
            <w:tcBorders>
              <w:top w:val="nil"/>
              <w:left w:val="nil"/>
              <w:bottom w:val="single" w:sz="4" w:space="0" w:color="auto"/>
              <w:right w:val="single" w:sz="4" w:space="0" w:color="auto"/>
            </w:tcBorders>
            <w:shd w:val="clear" w:color="auto" w:fill="C6EFCE"/>
            <w:noWrap/>
          </w:tcPr>
          <w:p w14:paraId="68805D5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09" w:type="dxa"/>
            <w:tcBorders>
              <w:top w:val="nil"/>
              <w:left w:val="nil"/>
              <w:bottom w:val="single" w:sz="4" w:space="0" w:color="auto"/>
              <w:right w:val="single" w:sz="4" w:space="0" w:color="auto"/>
            </w:tcBorders>
            <w:shd w:val="clear" w:color="auto" w:fill="C6EFCE"/>
            <w:noWrap/>
          </w:tcPr>
          <w:p w14:paraId="1F8AC53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Boj proti prevádzačstvu – nadobudnutie účinnosti regulačných rozhodnutí</w:t>
            </w:r>
          </w:p>
        </w:tc>
        <w:tc>
          <w:tcPr>
            <w:tcW w:w="1803" w:type="dxa"/>
            <w:tcBorders>
              <w:top w:val="nil"/>
              <w:left w:val="nil"/>
              <w:bottom w:val="single" w:sz="4" w:space="0" w:color="auto"/>
              <w:right w:val="single" w:sz="4" w:space="0" w:color="auto"/>
            </w:tcBorders>
            <w:shd w:val="clear" w:color="auto" w:fill="C6EFCE"/>
            <w:noWrap/>
          </w:tcPr>
          <w:p w14:paraId="29BC1E8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Regulačné rozhodnutia/obežníky nadobudli účinnosť.</w:t>
            </w:r>
          </w:p>
        </w:tc>
        <w:tc>
          <w:tcPr>
            <w:tcW w:w="1065" w:type="dxa"/>
            <w:tcBorders>
              <w:top w:val="nil"/>
              <w:left w:val="nil"/>
              <w:bottom w:val="single" w:sz="4" w:space="0" w:color="auto"/>
              <w:right w:val="single" w:sz="4" w:space="0" w:color="auto"/>
            </w:tcBorders>
            <w:shd w:val="clear" w:color="auto" w:fill="C6EFCE"/>
            <w:noWrap/>
          </w:tcPr>
          <w:p w14:paraId="30EB00B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1" w:type="dxa"/>
            <w:tcBorders>
              <w:top w:val="nil"/>
              <w:left w:val="nil"/>
              <w:bottom w:val="single" w:sz="4" w:space="0" w:color="auto"/>
              <w:right w:val="single" w:sz="4" w:space="0" w:color="auto"/>
            </w:tcBorders>
            <w:shd w:val="clear" w:color="auto" w:fill="C6EFCE"/>
            <w:noWrap/>
          </w:tcPr>
          <w:p w14:paraId="4286919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6" w:type="dxa"/>
            <w:tcBorders>
              <w:top w:val="nil"/>
              <w:left w:val="nil"/>
              <w:bottom w:val="single" w:sz="4" w:space="0" w:color="auto"/>
              <w:right w:val="single" w:sz="4" w:space="0" w:color="auto"/>
            </w:tcBorders>
            <w:shd w:val="clear" w:color="auto" w:fill="C6EFCE"/>
            <w:noWrap/>
          </w:tcPr>
          <w:p w14:paraId="3F8C416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98" w:type="dxa"/>
            <w:tcBorders>
              <w:top w:val="nil"/>
              <w:left w:val="nil"/>
              <w:bottom w:val="single" w:sz="4" w:space="0" w:color="auto"/>
              <w:right w:val="single" w:sz="4" w:space="0" w:color="auto"/>
            </w:tcBorders>
            <w:shd w:val="clear" w:color="auto" w:fill="C6EFCE"/>
            <w:noWrap/>
          </w:tcPr>
          <w:p w14:paraId="02B59CF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1369" w:type="dxa"/>
            <w:tcBorders>
              <w:top w:val="nil"/>
              <w:left w:val="nil"/>
              <w:bottom w:val="single" w:sz="4" w:space="0" w:color="auto"/>
              <w:right w:val="single" w:sz="4" w:space="0" w:color="auto"/>
            </w:tcBorders>
            <w:shd w:val="clear" w:color="auto" w:fill="C6EFCE"/>
            <w:noWrap/>
          </w:tcPr>
          <w:p w14:paraId="0C54022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410" w:type="dxa"/>
            <w:tcBorders>
              <w:top w:val="single" w:sz="4" w:space="0" w:color="auto"/>
              <w:left w:val="nil"/>
              <w:bottom w:val="single" w:sz="4" w:space="0" w:color="auto"/>
              <w:right w:val="single" w:sz="4" w:space="0" w:color="auto"/>
            </w:tcBorders>
            <w:shd w:val="clear" w:color="auto" w:fill="C6EFCE"/>
            <w:noWrap/>
          </w:tcPr>
          <w:p w14:paraId="0DE287A2" w14:textId="3368067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15 regulačných rozhodnutí/obežníkov prijatých nezávislým orgánom pre verejné príjmy</w:t>
            </w:r>
            <w:r w:rsidR="00AB26B3" w:rsidRPr="00AB26B3">
              <w:rPr>
                <w:noProof/>
                <w:spacing w:val="-6"/>
                <w:lang w:val="sk-SK"/>
              </w:rPr>
              <w:t xml:space="preserve"> o </w:t>
            </w:r>
            <w:r w:rsidRPr="00AB26B3">
              <w:rPr>
                <w:noProof/>
                <w:spacing w:val="-6"/>
                <w:lang w:val="sk-SK"/>
              </w:rPr>
              <w:t>návrhu nového integrovaného systému na boj proti prevádzačstvu.</w:t>
            </w:r>
          </w:p>
          <w:p w14:paraId="4679FB9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50B52E06" w14:textId="02A0226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 súlade</w:t>
            </w:r>
            <w:r w:rsidR="00AB26B3" w:rsidRPr="00AB26B3">
              <w:rPr>
                <w:noProof/>
                <w:spacing w:val="-6"/>
                <w:lang w:val="sk-SK"/>
              </w:rPr>
              <w:t xml:space="preserve"> s </w:t>
            </w:r>
            <w:r w:rsidRPr="00AB26B3">
              <w:rPr>
                <w:noProof/>
                <w:spacing w:val="-6"/>
                <w:lang w:val="sk-SK"/>
              </w:rPr>
              <w:t>plánom stanoveným do 31</w:t>
            </w:r>
            <w:r w:rsidR="00AB26B3" w:rsidRPr="00AB26B3">
              <w:rPr>
                <w:noProof/>
                <w:spacing w:val="-6"/>
                <w:lang w:val="sk-SK"/>
              </w:rPr>
              <w:t>. marca</w:t>
            </w:r>
            <w:r w:rsidRPr="00AB26B3">
              <w:rPr>
                <w:noProof/>
                <w:spacing w:val="-6"/>
                <w:lang w:val="sk-SK"/>
              </w:rPr>
              <w:t xml:space="preserve"> 2022 sa rozhodnutie/obežníky, ktoré nadobudli účinnosť, týkajú prípravy nového integrovaného systému, ktorý podporí proces auditu monitorovaním colných transakcií</w:t>
            </w:r>
            <w:r w:rsidR="00AB26B3" w:rsidRPr="00AB26B3">
              <w:rPr>
                <w:noProof/>
                <w:spacing w:val="-6"/>
                <w:lang w:val="sk-SK"/>
              </w:rPr>
              <w:t xml:space="preserve"> a </w:t>
            </w:r>
            <w:r w:rsidRPr="00AB26B3">
              <w:rPr>
                <w:noProof/>
                <w:spacing w:val="-6"/>
                <w:lang w:val="sk-SK"/>
              </w:rPr>
              <w:t>postupov</w:t>
            </w:r>
            <w:r w:rsidR="00AB26B3" w:rsidRPr="00AB26B3">
              <w:rPr>
                <w:noProof/>
                <w:spacing w:val="-6"/>
                <w:lang w:val="sk-SK"/>
              </w:rPr>
              <w:t xml:space="preserve"> v </w:t>
            </w:r>
            <w:r w:rsidRPr="00AB26B3">
              <w:rPr>
                <w:noProof/>
                <w:spacing w:val="-6"/>
                <w:lang w:val="sk-SK"/>
              </w:rPr>
              <w:t>reálnom čase. Tento systém funguje tak, že sa zameriava na lepšie</w:t>
            </w:r>
            <w:r w:rsidR="00AB26B3" w:rsidRPr="00AB26B3">
              <w:rPr>
                <w:noProof/>
                <w:spacing w:val="-6"/>
                <w:lang w:val="sk-SK"/>
              </w:rPr>
              <w:t xml:space="preserve"> a </w:t>
            </w:r>
            <w:r w:rsidRPr="00AB26B3">
              <w:rPr>
                <w:noProof/>
                <w:spacing w:val="-6"/>
                <w:lang w:val="sk-SK"/>
              </w:rPr>
              <w:t>rýchlejšie zacielenie colných služieb prokuratúry</w:t>
            </w:r>
            <w:r w:rsidR="00AB26B3" w:rsidRPr="00AB26B3">
              <w:rPr>
                <w:noProof/>
                <w:spacing w:val="-6"/>
                <w:lang w:val="sk-SK"/>
              </w:rPr>
              <w:t xml:space="preserve"> s </w:t>
            </w:r>
            <w:r w:rsidRPr="00AB26B3">
              <w:rPr>
                <w:noProof/>
                <w:spacing w:val="-6"/>
                <w:lang w:val="sk-SK"/>
              </w:rPr>
              <w:t>centrálnym dohľadom</w:t>
            </w:r>
            <w:r w:rsidR="00AB26B3" w:rsidRPr="00AB26B3">
              <w:rPr>
                <w:noProof/>
                <w:spacing w:val="-6"/>
                <w:lang w:val="sk-SK"/>
              </w:rPr>
              <w:t xml:space="preserve"> a </w:t>
            </w:r>
            <w:r w:rsidRPr="00AB26B3">
              <w:rPr>
                <w:noProof/>
                <w:spacing w:val="-6"/>
                <w:lang w:val="sk-SK"/>
              </w:rPr>
              <w:t>na miesta, ktoré sú predmetom veľkého záujmu.</w:t>
            </w:r>
          </w:p>
        </w:tc>
      </w:tr>
      <w:tr w:rsidR="00302FC1" w:rsidRPr="00AB26B3" w14:paraId="0D48A2F1" w14:textId="77777777">
        <w:trPr>
          <w:gridBefore w:val="1"/>
          <w:wBefore w:w="6" w:type="dxa"/>
          <w:trHeight w:val="313"/>
        </w:trPr>
        <w:tc>
          <w:tcPr>
            <w:tcW w:w="669" w:type="dxa"/>
            <w:tcBorders>
              <w:top w:val="nil"/>
              <w:left w:val="single" w:sz="4" w:space="0" w:color="auto"/>
              <w:bottom w:val="single" w:sz="4" w:space="0" w:color="auto"/>
              <w:right w:val="single" w:sz="4" w:space="0" w:color="auto"/>
            </w:tcBorders>
            <w:shd w:val="clear" w:color="auto" w:fill="C6EFCE"/>
            <w:noWrap/>
          </w:tcPr>
          <w:p w14:paraId="6F94EF0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192</w:t>
            </w:r>
          </w:p>
        </w:tc>
        <w:tc>
          <w:tcPr>
            <w:tcW w:w="2410" w:type="dxa"/>
            <w:tcBorders>
              <w:top w:val="nil"/>
              <w:left w:val="nil"/>
              <w:bottom w:val="single" w:sz="4" w:space="0" w:color="auto"/>
              <w:right w:val="single" w:sz="4" w:space="0" w:color="auto"/>
            </w:tcBorders>
            <w:shd w:val="clear" w:color="auto" w:fill="C6EFCE"/>
            <w:noWrap/>
          </w:tcPr>
          <w:p w14:paraId="60D41497" w14:textId="1FBAC485" w:rsidR="00302FC1" w:rsidRPr="00AB26B3" w:rsidRDefault="00D64F26">
            <w:pPr>
              <w:pStyle w:val="P68B1DB1-Normal12"/>
              <w:spacing w:after="0" w:line="240" w:lineRule="auto"/>
              <w:rPr>
                <w:rFonts w:eastAsia="Times New Roman"/>
                <w:noProof/>
                <w:spacing w:val="-6"/>
                <w:highlight w:val="yellow"/>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16611_Digitálna transformácia daňových auditov</w:t>
            </w:r>
          </w:p>
        </w:tc>
        <w:tc>
          <w:tcPr>
            <w:tcW w:w="1134" w:type="dxa"/>
            <w:tcBorders>
              <w:top w:val="nil"/>
              <w:left w:val="nil"/>
              <w:bottom w:val="single" w:sz="4" w:space="0" w:color="auto"/>
              <w:right w:val="single" w:sz="4" w:space="0" w:color="auto"/>
            </w:tcBorders>
            <w:shd w:val="clear" w:color="auto" w:fill="C6EFCE"/>
            <w:noWrap/>
          </w:tcPr>
          <w:p w14:paraId="4326D56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09" w:type="dxa"/>
            <w:tcBorders>
              <w:top w:val="nil"/>
              <w:left w:val="nil"/>
              <w:bottom w:val="single" w:sz="4" w:space="0" w:color="auto"/>
              <w:right w:val="single" w:sz="4" w:space="0" w:color="auto"/>
            </w:tcBorders>
            <w:shd w:val="clear" w:color="auto" w:fill="C6EFCE"/>
            <w:noWrap/>
          </w:tcPr>
          <w:p w14:paraId="43D57D26" w14:textId="5834E80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Daňové kontroly – Moje údaje</w:t>
            </w:r>
            <w:r w:rsidR="00AB26B3" w:rsidRPr="00AB26B3">
              <w:rPr>
                <w:noProof/>
                <w:spacing w:val="-6"/>
                <w:lang w:val="sk-SK"/>
              </w:rPr>
              <w:t xml:space="preserve"> a </w:t>
            </w:r>
            <w:r w:rsidRPr="00AB26B3">
              <w:rPr>
                <w:noProof/>
                <w:spacing w:val="-6"/>
                <w:lang w:val="sk-SK"/>
              </w:rPr>
              <w:t>bankové informácie</w:t>
            </w:r>
          </w:p>
        </w:tc>
        <w:tc>
          <w:tcPr>
            <w:tcW w:w="1803" w:type="dxa"/>
            <w:tcBorders>
              <w:top w:val="nil"/>
              <w:left w:val="nil"/>
              <w:bottom w:val="single" w:sz="4" w:space="0" w:color="auto"/>
              <w:right w:val="single" w:sz="4" w:space="0" w:color="auto"/>
            </w:tcBorders>
            <w:shd w:val="clear" w:color="auto" w:fill="C6EFCE"/>
            <w:noWrap/>
          </w:tcPr>
          <w:p w14:paraId="702F058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nezávislého orgánu pre verejné príjmy potvrdzujúca:</w:t>
            </w:r>
          </w:p>
          <w:p w14:paraId="56F2F28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 Úplná aktivácia systému Mydata.</w:t>
            </w:r>
          </w:p>
          <w:p w14:paraId="414E84E6" w14:textId="017033A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 Dokončenie projektu prepojenia</w:t>
            </w:r>
            <w:r w:rsidR="00AB26B3" w:rsidRPr="00AB26B3">
              <w:rPr>
                <w:noProof/>
                <w:spacing w:val="-6"/>
                <w:lang w:val="sk-SK"/>
              </w:rPr>
              <w:t xml:space="preserve"> a </w:t>
            </w:r>
            <w:r w:rsidRPr="00AB26B3">
              <w:rPr>
                <w:noProof/>
                <w:spacing w:val="-6"/>
                <w:lang w:val="sk-SK"/>
              </w:rPr>
              <w:t>využívania bankových informácií tretích strán nezávislým orgánom pre verejné príjmy.</w:t>
            </w:r>
          </w:p>
        </w:tc>
        <w:tc>
          <w:tcPr>
            <w:tcW w:w="1065" w:type="dxa"/>
            <w:tcBorders>
              <w:top w:val="nil"/>
              <w:left w:val="nil"/>
              <w:bottom w:val="single" w:sz="4" w:space="0" w:color="auto"/>
              <w:right w:val="single" w:sz="4" w:space="0" w:color="auto"/>
            </w:tcBorders>
            <w:shd w:val="clear" w:color="auto" w:fill="C6EFCE"/>
            <w:noWrap/>
          </w:tcPr>
          <w:p w14:paraId="7C4D485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1" w:type="dxa"/>
            <w:tcBorders>
              <w:top w:val="nil"/>
              <w:left w:val="nil"/>
              <w:bottom w:val="single" w:sz="4" w:space="0" w:color="auto"/>
              <w:right w:val="single" w:sz="4" w:space="0" w:color="auto"/>
            </w:tcBorders>
            <w:shd w:val="clear" w:color="auto" w:fill="C6EFCE"/>
            <w:noWrap/>
          </w:tcPr>
          <w:p w14:paraId="3BDC205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6" w:type="dxa"/>
            <w:tcBorders>
              <w:top w:val="nil"/>
              <w:left w:val="nil"/>
              <w:bottom w:val="single" w:sz="4" w:space="0" w:color="auto"/>
              <w:right w:val="single" w:sz="4" w:space="0" w:color="auto"/>
            </w:tcBorders>
            <w:shd w:val="clear" w:color="auto" w:fill="C6EFCE"/>
            <w:noWrap/>
          </w:tcPr>
          <w:p w14:paraId="06D0BBF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98" w:type="dxa"/>
            <w:tcBorders>
              <w:top w:val="nil"/>
              <w:left w:val="nil"/>
              <w:bottom w:val="single" w:sz="4" w:space="0" w:color="auto"/>
              <w:right w:val="single" w:sz="4" w:space="0" w:color="auto"/>
            </w:tcBorders>
            <w:shd w:val="clear" w:color="auto" w:fill="C6EFCE"/>
            <w:noWrap/>
          </w:tcPr>
          <w:p w14:paraId="10C8965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1369" w:type="dxa"/>
            <w:tcBorders>
              <w:top w:val="nil"/>
              <w:left w:val="nil"/>
              <w:bottom w:val="single" w:sz="4" w:space="0" w:color="auto"/>
              <w:right w:val="single" w:sz="4" w:space="0" w:color="auto"/>
            </w:tcBorders>
            <w:shd w:val="clear" w:color="auto" w:fill="C6EFCE"/>
            <w:noWrap/>
          </w:tcPr>
          <w:p w14:paraId="7A3CD26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410" w:type="dxa"/>
            <w:tcBorders>
              <w:top w:val="nil"/>
              <w:left w:val="nil"/>
              <w:bottom w:val="single" w:sz="4" w:space="0" w:color="auto"/>
              <w:right w:val="single" w:sz="4" w:space="0" w:color="auto"/>
            </w:tcBorders>
            <w:shd w:val="clear" w:color="auto" w:fill="C6EFCE"/>
            <w:noWrap/>
          </w:tcPr>
          <w:p w14:paraId="09F84036" w14:textId="77777777" w:rsidR="00AB26B3" w:rsidRPr="00AB26B3" w:rsidRDefault="00D64F26">
            <w:pPr>
              <w:pStyle w:val="P68B1DB1-Normal12"/>
              <w:spacing w:after="0" w:line="240" w:lineRule="auto"/>
              <w:rPr>
                <w:noProof/>
                <w:spacing w:val="-6"/>
                <w:lang w:val="sk-SK"/>
              </w:rPr>
            </w:pPr>
            <w:r w:rsidRPr="00AB26B3">
              <w:rPr>
                <w:noProof/>
                <w:spacing w:val="-6"/>
                <w:lang w:val="sk-SK"/>
              </w:rPr>
              <w:t>Aktivácia</w:t>
            </w:r>
          </w:p>
          <w:p w14:paraId="045FA8F9" w14:textId="7E046734" w:rsidR="00AB26B3" w:rsidRPr="00AB26B3" w:rsidRDefault="00D64F26">
            <w:pPr>
              <w:pStyle w:val="P68B1DB1-ListParagraph19"/>
              <w:numPr>
                <w:ilvl w:val="0"/>
                <w:numId w:val="38"/>
              </w:numPr>
              <w:spacing w:after="0" w:line="240" w:lineRule="auto"/>
              <w:ind w:left="169" w:hanging="142"/>
              <w:rPr>
                <w:noProof/>
                <w:spacing w:val="-6"/>
                <w:lang w:val="sk-SK"/>
              </w:rPr>
            </w:pPr>
            <w:r w:rsidRPr="00AB26B3">
              <w:rPr>
                <w:noProof/>
                <w:spacing w:val="-6"/>
                <w:lang w:val="sk-SK"/>
              </w:rPr>
              <w:t>Systém myDATA</w:t>
            </w:r>
            <w:r w:rsidR="00AB26B3" w:rsidRPr="00AB26B3">
              <w:rPr>
                <w:noProof/>
                <w:spacing w:val="-6"/>
                <w:lang w:val="sk-SK"/>
              </w:rPr>
              <w:t xml:space="preserve"> a </w:t>
            </w:r>
            <w:r w:rsidRPr="00AB26B3">
              <w:rPr>
                <w:noProof/>
                <w:spacing w:val="-6"/>
                <w:lang w:val="sk-SK"/>
              </w:rPr>
              <w:t>jeho prepojenie</w:t>
            </w:r>
            <w:r w:rsidR="00AB26B3" w:rsidRPr="00AB26B3">
              <w:rPr>
                <w:noProof/>
                <w:spacing w:val="-6"/>
                <w:lang w:val="sk-SK"/>
              </w:rPr>
              <w:t xml:space="preserve"> a </w:t>
            </w:r>
            <w:r w:rsidRPr="00AB26B3">
              <w:rPr>
                <w:noProof/>
                <w:spacing w:val="-6"/>
                <w:lang w:val="sk-SK"/>
              </w:rPr>
              <w:t>využívanie bankových informácií tretích strán</w:t>
            </w:r>
            <w:r w:rsidR="00AB26B3" w:rsidRPr="00AB26B3">
              <w:rPr>
                <w:noProof/>
                <w:spacing w:val="-6"/>
                <w:lang w:val="sk-SK"/>
              </w:rPr>
              <w:t xml:space="preserve"> s </w:t>
            </w:r>
            <w:r w:rsidRPr="00AB26B3">
              <w:rPr>
                <w:noProof/>
                <w:spacing w:val="-6"/>
                <w:lang w:val="sk-SK"/>
              </w:rPr>
              <w:t>cieľom zlepšiť dodržiavanie daňových pravidiel zo strany podnikov, uľahčiť automatické vypĺňanie daňových priznaní</w:t>
            </w:r>
            <w:r w:rsidR="00AB26B3" w:rsidRPr="00AB26B3">
              <w:rPr>
                <w:noProof/>
                <w:spacing w:val="-6"/>
                <w:lang w:val="sk-SK"/>
              </w:rPr>
              <w:t xml:space="preserve"> a </w:t>
            </w:r>
            <w:r w:rsidRPr="00AB26B3">
              <w:rPr>
                <w:noProof/>
                <w:spacing w:val="-6"/>
                <w:lang w:val="sk-SK"/>
              </w:rPr>
              <w:t>zvýšiť účinnosť daňových auditov</w:t>
            </w:r>
            <w:r w:rsidR="00AB26B3" w:rsidRPr="00AB26B3">
              <w:rPr>
                <w:noProof/>
                <w:spacing w:val="-6"/>
                <w:lang w:val="sk-SK"/>
              </w:rPr>
              <w:t>.</w:t>
            </w:r>
          </w:p>
          <w:p w14:paraId="361636FF" w14:textId="47F36B8A" w:rsidR="00302FC1" w:rsidRPr="00AB26B3" w:rsidRDefault="00D64F26">
            <w:pPr>
              <w:pStyle w:val="P68B1DB1-ListParagraph19"/>
              <w:numPr>
                <w:ilvl w:val="0"/>
                <w:numId w:val="38"/>
              </w:numPr>
              <w:spacing w:after="0" w:line="240" w:lineRule="auto"/>
              <w:ind w:left="169" w:hanging="164"/>
              <w:rPr>
                <w:rFonts w:eastAsia="Times New Roman"/>
                <w:noProof/>
                <w:spacing w:val="-6"/>
                <w:lang w:val="sk-SK"/>
              </w:rPr>
            </w:pPr>
            <w:r w:rsidRPr="00AB26B3">
              <w:rPr>
                <w:noProof/>
                <w:spacing w:val="-6"/>
                <w:lang w:val="sk-SK"/>
              </w:rPr>
              <w:t>Nástroj myDATA na elektronické vedenie účtovných kníh, elektronickú fakturáciu</w:t>
            </w:r>
            <w:r w:rsidR="00AB26B3" w:rsidRPr="00AB26B3">
              <w:rPr>
                <w:noProof/>
                <w:spacing w:val="-6"/>
                <w:lang w:val="sk-SK"/>
              </w:rPr>
              <w:t xml:space="preserve"> a </w:t>
            </w:r>
            <w:r w:rsidRPr="00AB26B3">
              <w:rPr>
                <w:noProof/>
                <w:spacing w:val="-6"/>
                <w:lang w:val="sk-SK"/>
              </w:rPr>
              <w:t>prepojenie všetkých daňových registračných pokladníc</w:t>
            </w:r>
            <w:r w:rsidR="00AB26B3" w:rsidRPr="00AB26B3">
              <w:rPr>
                <w:noProof/>
                <w:spacing w:val="-6"/>
                <w:lang w:val="sk-SK"/>
              </w:rPr>
              <w:t xml:space="preserve"> s </w:t>
            </w:r>
            <w:r w:rsidRPr="00AB26B3">
              <w:rPr>
                <w:noProof/>
                <w:spacing w:val="-6"/>
                <w:lang w:val="sk-SK"/>
              </w:rPr>
              <w:t>jeho informačnými systémami.</w:t>
            </w:r>
          </w:p>
        </w:tc>
      </w:tr>
      <w:tr w:rsidR="00302FC1" w:rsidRPr="00AB26B3" w14:paraId="53DD008D" w14:textId="77777777">
        <w:trPr>
          <w:gridBefore w:val="1"/>
          <w:wBefore w:w="6" w:type="dxa"/>
          <w:trHeight w:val="313"/>
        </w:trPr>
        <w:tc>
          <w:tcPr>
            <w:tcW w:w="669" w:type="dxa"/>
            <w:tcBorders>
              <w:top w:val="single" w:sz="4" w:space="0" w:color="auto"/>
              <w:left w:val="single" w:sz="4" w:space="0" w:color="auto"/>
              <w:bottom w:val="single" w:sz="4" w:space="0" w:color="auto"/>
              <w:right w:val="single" w:sz="4" w:space="0" w:color="auto"/>
            </w:tcBorders>
            <w:shd w:val="clear" w:color="auto" w:fill="C6EFCE"/>
            <w:noWrap/>
          </w:tcPr>
          <w:p w14:paraId="369FA3E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193</w:t>
            </w:r>
          </w:p>
        </w:tc>
        <w:tc>
          <w:tcPr>
            <w:tcW w:w="2410" w:type="dxa"/>
            <w:tcBorders>
              <w:top w:val="single" w:sz="4" w:space="0" w:color="auto"/>
              <w:left w:val="nil"/>
              <w:bottom w:val="single" w:sz="4" w:space="0" w:color="auto"/>
              <w:right w:val="single" w:sz="4" w:space="0" w:color="auto"/>
            </w:tcBorders>
            <w:shd w:val="clear" w:color="auto" w:fill="C6EFCE"/>
            <w:noWrap/>
          </w:tcPr>
          <w:p w14:paraId="255FE981" w14:textId="7DD8590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16610_Podpora urýchlenia vrátenia DPH</w:t>
            </w:r>
          </w:p>
        </w:tc>
        <w:tc>
          <w:tcPr>
            <w:tcW w:w="1134" w:type="dxa"/>
            <w:tcBorders>
              <w:top w:val="single" w:sz="4" w:space="0" w:color="auto"/>
              <w:left w:val="nil"/>
              <w:bottom w:val="single" w:sz="4" w:space="0" w:color="auto"/>
              <w:right w:val="single" w:sz="4" w:space="0" w:color="auto"/>
            </w:tcBorders>
            <w:shd w:val="clear" w:color="auto" w:fill="C6EFCE"/>
            <w:noWrap/>
          </w:tcPr>
          <w:p w14:paraId="6B8DB4C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09" w:type="dxa"/>
            <w:tcBorders>
              <w:top w:val="single" w:sz="4" w:space="0" w:color="auto"/>
              <w:left w:val="nil"/>
              <w:bottom w:val="single" w:sz="4" w:space="0" w:color="auto"/>
              <w:right w:val="single" w:sz="4" w:space="0" w:color="auto"/>
            </w:tcBorders>
            <w:shd w:val="clear" w:color="auto" w:fill="C6EFCE"/>
            <w:noWrap/>
          </w:tcPr>
          <w:p w14:paraId="365C477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Plne automatizované vrátenie DPH – spustenie informačného systému</w:t>
            </w:r>
          </w:p>
        </w:tc>
        <w:tc>
          <w:tcPr>
            <w:tcW w:w="1803" w:type="dxa"/>
            <w:tcBorders>
              <w:top w:val="single" w:sz="4" w:space="0" w:color="auto"/>
              <w:left w:val="nil"/>
              <w:bottom w:val="single" w:sz="4" w:space="0" w:color="auto"/>
              <w:right w:val="single" w:sz="4" w:space="0" w:color="auto"/>
            </w:tcBorders>
            <w:shd w:val="clear" w:color="auto" w:fill="C6EFCE"/>
            <w:noWrap/>
          </w:tcPr>
          <w:p w14:paraId="0D2ED4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nezávislého orgánu pre verejné príjmy potvrdzujúca spustenie nového informačného systému.</w:t>
            </w:r>
          </w:p>
        </w:tc>
        <w:tc>
          <w:tcPr>
            <w:tcW w:w="1065" w:type="dxa"/>
            <w:tcBorders>
              <w:top w:val="single" w:sz="4" w:space="0" w:color="auto"/>
              <w:left w:val="nil"/>
              <w:bottom w:val="single" w:sz="4" w:space="0" w:color="auto"/>
              <w:right w:val="single" w:sz="4" w:space="0" w:color="auto"/>
            </w:tcBorders>
            <w:shd w:val="clear" w:color="auto" w:fill="C6EFCE"/>
            <w:noWrap/>
          </w:tcPr>
          <w:p w14:paraId="58987A3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1" w:type="dxa"/>
            <w:tcBorders>
              <w:top w:val="single" w:sz="4" w:space="0" w:color="auto"/>
              <w:left w:val="nil"/>
              <w:bottom w:val="single" w:sz="4" w:space="0" w:color="auto"/>
              <w:right w:val="single" w:sz="4" w:space="0" w:color="auto"/>
            </w:tcBorders>
            <w:shd w:val="clear" w:color="auto" w:fill="C6EFCE"/>
            <w:noWrap/>
          </w:tcPr>
          <w:p w14:paraId="6C96872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6" w:type="dxa"/>
            <w:tcBorders>
              <w:top w:val="single" w:sz="4" w:space="0" w:color="auto"/>
              <w:left w:val="nil"/>
              <w:bottom w:val="single" w:sz="4" w:space="0" w:color="auto"/>
              <w:right w:val="single" w:sz="4" w:space="0" w:color="auto"/>
            </w:tcBorders>
            <w:shd w:val="clear" w:color="auto" w:fill="C6EFCE"/>
            <w:noWrap/>
          </w:tcPr>
          <w:p w14:paraId="65CB827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98" w:type="dxa"/>
            <w:tcBorders>
              <w:top w:val="single" w:sz="4" w:space="0" w:color="auto"/>
              <w:left w:val="nil"/>
              <w:bottom w:val="single" w:sz="4" w:space="0" w:color="auto"/>
              <w:right w:val="single" w:sz="4" w:space="0" w:color="auto"/>
            </w:tcBorders>
            <w:shd w:val="clear" w:color="auto" w:fill="C6EFCE"/>
            <w:noWrap/>
          </w:tcPr>
          <w:p w14:paraId="4B59CC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1369" w:type="dxa"/>
            <w:tcBorders>
              <w:top w:val="single" w:sz="4" w:space="0" w:color="auto"/>
              <w:left w:val="nil"/>
              <w:bottom w:val="single" w:sz="4" w:space="0" w:color="auto"/>
              <w:right w:val="single" w:sz="4" w:space="0" w:color="auto"/>
            </w:tcBorders>
            <w:shd w:val="clear" w:color="auto" w:fill="C6EFCE"/>
            <w:noWrap/>
          </w:tcPr>
          <w:p w14:paraId="4F09209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410" w:type="dxa"/>
            <w:tcBorders>
              <w:top w:val="single" w:sz="4" w:space="0" w:color="auto"/>
              <w:left w:val="nil"/>
              <w:bottom w:val="single" w:sz="4" w:space="0" w:color="auto"/>
              <w:right w:val="single" w:sz="4" w:space="0" w:color="auto"/>
            </w:tcBorders>
            <w:shd w:val="clear" w:color="auto" w:fill="C6EFCE"/>
            <w:noWrap/>
          </w:tcPr>
          <w:p w14:paraId="2C33A210" w14:textId="67F0D5B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Zavedenie plne automatizovaného postupu vrátenia DPH</w:t>
            </w:r>
            <w:r w:rsidR="00AB26B3" w:rsidRPr="00AB26B3">
              <w:rPr>
                <w:noProof/>
                <w:spacing w:val="-6"/>
                <w:lang w:val="sk-SK"/>
              </w:rPr>
              <w:t xml:space="preserve"> a </w:t>
            </w:r>
            <w:r w:rsidRPr="00AB26B3">
              <w:rPr>
                <w:noProof/>
                <w:spacing w:val="-6"/>
                <w:lang w:val="sk-SK"/>
              </w:rPr>
              <w:t>IT platformy, ktorá umožní, aby sa všetky žiadosti</w:t>
            </w:r>
            <w:r w:rsidR="00AB26B3" w:rsidRPr="00AB26B3">
              <w:rPr>
                <w:noProof/>
                <w:spacing w:val="-6"/>
                <w:lang w:val="sk-SK"/>
              </w:rPr>
              <w:t xml:space="preserve"> o </w:t>
            </w:r>
            <w:r w:rsidRPr="00AB26B3">
              <w:rPr>
                <w:noProof/>
                <w:spacing w:val="-6"/>
                <w:lang w:val="sk-SK"/>
              </w:rPr>
              <w:t>vrátenie DPH vypĺňali elektronicky, ak nepatria do kontrolovanej vzorky prostredníctvom procesu analýzy rizika (aspoň 90</w:t>
            </w:r>
            <w:r w:rsidR="00AB26B3" w:rsidRPr="00AB26B3">
              <w:rPr>
                <w:noProof/>
                <w:spacing w:val="-6"/>
                <w:lang w:val="sk-SK"/>
              </w:rPr>
              <w:t> %</w:t>
            </w:r>
            <w:r w:rsidRPr="00AB26B3">
              <w:rPr>
                <w:noProof/>
                <w:spacing w:val="-6"/>
                <w:lang w:val="sk-SK"/>
              </w:rPr>
              <w:t xml:space="preserve"> všetkých žiadostí ročne).</w:t>
            </w:r>
          </w:p>
        </w:tc>
      </w:tr>
      <w:tr w:rsidR="00302FC1" w:rsidRPr="00AB26B3" w14:paraId="0A88C9C6" w14:textId="77777777">
        <w:trPr>
          <w:gridBefore w:val="1"/>
          <w:wBefore w:w="6" w:type="dxa"/>
          <w:trHeight w:val="608"/>
        </w:trPr>
        <w:tc>
          <w:tcPr>
            <w:tcW w:w="669" w:type="dxa"/>
            <w:tcBorders>
              <w:top w:val="single" w:sz="4" w:space="0" w:color="auto"/>
              <w:left w:val="single" w:sz="4" w:space="0" w:color="auto"/>
              <w:bottom w:val="single" w:sz="4" w:space="0" w:color="auto"/>
              <w:right w:val="single" w:sz="4" w:space="0" w:color="auto"/>
            </w:tcBorders>
            <w:shd w:val="clear" w:color="auto" w:fill="C6EFCE"/>
            <w:noWrap/>
          </w:tcPr>
          <w:p w14:paraId="606AF8A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195a</w:t>
            </w:r>
          </w:p>
        </w:tc>
        <w:tc>
          <w:tcPr>
            <w:tcW w:w="2410" w:type="dxa"/>
            <w:tcBorders>
              <w:top w:val="single" w:sz="4" w:space="0" w:color="auto"/>
              <w:left w:val="nil"/>
              <w:bottom w:val="single" w:sz="4" w:space="0" w:color="auto"/>
              <w:right w:val="single" w:sz="4" w:space="0" w:color="auto"/>
            </w:tcBorders>
            <w:shd w:val="clear" w:color="auto" w:fill="C6EFCE"/>
            <w:noWrap/>
          </w:tcPr>
          <w:p w14:paraId="64B654B2" w14:textId="77777777" w:rsidR="00AB26B3" w:rsidRPr="00AB26B3" w:rsidRDefault="00D64F26">
            <w:pPr>
              <w:pStyle w:val="P68B1DB1-Normal12"/>
              <w:spacing w:after="0" w:line="240" w:lineRule="auto"/>
              <w:rPr>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w:t>
            </w:r>
          </w:p>
          <w:p w14:paraId="5D513FEF" w14:textId="13C4171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16291_Digitálna transformácia daňovej</w:t>
            </w:r>
            <w:r w:rsidR="00AB26B3" w:rsidRPr="00AB26B3">
              <w:rPr>
                <w:noProof/>
                <w:spacing w:val="-6"/>
                <w:lang w:val="sk-SK"/>
              </w:rPr>
              <w:t xml:space="preserve"> a </w:t>
            </w:r>
            <w:r w:rsidRPr="00AB26B3">
              <w:rPr>
                <w:noProof/>
                <w:spacing w:val="-6"/>
                <w:lang w:val="sk-SK"/>
              </w:rPr>
              <w:t>colnej správy</w:t>
            </w:r>
          </w:p>
        </w:tc>
        <w:tc>
          <w:tcPr>
            <w:tcW w:w="1134" w:type="dxa"/>
            <w:tcBorders>
              <w:top w:val="single" w:sz="4" w:space="0" w:color="auto"/>
              <w:left w:val="nil"/>
              <w:bottom w:val="single" w:sz="4" w:space="0" w:color="auto"/>
              <w:right w:val="single" w:sz="4" w:space="0" w:color="auto"/>
            </w:tcBorders>
            <w:shd w:val="clear" w:color="auto" w:fill="C6EFCE"/>
            <w:noWrap/>
          </w:tcPr>
          <w:p w14:paraId="110E9C6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09" w:type="dxa"/>
            <w:tcBorders>
              <w:top w:val="single" w:sz="4" w:space="0" w:color="auto"/>
              <w:left w:val="nil"/>
              <w:bottom w:val="single" w:sz="4" w:space="0" w:color="auto"/>
              <w:right w:val="single" w:sz="4" w:space="0" w:color="auto"/>
            </w:tcBorders>
            <w:shd w:val="clear" w:color="auto" w:fill="C6EFCE"/>
            <w:noWrap/>
          </w:tcPr>
          <w:p w14:paraId="7893E1F4" w14:textId="71E6B0BA" w:rsidR="00302FC1" w:rsidRPr="00AB26B3" w:rsidRDefault="00D64F26">
            <w:pPr>
              <w:pStyle w:val="P68B1DB1-Normal12"/>
              <w:spacing w:after="0" w:line="240" w:lineRule="auto"/>
              <w:rPr>
                <w:noProof/>
                <w:spacing w:val="-6"/>
                <w:lang w:val="sk-SK"/>
              </w:rPr>
            </w:pPr>
            <w:r w:rsidRPr="00AB26B3">
              <w:rPr>
                <w:noProof/>
                <w:spacing w:val="-6"/>
                <w:lang w:val="sk-SK"/>
              </w:rPr>
              <w:t>Dodanie i) integrovaného informačného systému pre Generálne riaditeľstvo pre finančné služby IAPR</w:t>
            </w:r>
            <w:r w:rsidR="00AB26B3" w:rsidRPr="00AB26B3">
              <w:rPr>
                <w:noProof/>
                <w:spacing w:val="-6"/>
                <w:lang w:val="sk-SK"/>
              </w:rPr>
              <w:t xml:space="preserve"> a </w:t>
            </w:r>
            <w:r w:rsidRPr="00AB26B3">
              <w:rPr>
                <w:noProof/>
                <w:spacing w:val="-6"/>
                <w:lang w:val="sk-SK"/>
              </w:rPr>
              <w:t>ii) kancelárskeho hardvéru</w:t>
            </w:r>
            <w:r w:rsidR="00AB26B3" w:rsidRPr="00AB26B3">
              <w:rPr>
                <w:noProof/>
                <w:spacing w:val="-6"/>
                <w:lang w:val="sk-SK"/>
              </w:rPr>
              <w:t xml:space="preserve"> a </w:t>
            </w:r>
            <w:r w:rsidRPr="00AB26B3">
              <w:rPr>
                <w:noProof/>
                <w:spacing w:val="-6"/>
                <w:lang w:val="sk-SK"/>
              </w:rPr>
              <w:t>prenosného IT vybavenia pre IAPR</w:t>
            </w:r>
          </w:p>
        </w:tc>
        <w:tc>
          <w:tcPr>
            <w:tcW w:w="1803" w:type="dxa"/>
            <w:tcBorders>
              <w:top w:val="single" w:sz="4" w:space="0" w:color="auto"/>
              <w:left w:val="nil"/>
              <w:bottom w:val="single" w:sz="4" w:space="0" w:color="auto"/>
              <w:right w:val="single" w:sz="4" w:space="0" w:color="auto"/>
            </w:tcBorders>
            <w:shd w:val="clear" w:color="auto" w:fill="C6EFCE"/>
            <w:noWrap/>
          </w:tcPr>
          <w:p w14:paraId="5C503E1B" w14:textId="11B2701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dvoch čiastkových projektov</w:t>
            </w:r>
          </w:p>
        </w:tc>
        <w:tc>
          <w:tcPr>
            <w:tcW w:w="1065" w:type="dxa"/>
            <w:tcBorders>
              <w:top w:val="single" w:sz="4" w:space="0" w:color="auto"/>
              <w:left w:val="nil"/>
              <w:bottom w:val="single" w:sz="4" w:space="0" w:color="auto"/>
              <w:right w:val="single" w:sz="4" w:space="0" w:color="auto"/>
            </w:tcBorders>
            <w:shd w:val="clear" w:color="auto" w:fill="C6EFCE"/>
            <w:noWrap/>
          </w:tcPr>
          <w:p w14:paraId="0D6B846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1" w:type="dxa"/>
            <w:tcBorders>
              <w:top w:val="single" w:sz="4" w:space="0" w:color="auto"/>
              <w:left w:val="nil"/>
              <w:bottom w:val="single" w:sz="4" w:space="0" w:color="auto"/>
              <w:right w:val="single" w:sz="4" w:space="0" w:color="auto"/>
            </w:tcBorders>
            <w:shd w:val="clear" w:color="auto" w:fill="C6EFCE"/>
            <w:noWrap/>
          </w:tcPr>
          <w:p w14:paraId="70C2264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6" w:type="dxa"/>
            <w:tcBorders>
              <w:top w:val="single" w:sz="4" w:space="0" w:color="auto"/>
              <w:left w:val="nil"/>
              <w:bottom w:val="single" w:sz="4" w:space="0" w:color="auto"/>
              <w:right w:val="single" w:sz="4" w:space="0" w:color="auto"/>
            </w:tcBorders>
            <w:shd w:val="clear" w:color="auto" w:fill="C6EFCE"/>
            <w:noWrap/>
          </w:tcPr>
          <w:p w14:paraId="6344202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98" w:type="dxa"/>
            <w:tcBorders>
              <w:top w:val="single" w:sz="4" w:space="0" w:color="auto"/>
              <w:left w:val="nil"/>
              <w:bottom w:val="single" w:sz="4" w:space="0" w:color="auto"/>
              <w:right w:val="single" w:sz="4" w:space="0" w:color="auto"/>
            </w:tcBorders>
            <w:shd w:val="clear" w:color="auto" w:fill="C6EFCE"/>
            <w:noWrap/>
          </w:tcPr>
          <w:p w14:paraId="479168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1369" w:type="dxa"/>
            <w:tcBorders>
              <w:top w:val="single" w:sz="4" w:space="0" w:color="auto"/>
              <w:left w:val="nil"/>
              <w:bottom w:val="single" w:sz="4" w:space="0" w:color="auto"/>
              <w:right w:val="single" w:sz="4" w:space="0" w:color="auto"/>
            </w:tcBorders>
            <w:shd w:val="clear" w:color="auto" w:fill="C6EFCE"/>
            <w:noWrap/>
          </w:tcPr>
          <w:p w14:paraId="306F7AD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410" w:type="dxa"/>
            <w:tcBorders>
              <w:top w:val="single" w:sz="4" w:space="0" w:color="auto"/>
              <w:left w:val="nil"/>
              <w:bottom w:val="single" w:sz="4" w:space="0" w:color="auto"/>
              <w:right w:val="single" w:sz="4" w:space="0" w:color="auto"/>
            </w:tcBorders>
            <w:shd w:val="clear" w:color="auto" w:fill="C6EFCE"/>
            <w:noWrap/>
          </w:tcPr>
          <w:p w14:paraId="3FC92EB3" w14:textId="6A9618B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Realizujú sa tieto čiastkové projekty:</w:t>
            </w:r>
          </w:p>
          <w:p w14:paraId="24116EA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BCDFC04" w14:textId="1567C7A0" w:rsidR="00302FC1" w:rsidRPr="00AB26B3" w:rsidRDefault="00D64F26">
            <w:pPr>
              <w:pStyle w:val="P68B1DB1-ListParagraph19"/>
              <w:numPr>
                <w:ilvl w:val="0"/>
                <w:numId w:val="37"/>
              </w:numPr>
              <w:spacing w:after="0" w:line="240" w:lineRule="auto"/>
              <w:rPr>
                <w:noProof/>
                <w:spacing w:val="-6"/>
                <w:lang w:val="sk-SK"/>
              </w:rPr>
            </w:pPr>
            <w:r w:rsidRPr="00AB26B3">
              <w:rPr>
                <w:noProof/>
                <w:spacing w:val="-6"/>
                <w:lang w:val="sk-SK"/>
              </w:rPr>
              <w:t>V oblasti intervencie „Náhrada základných digitálnych systémov, obnova zastaranej infraštruktúry</w:t>
            </w:r>
            <w:r w:rsidR="00AB26B3" w:rsidRPr="00AB26B3">
              <w:rPr>
                <w:noProof/>
                <w:spacing w:val="-6"/>
                <w:lang w:val="sk-SK"/>
              </w:rPr>
              <w:t xml:space="preserve"> a </w:t>
            </w:r>
            <w:r w:rsidRPr="00AB26B3">
              <w:rPr>
                <w:noProof/>
                <w:spacing w:val="-6"/>
                <w:lang w:val="sk-SK"/>
              </w:rPr>
              <w:t>rozšírenie funkčnosti poskytovania služieb“: Integrovaný informačný systém pre generálne riaditeľstvo pre finančné služby IAPR.</w:t>
            </w:r>
          </w:p>
          <w:p w14:paraId="384A0403" w14:textId="5139FEB5" w:rsidR="00302FC1" w:rsidRPr="00AB26B3" w:rsidRDefault="00D64F26">
            <w:pPr>
              <w:pStyle w:val="P68B1DB1-ListParagraph19"/>
              <w:numPr>
                <w:ilvl w:val="0"/>
                <w:numId w:val="37"/>
              </w:numPr>
              <w:spacing w:after="0" w:line="240" w:lineRule="auto"/>
              <w:rPr>
                <w:rFonts w:eastAsia="Times New Roman"/>
                <w:noProof/>
                <w:spacing w:val="-6"/>
                <w:lang w:val="sk-SK"/>
              </w:rPr>
            </w:pPr>
            <w:r w:rsidRPr="00AB26B3">
              <w:rPr>
                <w:noProof/>
                <w:spacing w:val="-6"/>
                <w:lang w:val="sk-SK"/>
              </w:rPr>
              <w:t>V rámci oblasti intervencie „Automatizácia kancelárskych</w:t>
            </w:r>
            <w:r w:rsidR="00AB26B3" w:rsidRPr="00AB26B3">
              <w:rPr>
                <w:noProof/>
                <w:spacing w:val="-6"/>
                <w:lang w:val="sk-SK"/>
              </w:rPr>
              <w:t xml:space="preserve"> a </w:t>
            </w:r>
            <w:r w:rsidRPr="00AB26B3">
              <w:rPr>
                <w:noProof/>
                <w:spacing w:val="-6"/>
                <w:lang w:val="sk-SK"/>
              </w:rPr>
              <w:t>pracovných procesov“: Dodávky zariadení pre IAPR.</w:t>
            </w:r>
          </w:p>
        </w:tc>
      </w:tr>
      <w:tr w:rsidR="00302FC1" w:rsidRPr="00AB26B3" w14:paraId="47E680AF" w14:textId="77777777">
        <w:trPr>
          <w:gridBefore w:val="1"/>
          <w:wBefore w:w="6" w:type="dxa"/>
          <w:trHeight w:val="313"/>
        </w:trPr>
        <w:tc>
          <w:tcPr>
            <w:tcW w:w="669" w:type="dxa"/>
            <w:tcBorders>
              <w:top w:val="single" w:sz="4" w:space="0" w:color="auto"/>
              <w:left w:val="single" w:sz="4" w:space="0" w:color="auto"/>
              <w:bottom w:val="single" w:sz="4" w:space="0" w:color="auto"/>
              <w:right w:val="single" w:sz="4" w:space="0" w:color="auto"/>
            </w:tcBorders>
            <w:shd w:val="clear" w:color="auto" w:fill="C6EFCE"/>
            <w:noWrap/>
          </w:tcPr>
          <w:p w14:paraId="3CB16C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194</w:t>
            </w:r>
          </w:p>
        </w:tc>
        <w:tc>
          <w:tcPr>
            <w:tcW w:w="2410" w:type="dxa"/>
            <w:tcBorders>
              <w:top w:val="single" w:sz="4" w:space="0" w:color="auto"/>
              <w:left w:val="nil"/>
              <w:bottom w:val="single" w:sz="4" w:space="0" w:color="auto"/>
              <w:right w:val="single" w:sz="4" w:space="0" w:color="auto"/>
            </w:tcBorders>
            <w:shd w:val="clear" w:color="auto" w:fill="C6EFCE"/>
            <w:noWrap/>
          </w:tcPr>
          <w:p w14:paraId="12E9E82E" w14:textId="69C4AA3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16611_Digitálna transformácia daňových auditov</w:t>
            </w:r>
          </w:p>
        </w:tc>
        <w:tc>
          <w:tcPr>
            <w:tcW w:w="1134" w:type="dxa"/>
            <w:tcBorders>
              <w:top w:val="single" w:sz="4" w:space="0" w:color="auto"/>
              <w:left w:val="nil"/>
              <w:bottom w:val="single" w:sz="4" w:space="0" w:color="auto"/>
              <w:right w:val="single" w:sz="4" w:space="0" w:color="auto"/>
            </w:tcBorders>
            <w:shd w:val="clear" w:color="auto" w:fill="C6EFCE"/>
            <w:noWrap/>
          </w:tcPr>
          <w:p w14:paraId="327CD8B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09" w:type="dxa"/>
            <w:tcBorders>
              <w:top w:val="single" w:sz="4" w:space="0" w:color="auto"/>
              <w:left w:val="nil"/>
              <w:bottom w:val="single" w:sz="4" w:space="0" w:color="auto"/>
              <w:right w:val="single" w:sz="4" w:space="0" w:color="auto"/>
            </w:tcBorders>
            <w:shd w:val="clear" w:color="auto" w:fill="C6EFCE"/>
            <w:noWrap/>
          </w:tcPr>
          <w:p w14:paraId="7A91F00A" w14:textId="28C600F6" w:rsidR="00302FC1" w:rsidRPr="00AB26B3" w:rsidRDefault="00D64F26">
            <w:pPr>
              <w:pStyle w:val="P68B1DB1-Normal12"/>
              <w:spacing w:after="0" w:line="240" w:lineRule="auto"/>
              <w:rPr>
                <w:noProof/>
                <w:spacing w:val="-6"/>
                <w:lang w:val="sk-SK"/>
              </w:rPr>
            </w:pPr>
            <w:r w:rsidRPr="00AB26B3">
              <w:rPr>
                <w:noProof/>
                <w:spacing w:val="-6"/>
                <w:lang w:val="sk-SK"/>
              </w:rPr>
              <w:t>Dodanie</w:t>
            </w:r>
            <w:r w:rsidR="00AB26B3" w:rsidRPr="00AB26B3">
              <w:rPr>
                <w:noProof/>
                <w:spacing w:val="-6"/>
                <w:lang w:val="sk-SK"/>
              </w:rPr>
              <w:t xml:space="preserve"> a </w:t>
            </w:r>
            <w:r w:rsidRPr="00AB26B3">
              <w:rPr>
                <w:noProof/>
                <w:spacing w:val="-6"/>
                <w:lang w:val="sk-SK"/>
              </w:rPr>
              <w:t>uvedenie do používania systémov súvisiacich</w:t>
            </w:r>
            <w:r w:rsidR="00AB26B3" w:rsidRPr="00AB26B3">
              <w:rPr>
                <w:noProof/>
                <w:spacing w:val="-6"/>
                <w:lang w:val="sk-SK"/>
              </w:rPr>
              <w:t xml:space="preserve"> s </w:t>
            </w:r>
            <w:r w:rsidRPr="00AB26B3">
              <w:rPr>
                <w:noProof/>
                <w:spacing w:val="-6"/>
                <w:lang w:val="sk-SK"/>
              </w:rPr>
              <w:t>digitálnou transformáciou daňových auditov</w:t>
            </w:r>
          </w:p>
        </w:tc>
        <w:tc>
          <w:tcPr>
            <w:tcW w:w="1803" w:type="dxa"/>
            <w:tcBorders>
              <w:top w:val="single" w:sz="4" w:space="0" w:color="auto"/>
              <w:left w:val="nil"/>
              <w:bottom w:val="single" w:sz="4" w:space="0" w:color="auto"/>
              <w:right w:val="single" w:sz="4" w:space="0" w:color="auto"/>
            </w:tcBorders>
            <w:shd w:val="clear" w:color="auto" w:fill="C6EFCE"/>
            <w:noWrap/>
          </w:tcPr>
          <w:p w14:paraId="4BB2A57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Dodanie systému podnikovej inteligencie/analýzy údajov</w:t>
            </w:r>
          </w:p>
          <w:p w14:paraId="1F83C857"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384D2DB1" w14:textId="5B7EBD32" w:rsidR="00302FC1" w:rsidRPr="00AB26B3" w:rsidRDefault="00D64F26">
            <w:pPr>
              <w:pStyle w:val="P68B1DB1-Normal12"/>
              <w:spacing w:after="0" w:line="240" w:lineRule="auto"/>
              <w:rPr>
                <w:noProof/>
                <w:spacing w:val="-6"/>
                <w:lang w:val="sk-SK"/>
              </w:rPr>
            </w:pPr>
            <w:r w:rsidRPr="00AB26B3">
              <w:rPr>
                <w:noProof/>
                <w:spacing w:val="-6"/>
                <w:lang w:val="sk-SK"/>
              </w:rPr>
              <w:t>Správa nezávislého orgánu pre verejné príjmy potvrdzujúca začatie používania systému „ELEGXOSlive“</w:t>
            </w:r>
          </w:p>
        </w:tc>
        <w:tc>
          <w:tcPr>
            <w:tcW w:w="1065" w:type="dxa"/>
            <w:tcBorders>
              <w:top w:val="single" w:sz="4" w:space="0" w:color="auto"/>
              <w:left w:val="nil"/>
              <w:bottom w:val="single" w:sz="4" w:space="0" w:color="auto"/>
              <w:right w:val="single" w:sz="4" w:space="0" w:color="auto"/>
            </w:tcBorders>
            <w:shd w:val="clear" w:color="auto" w:fill="C6EFCE"/>
            <w:noWrap/>
          </w:tcPr>
          <w:p w14:paraId="03DEAC6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1" w:type="dxa"/>
            <w:tcBorders>
              <w:top w:val="single" w:sz="4" w:space="0" w:color="auto"/>
              <w:left w:val="nil"/>
              <w:bottom w:val="single" w:sz="4" w:space="0" w:color="auto"/>
              <w:right w:val="single" w:sz="4" w:space="0" w:color="auto"/>
            </w:tcBorders>
            <w:shd w:val="clear" w:color="auto" w:fill="C6EFCE"/>
            <w:noWrap/>
          </w:tcPr>
          <w:p w14:paraId="1088C1B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6" w:type="dxa"/>
            <w:tcBorders>
              <w:top w:val="single" w:sz="4" w:space="0" w:color="auto"/>
              <w:left w:val="nil"/>
              <w:bottom w:val="single" w:sz="4" w:space="0" w:color="auto"/>
              <w:right w:val="single" w:sz="4" w:space="0" w:color="auto"/>
            </w:tcBorders>
            <w:shd w:val="clear" w:color="auto" w:fill="C6EFCE"/>
            <w:noWrap/>
          </w:tcPr>
          <w:p w14:paraId="697D2CB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98" w:type="dxa"/>
            <w:tcBorders>
              <w:top w:val="single" w:sz="4" w:space="0" w:color="auto"/>
              <w:left w:val="nil"/>
              <w:bottom w:val="single" w:sz="4" w:space="0" w:color="auto"/>
              <w:right w:val="single" w:sz="4" w:space="0" w:color="auto"/>
            </w:tcBorders>
            <w:shd w:val="clear" w:color="auto" w:fill="C6EFCE"/>
            <w:noWrap/>
          </w:tcPr>
          <w:p w14:paraId="0229B6D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1369" w:type="dxa"/>
            <w:tcBorders>
              <w:top w:val="single" w:sz="4" w:space="0" w:color="auto"/>
              <w:left w:val="nil"/>
              <w:bottom w:val="single" w:sz="4" w:space="0" w:color="auto"/>
              <w:right w:val="single" w:sz="4" w:space="0" w:color="auto"/>
            </w:tcBorders>
            <w:shd w:val="clear" w:color="auto" w:fill="C6EFCE"/>
            <w:noWrap/>
          </w:tcPr>
          <w:p w14:paraId="1557EC5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10" w:type="dxa"/>
            <w:tcBorders>
              <w:top w:val="single" w:sz="4" w:space="0" w:color="auto"/>
              <w:left w:val="nil"/>
              <w:bottom w:val="single" w:sz="4" w:space="0" w:color="auto"/>
              <w:right w:val="single" w:sz="4" w:space="0" w:color="auto"/>
            </w:tcBorders>
            <w:shd w:val="clear" w:color="auto" w:fill="C6EFCE"/>
            <w:noWrap/>
          </w:tcPr>
          <w:p w14:paraId="69135D3D" w14:textId="77777777" w:rsidR="00302FC1" w:rsidRPr="00AB26B3" w:rsidRDefault="00D64F26">
            <w:pPr>
              <w:pStyle w:val="P68B1DB1-Normal12"/>
              <w:spacing w:after="0" w:line="240" w:lineRule="auto"/>
              <w:rPr>
                <w:noProof/>
                <w:spacing w:val="-6"/>
                <w:lang w:val="sk-SK"/>
              </w:rPr>
            </w:pPr>
            <w:r w:rsidRPr="00AB26B3">
              <w:rPr>
                <w:noProof/>
                <w:spacing w:val="-6"/>
                <w:lang w:val="sk-SK"/>
              </w:rPr>
              <w:t>a) Dodanie systému podnikovej inteligencie/analýzy údajov.</w:t>
            </w:r>
          </w:p>
          <w:p w14:paraId="26ECD98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E21AACF" w14:textId="77777777" w:rsidR="00AB26B3" w:rsidRPr="00AB26B3" w:rsidRDefault="00D64F26">
            <w:pPr>
              <w:pStyle w:val="P68B1DB1-Normal12"/>
              <w:spacing w:after="0" w:line="240" w:lineRule="auto"/>
              <w:rPr>
                <w:noProof/>
                <w:spacing w:val="-6"/>
                <w:lang w:val="sk-SK"/>
              </w:rPr>
            </w:pPr>
            <w:r w:rsidRPr="00AB26B3">
              <w:rPr>
                <w:noProof/>
                <w:spacing w:val="-6"/>
                <w:lang w:val="sk-SK"/>
              </w:rPr>
              <w:t>b) Uvedenie systému Elenxis Live („ELEGXOSlive“) do prevádzky</w:t>
            </w:r>
            <w:r w:rsidR="00AB26B3" w:rsidRPr="00AB26B3">
              <w:rPr>
                <w:noProof/>
                <w:spacing w:val="-6"/>
                <w:lang w:val="sk-SK"/>
              </w:rPr>
              <w:t>.</w:t>
            </w:r>
          </w:p>
          <w:p w14:paraId="1397F6DF" w14:textId="64E20689"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4BAAF228" w14:textId="77777777">
        <w:trPr>
          <w:gridBefore w:val="1"/>
          <w:wBefore w:w="6" w:type="dxa"/>
          <w:trHeight w:val="313"/>
        </w:trPr>
        <w:tc>
          <w:tcPr>
            <w:tcW w:w="669" w:type="dxa"/>
            <w:tcBorders>
              <w:top w:val="single" w:sz="4" w:space="0" w:color="auto"/>
              <w:left w:val="single" w:sz="4" w:space="0" w:color="auto"/>
              <w:bottom w:val="single" w:sz="4" w:space="0" w:color="auto"/>
              <w:right w:val="single" w:sz="4" w:space="0" w:color="auto"/>
            </w:tcBorders>
            <w:shd w:val="clear" w:color="auto" w:fill="C6EFCE"/>
            <w:noWrap/>
          </w:tcPr>
          <w:p w14:paraId="70E391D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195</w:t>
            </w:r>
          </w:p>
        </w:tc>
        <w:tc>
          <w:tcPr>
            <w:tcW w:w="2410" w:type="dxa"/>
            <w:tcBorders>
              <w:top w:val="single" w:sz="4" w:space="0" w:color="auto"/>
              <w:left w:val="nil"/>
              <w:bottom w:val="single" w:sz="4" w:space="0" w:color="auto"/>
              <w:right w:val="single" w:sz="4" w:space="0" w:color="auto"/>
            </w:tcBorders>
            <w:shd w:val="clear" w:color="auto" w:fill="C6EFCE"/>
            <w:noWrap/>
          </w:tcPr>
          <w:p w14:paraId="36265383" w14:textId="77777777" w:rsidR="00AB26B3" w:rsidRPr="00AB26B3" w:rsidRDefault="00D64F26">
            <w:pPr>
              <w:pStyle w:val="P68B1DB1-Normal12"/>
              <w:spacing w:after="0" w:line="240" w:lineRule="auto"/>
              <w:rPr>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w:t>
            </w:r>
          </w:p>
          <w:p w14:paraId="7EA7DD78" w14:textId="41DC293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16291_Digitálna transformácia daňovej</w:t>
            </w:r>
            <w:r w:rsidR="00AB26B3" w:rsidRPr="00AB26B3">
              <w:rPr>
                <w:noProof/>
                <w:spacing w:val="-6"/>
                <w:lang w:val="sk-SK"/>
              </w:rPr>
              <w:t xml:space="preserve"> a </w:t>
            </w:r>
            <w:r w:rsidRPr="00AB26B3">
              <w:rPr>
                <w:noProof/>
                <w:spacing w:val="-6"/>
                <w:lang w:val="sk-SK"/>
              </w:rPr>
              <w:t>colnej správy</w:t>
            </w:r>
          </w:p>
        </w:tc>
        <w:tc>
          <w:tcPr>
            <w:tcW w:w="1134" w:type="dxa"/>
            <w:tcBorders>
              <w:top w:val="single" w:sz="4" w:space="0" w:color="auto"/>
              <w:left w:val="nil"/>
              <w:bottom w:val="single" w:sz="4" w:space="0" w:color="auto"/>
              <w:right w:val="single" w:sz="4" w:space="0" w:color="auto"/>
            </w:tcBorders>
            <w:shd w:val="clear" w:color="auto" w:fill="C6EFCE"/>
            <w:noWrap/>
          </w:tcPr>
          <w:p w14:paraId="08E8384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09" w:type="dxa"/>
            <w:tcBorders>
              <w:top w:val="single" w:sz="4" w:space="0" w:color="auto"/>
              <w:left w:val="nil"/>
              <w:bottom w:val="single" w:sz="4" w:space="0" w:color="auto"/>
              <w:right w:val="single" w:sz="4" w:space="0" w:color="auto"/>
            </w:tcBorders>
            <w:shd w:val="clear" w:color="auto" w:fill="C6EFCE"/>
            <w:noWrap/>
          </w:tcPr>
          <w:p w14:paraId="2F42194E" w14:textId="7F95186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prvej fázy výsledkov integrovaného daňového</w:t>
            </w:r>
            <w:r w:rsidR="00AB26B3" w:rsidRPr="00AB26B3">
              <w:rPr>
                <w:noProof/>
                <w:spacing w:val="-6"/>
                <w:lang w:val="sk-SK"/>
              </w:rPr>
              <w:t xml:space="preserve"> a </w:t>
            </w:r>
            <w:r w:rsidRPr="00AB26B3">
              <w:rPr>
                <w:noProof/>
                <w:spacing w:val="-6"/>
                <w:lang w:val="sk-SK"/>
              </w:rPr>
              <w:t>audítorského IT prostredia nezávislého orgánu pre verejné príjmy</w:t>
            </w:r>
          </w:p>
          <w:p w14:paraId="0540912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15D1A1BA" w14:textId="5C056BC6" w:rsidR="00302FC1" w:rsidRPr="00AB26B3" w:rsidRDefault="00D64F26">
            <w:pPr>
              <w:pStyle w:val="P68B1DB1-Normal12"/>
              <w:spacing w:after="0" w:line="240" w:lineRule="auto"/>
              <w:rPr>
                <w:noProof/>
                <w:spacing w:val="-6"/>
                <w:lang w:val="sk-SK"/>
              </w:rPr>
            </w:pPr>
            <w:r w:rsidRPr="00AB26B3">
              <w:rPr>
                <w:noProof/>
                <w:spacing w:val="-6"/>
                <w:lang w:val="sk-SK"/>
              </w:rPr>
              <w:t>Realizácia čiastkových projektov ako súčasť digitálnej transformácie IAPR</w:t>
            </w:r>
          </w:p>
        </w:tc>
        <w:tc>
          <w:tcPr>
            <w:tcW w:w="1803" w:type="dxa"/>
            <w:tcBorders>
              <w:top w:val="single" w:sz="4" w:space="0" w:color="auto"/>
              <w:left w:val="nil"/>
              <w:bottom w:val="single" w:sz="4" w:space="0" w:color="auto"/>
              <w:right w:val="single" w:sz="4" w:space="0" w:color="auto"/>
            </w:tcBorders>
            <w:shd w:val="clear" w:color="auto" w:fill="C6EFCE"/>
            <w:noWrap/>
          </w:tcPr>
          <w:p w14:paraId="26360EA0" w14:textId="5F69A1E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i) výsledkov prvej fázy integrovaného IT prostredia; podprojektov ako súčasti digitálnej transformácie IAPR</w:t>
            </w:r>
          </w:p>
        </w:tc>
        <w:tc>
          <w:tcPr>
            <w:tcW w:w="1065" w:type="dxa"/>
            <w:tcBorders>
              <w:top w:val="single" w:sz="4" w:space="0" w:color="auto"/>
              <w:left w:val="nil"/>
              <w:bottom w:val="single" w:sz="4" w:space="0" w:color="auto"/>
              <w:right w:val="single" w:sz="4" w:space="0" w:color="auto"/>
            </w:tcBorders>
            <w:shd w:val="clear" w:color="auto" w:fill="C6EFCE"/>
            <w:noWrap/>
          </w:tcPr>
          <w:p w14:paraId="02DBD07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1" w:type="dxa"/>
            <w:tcBorders>
              <w:top w:val="single" w:sz="4" w:space="0" w:color="auto"/>
              <w:left w:val="nil"/>
              <w:bottom w:val="single" w:sz="4" w:space="0" w:color="auto"/>
              <w:right w:val="single" w:sz="4" w:space="0" w:color="auto"/>
            </w:tcBorders>
            <w:shd w:val="clear" w:color="auto" w:fill="C6EFCE"/>
            <w:noWrap/>
          </w:tcPr>
          <w:p w14:paraId="45DA266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6" w:type="dxa"/>
            <w:tcBorders>
              <w:top w:val="single" w:sz="4" w:space="0" w:color="auto"/>
              <w:left w:val="nil"/>
              <w:bottom w:val="single" w:sz="4" w:space="0" w:color="auto"/>
              <w:right w:val="single" w:sz="4" w:space="0" w:color="auto"/>
            </w:tcBorders>
            <w:shd w:val="clear" w:color="auto" w:fill="C6EFCE"/>
            <w:noWrap/>
          </w:tcPr>
          <w:p w14:paraId="5CFEF7F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98" w:type="dxa"/>
            <w:tcBorders>
              <w:top w:val="single" w:sz="4" w:space="0" w:color="auto"/>
              <w:left w:val="nil"/>
              <w:bottom w:val="single" w:sz="4" w:space="0" w:color="auto"/>
              <w:right w:val="single" w:sz="4" w:space="0" w:color="auto"/>
            </w:tcBorders>
            <w:shd w:val="clear" w:color="auto" w:fill="C6EFCE"/>
            <w:noWrap/>
          </w:tcPr>
          <w:p w14:paraId="3C7C577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1369" w:type="dxa"/>
            <w:tcBorders>
              <w:top w:val="single" w:sz="4" w:space="0" w:color="auto"/>
              <w:left w:val="nil"/>
              <w:bottom w:val="single" w:sz="4" w:space="0" w:color="auto"/>
              <w:right w:val="single" w:sz="4" w:space="0" w:color="auto"/>
            </w:tcBorders>
            <w:shd w:val="clear" w:color="auto" w:fill="C6EFCE"/>
            <w:noWrap/>
          </w:tcPr>
          <w:p w14:paraId="0935213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10" w:type="dxa"/>
            <w:tcBorders>
              <w:top w:val="single" w:sz="4" w:space="0" w:color="auto"/>
              <w:left w:val="nil"/>
              <w:bottom w:val="single" w:sz="4" w:space="0" w:color="auto"/>
              <w:right w:val="single" w:sz="4" w:space="0" w:color="auto"/>
            </w:tcBorders>
            <w:shd w:val="clear" w:color="auto" w:fill="C6EFCE"/>
            <w:noWrap/>
          </w:tcPr>
          <w:p w14:paraId="0470A0AC" w14:textId="4C08A666" w:rsidR="00AB26B3" w:rsidRPr="00AB26B3" w:rsidRDefault="00D64F26">
            <w:pPr>
              <w:pStyle w:val="P68B1DB1-Normal12"/>
              <w:spacing w:after="0" w:line="240" w:lineRule="auto"/>
              <w:rPr>
                <w:noProof/>
                <w:spacing w:val="-6"/>
                <w:lang w:val="sk-SK"/>
              </w:rPr>
            </w:pPr>
            <w:r w:rsidRPr="00AB26B3">
              <w:rPr>
                <w:noProof/>
                <w:spacing w:val="-6"/>
                <w:lang w:val="sk-SK"/>
              </w:rPr>
              <w:t>Dokončenie prvej fázy výstupov integrovaného IT prostredia (nahradenie systémov TAXIS, TAXISnet</w:t>
            </w:r>
            <w:r w:rsidR="00AB26B3" w:rsidRPr="00AB26B3">
              <w:rPr>
                <w:noProof/>
                <w:spacing w:val="-6"/>
                <w:lang w:val="sk-SK"/>
              </w:rPr>
              <w:t xml:space="preserve"> a </w:t>
            </w:r>
            <w:r w:rsidRPr="00AB26B3">
              <w:rPr>
                <w:noProof/>
                <w:spacing w:val="-6"/>
                <w:lang w:val="sk-SK"/>
              </w:rPr>
              <w:t>Elenxis). Tieto výstupy pozostávajú zo všetkých požadovaných projektových štúdií, úplného prepracovania</w:t>
            </w:r>
            <w:r w:rsidR="00AB26B3" w:rsidRPr="00AB26B3">
              <w:rPr>
                <w:noProof/>
                <w:spacing w:val="-6"/>
                <w:lang w:val="sk-SK"/>
              </w:rPr>
              <w:t xml:space="preserve"> a </w:t>
            </w:r>
            <w:r w:rsidRPr="00AB26B3">
              <w:rPr>
                <w:noProof/>
                <w:spacing w:val="-6"/>
                <w:lang w:val="sk-SK"/>
              </w:rPr>
              <w:t>realizácie databázy, poskytovania dátových rozhraní</w:t>
            </w:r>
            <w:r w:rsidR="00AB26B3" w:rsidRPr="00AB26B3">
              <w:rPr>
                <w:noProof/>
                <w:spacing w:val="-6"/>
                <w:lang w:val="sk-SK"/>
              </w:rPr>
              <w:t xml:space="preserve"> a </w:t>
            </w:r>
            <w:r w:rsidRPr="00AB26B3">
              <w:rPr>
                <w:noProof/>
                <w:spacing w:val="-6"/>
                <w:lang w:val="sk-SK"/>
              </w:rPr>
              <w:t>zavádzania subsystémov prvej fázy (vrátane daňového registra, účtovníctva)</w:t>
            </w:r>
            <w:r w:rsidR="00AB26B3" w:rsidRPr="00AB26B3">
              <w:rPr>
                <w:noProof/>
                <w:spacing w:val="-6"/>
                <w:lang w:val="sk-SK"/>
              </w:rPr>
              <w:t>.</w:t>
            </w:r>
          </w:p>
          <w:p w14:paraId="3FBE3418" w14:textId="7CA29665"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0439AB42" w14:textId="77777777" w:rsidR="00AB26B3" w:rsidRPr="00AB26B3" w:rsidRDefault="00D64F26">
            <w:pPr>
              <w:pStyle w:val="P68B1DB1-Normal12"/>
              <w:spacing w:after="0" w:line="240" w:lineRule="auto"/>
              <w:rPr>
                <w:noProof/>
                <w:spacing w:val="-6"/>
                <w:lang w:val="sk-SK"/>
              </w:rPr>
            </w:pPr>
            <w:r w:rsidRPr="00AB26B3">
              <w:rPr>
                <w:noProof/>
                <w:spacing w:val="-6"/>
                <w:lang w:val="sk-SK"/>
              </w:rPr>
              <w:t>Systém dohľadu nad úžitkovými vozidlami</w:t>
            </w:r>
            <w:r w:rsidR="00AB26B3" w:rsidRPr="00AB26B3">
              <w:rPr>
                <w:noProof/>
                <w:spacing w:val="-6"/>
                <w:lang w:val="sk-SK"/>
              </w:rPr>
              <w:t xml:space="preserve"> a </w:t>
            </w:r>
            <w:r w:rsidRPr="00AB26B3">
              <w:rPr>
                <w:noProof/>
                <w:spacing w:val="-6"/>
                <w:lang w:val="sk-SK"/>
              </w:rPr>
              <w:t>kontajnermi zriadený na základe sledovacieho riešenia GPS Internet-Of-Things (IoT) na vykonávanie sledovacích operácií podporujúcich digitálnu transformáciu nezávislého orgánu pre verejné príjmy prostredníctvom poskytovania systému dohľadu nad úžitkovými vozidlami</w:t>
            </w:r>
            <w:r w:rsidR="00AB26B3" w:rsidRPr="00AB26B3">
              <w:rPr>
                <w:noProof/>
                <w:spacing w:val="-6"/>
                <w:lang w:val="sk-SK"/>
              </w:rPr>
              <w:t xml:space="preserve"> a </w:t>
            </w:r>
            <w:r w:rsidRPr="00AB26B3">
              <w:rPr>
                <w:noProof/>
                <w:spacing w:val="-6"/>
                <w:lang w:val="sk-SK"/>
              </w:rPr>
              <w:t>kontajnermi</w:t>
            </w:r>
          </w:p>
          <w:p w14:paraId="608D99A9" w14:textId="775EA054"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2574497E" w14:textId="328E46BE" w:rsidR="00302FC1" w:rsidRPr="00AB26B3" w:rsidRDefault="00D64F26">
            <w:pPr>
              <w:pStyle w:val="P68B1DB1-Normal12"/>
              <w:spacing w:after="0" w:line="240" w:lineRule="auto"/>
              <w:rPr>
                <w:noProof/>
                <w:color w:val="8764B8"/>
                <w:spacing w:val="-6"/>
                <w:u w:val="single"/>
                <w:lang w:val="sk-SK"/>
              </w:rPr>
            </w:pPr>
            <w:r w:rsidRPr="00AB26B3">
              <w:rPr>
                <w:noProof/>
                <w:spacing w:val="-6"/>
                <w:lang w:val="sk-SK"/>
              </w:rPr>
              <w:t>Realizujú sa aj tieto čiastkové projekty:</w:t>
            </w:r>
          </w:p>
          <w:p w14:paraId="79342D0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1B15A76" w14:textId="1144D30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w:t>
            </w:r>
            <w:r w:rsidR="00AB26B3" w:rsidRPr="00AB26B3">
              <w:rPr>
                <w:noProof/>
                <w:spacing w:val="-6"/>
                <w:lang w:val="sk-SK"/>
              </w:rPr>
              <w:t xml:space="preserve"> V </w:t>
            </w:r>
            <w:r w:rsidRPr="00AB26B3">
              <w:rPr>
                <w:noProof/>
                <w:spacing w:val="-6"/>
                <w:lang w:val="sk-SK"/>
              </w:rPr>
              <w:t>oblasti intervencie „Náhrada základných digitálnych systémov, obnova zastaranej infraštruktúry</w:t>
            </w:r>
            <w:r w:rsidR="00AB26B3" w:rsidRPr="00AB26B3">
              <w:rPr>
                <w:noProof/>
                <w:spacing w:val="-6"/>
                <w:lang w:val="sk-SK"/>
              </w:rPr>
              <w:t xml:space="preserve"> a </w:t>
            </w:r>
            <w:r w:rsidRPr="00AB26B3">
              <w:rPr>
                <w:noProof/>
                <w:spacing w:val="-6"/>
                <w:lang w:val="sk-SK"/>
              </w:rPr>
              <w:t>rozšírenie funkčnosti poskytovania služieb“:</w:t>
            </w:r>
          </w:p>
          <w:p w14:paraId="464351D0" w14:textId="77777777" w:rsidR="00AB26B3" w:rsidRPr="00AB26B3" w:rsidRDefault="00D64F26">
            <w:pPr>
              <w:pStyle w:val="P68B1DB1-Normal12"/>
              <w:spacing w:after="0" w:line="240" w:lineRule="auto"/>
              <w:rPr>
                <w:noProof/>
                <w:spacing w:val="-6"/>
                <w:lang w:val="sk-SK"/>
              </w:rPr>
            </w:pPr>
            <w:r w:rsidRPr="00AB26B3">
              <w:rPr>
                <w:noProof/>
                <w:spacing w:val="-6"/>
                <w:lang w:val="sk-SK"/>
              </w:rPr>
              <w:t>— Nový integrovaný informačný systém pre štátne chemické laboratórium Grécka,</w:t>
            </w:r>
          </w:p>
          <w:p w14:paraId="6AAE1F5F" w14:textId="336BB674" w:rsidR="00AB26B3" w:rsidRPr="00AB26B3" w:rsidRDefault="00D64F26">
            <w:pPr>
              <w:pStyle w:val="P68B1DB1-Normal24"/>
              <w:spacing w:after="0" w:line="240" w:lineRule="auto"/>
              <w:rPr>
                <w:noProof/>
                <w:spacing w:val="-6"/>
                <w:lang w:val="sk-SK"/>
              </w:rPr>
            </w:pPr>
            <w:r w:rsidRPr="00AB26B3">
              <w:rPr>
                <w:noProof/>
                <w:spacing w:val="-6"/>
                <w:lang w:val="sk-SK"/>
              </w:rPr>
              <w:t>−Systém riadenia ľudských zdrojov pre IAPR; podielu a </w:t>
            </w:r>
          </w:p>
          <w:p w14:paraId="6E0772BD" w14:textId="77777777" w:rsidR="00AB26B3" w:rsidRPr="00AB26B3" w:rsidRDefault="00D64F26">
            <w:pPr>
              <w:pStyle w:val="P68B1DB1-Normal24"/>
              <w:spacing w:after="0" w:line="240" w:lineRule="auto"/>
              <w:rPr>
                <w:noProof/>
                <w:spacing w:val="-6"/>
                <w:lang w:val="sk-SK"/>
              </w:rPr>
            </w:pPr>
            <w:r w:rsidRPr="00AB26B3">
              <w:rPr>
                <w:noProof/>
                <w:spacing w:val="-6"/>
                <w:lang w:val="sk-SK"/>
              </w:rPr>
              <w:t>−Modernizácia</w:t>
            </w:r>
            <w:r w:rsidR="00AB26B3" w:rsidRPr="00AB26B3">
              <w:rPr>
                <w:noProof/>
                <w:spacing w:val="-6"/>
                <w:lang w:val="sk-SK"/>
              </w:rPr>
              <w:t xml:space="preserve"> a </w:t>
            </w:r>
            <w:r w:rsidRPr="00AB26B3">
              <w:rPr>
                <w:noProof/>
                <w:spacing w:val="-6"/>
                <w:lang w:val="sk-SK"/>
              </w:rPr>
              <w:t>údržba informačných systémov agentúry IAPR, </w:t>
            </w:r>
          </w:p>
          <w:p w14:paraId="4749419D" w14:textId="34F67586"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60671074" w14:textId="7A18B89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w:t>
            </w:r>
            <w:r w:rsidR="00AB26B3" w:rsidRPr="00AB26B3">
              <w:rPr>
                <w:noProof/>
                <w:spacing w:val="-6"/>
                <w:lang w:val="sk-SK"/>
              </w:rPr>
              <w:t xml:space="preserve"> V </w:t>
            </w:r>
            <w:r w:rsidRPr="00AB26B3">
              <w:rPr>
                <w:noProof/>
                <w:spacing w:val="-6"/>
                <w:lang w:val="sk-SK"/>
              </w:rPr>
              <w:t>časti „Automatizácia kancelárskych</w:t>
            </w:r>
            <w:r w:rsidR="00AB26B3" w:rsidRPr="00AB26B3">
              <w:rPr>
                <w:noProof/>
                <w:spacing w:val="-6"/>
                <w:lang w:val="sk-SK"/>
              </w:rPr>
              <w:t xml:space="preserve"> a </w:t>
            </w:r>
            <w:r w:rsidRPr="00AB26B3">
              <w:rPr>
                <w:noProof/>
                <w:spacing w:val="-6"/>
                <w:lang w:val="sk-SK"/>
              </w:rPr>
              <w:t>pracovných procesov“:</w:t>
            </w:r>
          </w:p>
          <w:p w14:paraId="4F6E6BDD" w14:textId="77777777" w:rsidR="00AB26B3" w:rsidRPr="00AB26B3" w:rsidRDefault="00D64F26">
            <w:pPr>
              <w:pStyle w:val="P68B1DB1-Normal28"/>
              <w:spacing w:after="0" w:line="240" w:lineRule="auto"/>
              <w:rPr>
                <w:noProof/>
                <w:spacing w:val="-6"/>
                <w:lang w:val="sk-SK"/>
              </w:rPr>
            </w:pPr>
            <w:r w:rsidRPr="00AB26B3">
              <w:rPr>
                <w:noProof/>
                <w:spacing w:val="-6"/>
                <w:lang w:val="sk-SK"/>
              </w:rPr>
              <w:t>— Služby správy kancelárií</w:t>
            </w:r>
            <w:r w:rsidR="00AB26B3" w:rsidRPr="00AB26B3">
              <w:rPr>
                <w:noProof/>
                <w:spacing w:val="-6"/>
                <w:lang w:val="sk-SK"/>
              </w:rPr>
              <w:t xml:space="preserve"> a </w:t>
            </w:r>
            <w:r w:rsidRPr="00AB26B3">
              <w:rPr>
                <w:noProof/>
                <w:spacing w:val="-6"/>
                <w:lang w:val="sk-SK"/>
              </w:rPr>
              <w:t>softvér pre IAPR,</w:t>
            </w:r>
          </w:p>
          <w:p w14:paraId="08E90E66" w14:textId="77777777" w:rsidR="00AB26B3" w:rsidRPr="00AB26B3" w:rsidRDefault="00D64F26">
            <w:pPr>
              <w:pStyle w:val="P68B1DB1-Normal28"/>
              <w:spacing w:after="0" w:line="240" w:lineRule="auto"/>
              <w:rPr>
                <w:noProof/>
                <w:spacing w:val="-6"/>
                <w:lang w:val="sk-SK"/>
              </w:rPr>
            </w:pPr>
            <w:r w:rsidRPr="00AB26B3">
              <w:rPr>
                <w:noProof/>
                <w:spacing w:val="-6"/>
                <w:lang w:val="sk-SK"/>
              </w:rPr>
              <w:t>— Nástroje riadenia IT služieb, podielu</w:t>
            </w:r>
            <w:r w:rsidR="00AB26B3" w:rsidRPr="00AB26B3">
              <w:rPr>
                <w:noProof/>
                <w:spacing w:val="-6"/>
                <w:lang w:val="sk-SK"/>
              </w:rPr>
              <w:t xml:space="preserve"> a</w:t>
            </w:r>
          </w:p>
          <w:p w14:paraId="5C9AB88D" w14:textId="5A2CEF66" w:rsidR="00302FC1" w:rsidRPr="00AB26B3" w:rsidRDefault="00D64F26">
            <w:pPr>
              <w:pStyle w:val="P68B1DB1-Normal12"/>
              <w:spacing w:after="0" w:line="240" w:lineRule="auto"/>
              <w:textAlignment w:val="baseline"/>
              <w:rPr>
                <w:rFonts w:eastAsia="Times New Roman"/>
                <w:noProof/>
                <w:spacing w:val="-6"/>
                <w:lang w:val="sk-SK"/>
              </w:rPr>
            </w:pPr>
            <w:r w:rsidRPr="00AB26B3">
              <w:rPr>
                <w:noProof/>
                <w:spacing w:val="-6"/>
                <w:lang w:val="sk-SK"/>
              </w:rPr>
              <w:t>— Nový integrovaný informačný systém na podporu riaditeľstva správy verejných aktív nezávislého orgánu pre verejné príjmy</w:t>
            </w:r>
          </w:p>
          <w:p w14:paraId="5C6235F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DC35A3C" w14:textId="20986A2C" w:rsidR="00AB26B3" w:rsidRPr="00AB26B3" w:rsidRDefault="00D64F26">
            <w:pPr>
              <w:pStyle w:val="P68B1DB1-Normal12"/>
              <w:spacing w:after="0" w:line="240" w:lineRule="auto"/>
              <w:rPr>
                <w:noProof/>
                <w:spacing w:val="-6"/>
                <w:lang w:val="sk-SK"/>
              </w:rPr>
            </w:pPr>
            <w:r w:rsidRPr="00AB26B3">
              <w:rPr>
                <w:noProof/>
                <w:spacing w:val="-6"/>
                <w:lang w:val="sk-SK"/>
              </w:rPr>
              <w:t>3.</w:t>
            </w:r>
            <w:r w:rsidR="00AB26B3" w:rsidRPr="00AB26B3">
              <w:rPr>
                <w:noProof/>
                <w:spacing w:val="-6"/>
                <w:lang w:val="sk-SK"/>
              </w:rPr>
              <w:t xml:space="preserve"> V </w:t>
            </w:r>
            <w:r w:rsidRPr="00AB26B3">
              <w:rPr>
                <w:noProof/>
                <w:spacing w:val="-6"/>
                <w:lang w:val="sk-SK"/>
              </w:rPr>
              <w:t>oblasti intervencie „Zlepšovanie služieb pre daňových poplatníkov“</w:t>
            </w:r>
            <w:r w:rsidR="00AB26B3" w:rsidRPr="00AB26B3">
              <w:rPr>
                <w:noProof/>
                <w:spacing w:val="-6"/>
                <w:lang w:val="sk-SK"/>
              </w:rPr>
              <w:t>:</w:t>
            </w:r>
          </w:p>
          <w:p w14:paraId="1D13F0ED" w14:textId="77777777" w:rsidR="00AB26B3" w:rsidRPr="00AB26B3" w:rsidRDefault="00D64F26">
            <w:pPr>
              <w:pStyle w:val="P68B1DB1-Normal12"/>
              <w:spacing w:after="0" w:line="240" w:lineRule="auto"/>
              <w:rPr>
                <w:noProof/>
                <w:spacing w:val="-6"/>
                <w:lang w:val="sk-SK"/>
              </w:rPr>
            </w:pPr>
            <w:r w:rsidRPr="00AB26B3">
              <w:rPr>
                <w:noProof/>
                <w:spacing w:val="-6"/>
                <w:lang w:val="sk-SK"/>
              </w:rPr>
              <w:t>— Rozšírenie</w:t>
            </w:r>
            <w:r w:rsidR="00AB26B3" w:rsidRPr="00AB26B3">
              <w:rPr>
                <w:noProof/>
                <w:spacing w:val="-6"/>
                <w:lang w:val="sk-SK"/>
              </w:rPr>
              <w:t xml:space="preserve"> a </w:t>
            </w:r>
            <w:r w:rsidRPr="00AB26B3">
              <w:rPr>
                <w:noProof/>
                <w:spacing w:val="-6"/>
                <w:lang w:val="sk-SK"/>
              </w:rPr>
              <w:t>modernizácia servisného centra pre daňovníkov</w:t>
            </w:r>
            <w:r w:rsidR="00AB26B3" w:rsidRPr="00AB26B3">
              <w:rPr>
                <w:noProof/>
                <w:spacing w:val="-6"/>
                <w:lang w:val="sk-SK"/>
              </w:rPr>
              <w:t xml:space="preserve"> a </w:t>
            </w:r>
            <w:r w:rsidRPr="00AB26B3">
              <w:rPr>
                <w:noProof/>
                <w:spacing w:val="-6"/>
                <w:lang w:val="sk-SK"/>
              </w:rPr>
              <w:t>služieb telefonického centra, podielu</w:t>
            </w:r>
            <w:r w:rsidR="00AB26B3" w:rsidRPr="00AB26B3">
              <w:rPr>
                <w:noProof/>
                <w:spacing w:val="-6"/>
                <w:lang w:val="sk-SK"/>
              </w:rPr>
              <w:t xml:space="preserve"> a</w:t>
            </w:r>
          </w:p>
          <w:p w14:paraId="0A0F16AD" w14:textId="6FDA1992" w:rsidR="00AB26B3" w:rsidRPr="00AB26B3" w:rsidRDefault="00D64F26">
            <w:pPr>
              <w:pStyle w:val="P68B1DB1-Normal12"/>
              <w:spacing w:after="0" w:line="240" w:lineRule="auto"/>
              <w:rPr>
                <w:noProof/>
                <w:spacing w:val="-6"/>
                <w:lang w:val="sk-SK"/>
              </w:rPr>
            </w:pPr>
            <w:r w:rsidRPr="00AB26B3">
              <w:rPr>
                <w:noProof/>
                <w:spacing w:val="-6"/>
                <w:lang w:val="sk-SK"/>
              </w:rPr>
              <w:t>— Bezpečnosť údajov </w:t>
            </w:r>
          </w:p>
          <w:p w14:paraId="188B7D15" w14:textId="2EC9AD6E"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3A4A4F11" w14:textId="6FE93879" w:rsidR="00302FC1" w:rsidRPr="00AB26B3" w:rsidRDefault="00D64F26">
            <w:pPr>
              <w:pStyle w:val="P68B1DB1-Normal12"/>
              <w:spacing w:after="0" w:line="240" w:lineRule="auto"/>
              <w:rPr>
                <w:noProof/>
                <w:spacing w:val="-6"/>
                <w:lang w:val="sk-SK"/>
              </w:rPr>
            </w:pPr>
            <w:r w:rsidRPr="00AB26B3">
              <w:rPr>
                <w:noProof/>
                <w:spacing w:val="-6"/>
                <w:lang w:val="sk-SK"/>
              </w:rPr>
              <w:t>4.</w:t>
            </w:r>
            <w:r w:rsidR="00AB26B3" w:rsidRPr="00AB26B3">
              <w:rPr>
                <w:noProof/>
                <w:spacing w:val="-6"/>
                <w:lang w:val="sk-SK"/>
              </w:rPr>
              <w:t xml:space="preserve"> V </w:t>
            </w:r>
            <w:r w:rsidRPr="00AB26B3">
              <w:rPr>
                <w:noProof/>
                <w:spacing w:val="-6"/>
                <w:lang w:val="sk-SK"/>
              </w:rPr>
              <w:t>oblasti intervencie „Digitalizácia auditov</w:t>
            </w:r>
            <w:r w:rsidR="00AB26B3" w:rsidRPr="00AB26B3">
              <w:rPr>
                <w:noProof/>
                <w:spacing w:val="-6"/>
                <w:lang w:val="sk-SK"/>
              </w:rPr>
              <w:t xml:space="preserve"> a </w:t>
            </w:r>
            <w:r w:rsidRPr="00AB26B3">
              <w:rPr>
                <w:noProof/>
                <w:spacing w:val="-6"/>
                <w:lang w:val="sk-SK"/>
              </w:rPr>
              <w:t>kontrol“:</w:t>
            </w:r>
          </w:p>
          <w:p w14:paraId="4FC8211B" w14:textId="643D3E2E" w:rsidR="00302FC1" w:rsidRPr="00AB26B3" w:rsidRDefault="00D64F26">
            <w:pPr>
              <w:pStyle w:val="P68B1DB1-Normal12"/>
              <w:spacing w:after="0" w:line="240" w:lineRule="auto"/>
              <w:rPr>
                <w:noProof/>
                <w:spacing w:val="-6"/>
                <w:lang w:val="sk-SK"/>
              </w:rPr>
            </w:pPr>
            <w:r w:rsidRPr="00AB26B3">
              <w:rPr>
                <w:noProof/>
                <w:spacing w:val="-6"/>
                <w:lang w:val="sk-SK"/>
              </w:rPr>
              <w:t>— Systém riadenia podnikových rizík</w:t>
            </w:r>
            <w:r w:rsidR="00AB26B3" w:rsidRPr="00AB26B3">
              <w:rPr>
                <w:noProof/>
                <w:spacing w:val="-6"/>
                <w:lang w:val="sk-SK"/>
              </w:rPr>
              <w:t xml:space="preserve"> a </w:t>
            </w:r>
            <w:r w:rsidRPr="00AB26B3">
              <w:rPr>
                <w:noProof/>
                <w:spacing w:val="-6"/>
                <w:lang w:val="sk-SK"/>
              </w:rPr>
              <w:t>plán na zabezpečenie kontinuity činností pre IAPR.</w:t>
            </w:r>
          </w:p>
        </w:tc>
      </w:tr>
    </w:tbl>
    <w:p w14:paraId="677BD268" w14:textId="77777777" w:rsidR="00302FC1" w:rsidRPr="00AB26B3" w:rsidRDefault="00D64F26">
      <w:pPr>
        <w:rPr>
          <w:rFonts w:ascii="Times New Roman" w:hAnsi="Times New Roman"/>
          <w:noProof/>
          <w:spacing w:val="-6"/>
          <w:lang w:val="sk-SK"/>
        </w:rPr>
        <w:sectPr w:rsidR="00302FC1" w:rsidRPr="00AB26B3" w:rsidSect="00315FC0">
          <w:headerReference w:type="even" r:id="rId214"/>
          <w:headerReference w:type="default" r:id="rId215"/>
          <w:footerReference w:type="even" r:id="rId216"/>
          <w:footerReference w:type="default" r:id="rId217"/>
          <w:headerReference w:type="first" r:id="rId218"/>
          <w:footerReference w:type="first" r:id="rId219"/>
          <w:pgSz w:w="16839" w:h="11907" w:orient="landscape"/>
          <w:pgMar w:top="720" w:right="720" w:bottom="720" w:left="720" w:header="709" w:footer="75" w:gutter="0"/>
          <w:cols w:space="720"/>
          <w:docGrid w:linePitch="360"/>
        </w:sectPr>
      </w:pPr>
      <w:r w:rsidRPr="00AB26B3">
        <w:rPr>
          <w:rFonts w:ascii="Times New Roman" w:hAnsi="Times New Roman"/>
          <w:noProof/>
          <w:spacing w:val="-6"/>
          <w:lang w:val="sk-SK"/>
        </w:rPr>
        <w:br/>
      </w:r>
    </w:p>
    <w:p w14:paraId="6B1EAE93" w14:textId="77777777"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18: Daňová politika</w:t>
      </w:r>
    </w:p>
    <w:p w14:paraId="131C32D1" w14:textId="0D2FF3C3" w:rsidR="00302FC1" w:rsidRPr="00AB26B3" w:rsidRDefault="00D64F26">
      <w:pPr>
        <w:pStyle w:val="P68B1DB1-Normal7"/>
        <w:numPr>
          <w:ilvl w:val="0"/>
          <w:numId w:val="33"/>
        </w:numPr>
        <w:spacing w:before="120" w:after="0" w:line="240" w:lineRule="auto"/>
        <w:jc w:val="both"/>
        <w:rPr>
          <w:rFonts w:cs="Times New Roman"/>
          <w:noProof/>
          <w:spacing w:val="-6"/>
          <w:lang w:val="sk-SK"/>
        </w:rPr>
      </w:pPr>
      <w:r w:rsidRPr="00AB26B3">
        <w:rPr>
          <w:noProof/>
          <w:spacing w:val="-6"/>
          <w:lang w:val="sk-SK"/>
        </w:rPr>
        <w:t>Kodifikácia</w:t>
      </w:r>
      <w:r w:rsidR="00AB26B3" w:rsidRPr="00AB26B3">
        <w:rPr>
          <w:noProof/>
          <w:spacing w:val="-6"/>
          <w:lang w:val="sk-SK"/>
        </w:rPr>
        <w:t xml:space="preserve"> a </w:t>
      </w:r>
      <w:r w:rsidRPr="00AB26B3">
        <w:rPr>
          <w:noProof/>
          <w:spacing w:val="-6"/>
          <w:lang w:val="sk-SK"/>
        </w:rPr>
        <w:t>zjednodušenie daňových právnych predpisov, pravidiel</w:t>
      </w:r>
      <w:r w:rsidR="00AB26B3" w:rsidRPr="00AB26B3">
        <w:rPr>
          <w:noProof/>
          <w:spacing w:val="-6"/>
          <w:lang w:val="sk-SK"/>
        </w:rPr>
        <w:t xml:space="preserve"> a </w:t>
      </w:r>
      <w:r w:rsidRPr="00AB26B3">
        <w:rPr>
          <w:noProof/>
          <w:spacing w:val="-6"/>
          <w:lang w:val="sk-SK"/>
        </w:rPr>
        <w:t>postupov (ID: 16643)</w:t>
      </w:r>
    </w:p>
    <w:p w14:paraId="3BD647AE" w14:textId="41D86B8B" w:rsidR="00302FC1" w:rsidRPr="00AB26B3" w:rsidRDefault="00D64F26">
      <w:pPr>
        <w:pStyle w:val="P68B1DB1-Normal5"/>
        <w:numPr>
          <w:ilvl w:val="0"/>
          <w:numId w:val="33"/>
        </w:numPr>
        <w:spacing w:before="120" w:after="0" w:line="240" w:lineRule="auto"/>
        <w:jc w:val="both"/>
        <w:rPr>
          <w:rFonts w:cs="Times New Roman"/>
          <w:noProof/>
          <w:spacing w:val="-6"/>
          <w:lang w:val="sk-SK"/>
        </w:rPr>
      </w:pPr>
      <w:r w:rsidRPr="00AB26B3">
        <w:rPr>
          <w:noProof/>
          <w:spacing w:val="-6"/>
          <w:lang w:val="sk-SK"/>
        </w:rPr>
        <w:t>Prijatie opatrení</w:t>
      </w:r>
      <w:r w:rsidR="00AB26B3" w:rsidRPr="00AB26B3">
        <w:rPr>
          <w:noProof/>
          <w:spacing w:val="-6"/>
          <w:lang w:val="sk-SK"/>
        </w:rPr>
        <w:t xml:space="preserve"> a </w:t>
      </w:r>
      <w:r w:rsidRPr="00AB26B3">
        <w:rPr>
          <w:noProof/>
          <w:spacing w:val="-6"/>
          <w:lang w:val="sk-SK"/>
        </w:rPr>
        <w:t>stimulov na zvýšenie počtu elektronických transakcií (ID: 16616)</w:t>
      </w:r>
    </w:p>
    <w:p w14:paraId="2688AA31" w14:textId="46739E23" w:rsidR="00302FC1" w:rsidRPr="00AB26B3" w:rsidRDefault="00D64F26">
      <w:pPr>
        <w:pStyle w:val="P68B1DB1-Normal5"/>
        <w:numPr>
          <w:ilvl w:val="0"/>
          <w:numId w:val="33"/>
        </w:numPr>
        <w:spacing w:before="120" w:after="0" w:line="240" w:lineRule="auto"/>
        <w:jc w:val="both"/>
        <w:rPr>
          <w:rFonts w:cs="Times New Roman"/>
          <w:noProof/>
          <w:spacing w:val="-6"/>
          <w:lang w:val="sk-SK"/>
        </w:rPr>
      </w:pPr>
      <w:r w:rsidRPr="00AB26B3">
        <w:rPr>
          <w:noProof/>
          <w:spacing w:val="-6"/>
          <w:lang w:val="sk-SK"/>
        </w:rPr>
        <w:t>Super – odpočítanie výdavkov MSP na ekologické hospodárstvo, energetiku</w:t>
      </w:r>
      <w:r w:rsidR="00AB26B3" w:rsidRPr="00AB26B3">
        <w:rPr>
          <w:noProof/>
          <w:spacing w:val="-6"/>
          <w:lang w:val="sk-SK"/>
        </w:rPr>
        <w:t xml:space="preserve"> a </w:t>
      </w:r>
      <w:r w:rsidRPr="00AB26B3">
        <w:rPr>
          <w:noProof/>
          <w:spacing w:val="-6"/>
          <w:lang w:val="sk-SK"/>
        </w:rPr>
        <w:t>digitalizáciu (ID: 16863)</w:t>
      </w:r>
    </w:p>
    <w:p w14:paraId="63F5D451" w14:textId="2E056705" w:rsidR="00302FC1" w:rsidRPr="00AB26B3" w:rsidRDefault="00D64F26">
      <w:pPr>
        <w:pStyle w:val="P68B1DB1-Normal5"/>
        <w:numPr>
          <w:ilvl w:val="0"/>
          <w:numId w:val="33"/>
        </w:numPr>
        <w:spacing w:before="120" w:after="120" w:line="240" w:lineRule="auto"/>
        <w:jc w:val="both"/>
        <w:rPr>
          <w:rFonts w:cs="Times New Roman"/>
          <w:noProof/>
          <w:spacing w:val="-6"/>
          <w:lang w:val="sk-SK"/>
        </w:rPr>
      </w:pPr>
      <w:r w:rsidRPr="00AB26B3">
        <w:rPr>
          <w:noProof/>
          <w:spacing w:val="-6"/>
          <w:lang w:val="sk-SK"/>
        </w:rPr>
        <w:t>Režim stimulov pre produktivitu</w:t>
      </w:r>
      <w:r w:rsidR="00AB26B3" w:rsidRPr="00AB26B3">
        <w:rPr>
          <w:noProof/>
          <w:spacing w:val="-6"/>
          <w:lang w:val="sk-SK"/>
        </w:rPr>
        <w:t xml:space="preserve"> a </w:t>
      </w:r>
      <w:r w:rsidRPr="00AB26B3">
        <w:rPr>
          <w:noProof/>
          <w:spacing w:val="-6"/>
          <w:lang w:val="sk-SK"/>
        </w:rPr>
        <w:t>extroverziu podnikov (zvýšenie veľkosti podnikov) (ID: 16598)</w:t>
      </w:r>
    </w:p>
    <w:p w14:paraId="68DF224E" w14:textId="77777777" w:rsidR="00302FC1" w:rsidRPr="00AB26B3" w:rsidRDefault="00D64F26">
      <w:pPr>
        <w:pStyle w:val="P68B1DB1-Normal5"/>
        <w:numPr>
          <w:ilvl w:val="0"/>
          <w:numId w:val="33"/>
        </w:numPr>
        <w:spacing w:before="120" w:after="120" w:line="240" w:lineRule="auto"/>
        <w:jc w:val="both"/>
        <w:rPr>
          <w:rFonts w:cs="Times New Roman"/>
          <w:noProof/>
          <w:spacing w:val="-6"/>
          <w:lang w:val="sk-SK"/>
        </w:rPr>
      </w:pPr>
      <w:r w:rsidRPr="00AB26B3">
        <w:rPr>
          <w:noProof/>
          <w:spacing w:val="-6"/>
          <w:lang w:val="sk-SK"/>
        </w:rPr>
        <w:t>Úpravy gréckeho rámca daňovej politiky (identifikačné číslo opatrenia: 16985</w:t>
      </w:r>
    </w:p>
    <w:tbl>
      <w:tblPr>
        <w:tblW w:w="15910" w:type="dxa"/>
        <w:jc w:val="center"/>
        <w:tblLook w:val="04A0" w:firstRow="1" w:lastRow="0" w:firstColumn="1" w:lastColumn="0" w:noHBand="0" w:noVBand="1"/>
      </w:tblPr>
      <w:tblGrid>
        <w:gridCol w:w="682"/>
        <w:gridCol w:w="1974"/>
        <w:gridCol w:w="1172"/>
        <w:gridCol w:w="1257"/>
        <w:gridCol w:w="1984"/>
        <w:gridCol w:w="866"/>
        <w:gridCol w:w="909"/>
        <w:gridCol w:w="668"/>
        <w:gridCol w:w="1119"/>
        <w:gridCol w:w="708"/>
        <w:gridCol w:w="4830"/>
      </w:tblGrid>
      <w:tr w:rsidR="00302FC1" w:rsidRPr="00AB26B3" w14:paraId="3AFD734C" w14:textId="77777777">
        <w:trPr>
          <w:trHeight w:val="773"/>
          <w:tblHeader/>
          <w:jc w:val="center"/>
        </w:trPr>
        <w:tc>
          <w:tcPr>
            <w:tcW w:w="6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340657" w14:textId="471F4D0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E4290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5078B5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79B4F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1F52B4" w14:textId="122AC518" w:rsidR="00302FC1" w:rsidRPr="00AB26B3" w:rsidRDefault="00D64F26">
            <w:pPr>
              <w:pStyle w:val="P68B1DB1-Normal34"/>
              <w:spacing w:after="0" w:line="240" w:lineRule="auto"/>
              <w:jc w:val="center"/>
              <w:rPr>
                <w:rFonts w:ascii="Times New Roman" w:eastAsia="Times New Roman" w:hAnsi="Times New Roman" w:cs="Times New Roman"/>
                <w:b/>
                <w:bCs/>
                <w:noProof/>
                <w:spacing w:val="-6"/>
                <w:szCs w:val="18"/>
                <w:lang w:val="sk-SK"/>
              </w:rPr>
            </w:pPr>
            <w:r w:rsidRPr="00AB26B3">
              <w:rPr>
                <w:rFonts w:ascii="Times New Roman" w:hAnsi="Times New Roman"/>
                <w:b/>
                <w:noProof/>
                <w:spacing w:val="-6"/>
                <w:lang w:val="sk-SK"/>
              </w:rPr>
              <w:t>Kvalitatívne ukazovatele</w:t>
            </w:r>
            <w:r w:rsidRPr="00AB26B3">
              <w:rPr>
                <w:rFonts w:ascii="Times New Roman" w:hAnsi="Times New Roman" w:cs="Times New Roman"/>
                <w:noProof/>
                <w:spacing w:val="-6"/>
                <w:szCs w:val="18"/>
                <w:lang w:val="sk-SK"/>
              </w:rPr>
              <w:t xml:space="preserve"> </w:t>
            </w:r>
            <w:r w:rsidRPr="00AB26B3">
              <w:rPr>
                <w:rFonts w:ascii="Times New Roman" w:hAnsi="Times New Roman"/>
                <w:b/>
                <w:noProof/>
                <w:spacing w:val="-6"/>
                <w:lang w:val="sk-SK"/>
              </w:rPr>
              <w:t>(pre míľniky)</w:t>
            </w:r>
          </w:p>
        </w:tc>
        <w:tc>
          <w:tcPr>
            <w:tcW w:w="239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9B46C00" w14:textId="76F06164"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19A0271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8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FF4B9D" w14:textId="77777777" w:rsidR="00302FC1" w:rsidRPr="00AB26B3" w:rsidRDefault="00302FC1">
            <w:pPr>
              <w:spacing w:after="0" w:line="240" w:lineRule="auto"/>
              <w:jc w:val="center"/>
              <w:rPr>
                <w:rFonts w:ascii="Times New Roman" w:hAnsi="Times New Roman"/>
                <w:b/>
                <w:noProof/>
                <w:spacing w:val="-6"/>
                <w:sz w:val="18"/>
                <w:lang w:val="sk-SK"/>
              </w:rPr>
            </w:pPr>
          </w:p>
          <w:p w14:paraId="36547068" w14:textId="68D3D835" w:rsidR="00302FC1" w:rsidRPr="00AB26B3" w:rsidRDefault="00D64F26">
            <w:pPr>
              <w:pStyle w:val="P68B1DB1-Normal10"/>
              <w:spacing w:after="0" w:line="240" w:lineRule="auto"/>
              <w:jc w:val="center"/>
              <w:rPr>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p w14:paraId="60691953" w14:textId="77777777" w:rsidR="00302FC1" w:rsidRPr="00AB26B3" w:rsidRDefault="00302FC1">
            <w:pPr>
              <w:rPr>
                <w:rFonts w:ascii="Times New Roman" w:eastAsia="Times New Roman" w:hAnsi="Times New Roman" w:cs="Times New Roman"/>
                <w:noProof/>
                <w:spacing w:val="-6"/>
                <w:sz w:val="18"/>
                <w:szCs w:val="18"/>
                <w:lang w:val="sk-SK"/>
              </w:rPr>
            </w:pPr>
          </w:p>
        </w:tc>
      </w:tr>
      <w:tr w:rsidR="00302FC1" w:rsidRPr="00AB26B3" w14:paraId="1995F908" w14:textId="77777777">
        <w:trPr>
          <w:trHeight w:val="532"/>
          <w:tblHeade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83D04E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7F1C0A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0796D8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D6B0B0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E9441C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86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8AD18F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3A44847"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66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0757F4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99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6A04BB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E866B0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830" w:type="dxa"/>
            <w:vMerge/>
            <w:tcBorders>
              <w:top w:val="single" w:sz="4" w:space="0" w:color="auto"/>
              <w:left w:val="single" w:sz="4" w:space="0" w:color="auto"/>
              <w:bottom w:val="single" w:sz="4" w:space="0" w:color="auto"/>
              <w:right w:val="single" w:sz="4" w:space="0" w:color="auto"/>
            </w:tcBorders>
            <w:vAlign w:val="center"/>
            <w:hideMark/>
          </w:tcPr>
          <w:p w14:paraId="55C59FF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42F93260"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198D85FD" w14:textId="731C59D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197</w:t>
            </w:r>
          </w:p>
        </w:tc>
        <w:tc>
          <w:tcPr>
            <w:tcW w:w="1974" w:type="dxa"/>
            <w:tcBorders>
              <w:top w:val="single" w:sz="4" w:space="0" w:color="auto"/>
              <w:left w:val="nil"/>
              <w:bottom w:val="single" w:sz="4" w:space="0" w:color="auto"/>
              <w:right w:val="single" w:sz="4" w:space="0" w:color="auto"/>
            </w:tcBorders>
            <w:shd w:val="clear" w:color="auto" w:fill="C6EFCE"/>
            <w:noWrap/>
          </w:tcPr>
          <w:p w14:paraId="6559E910" w14:textId="4804837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16863_Super – odpočítanie výdavkov na zelené hospodárstvo, energetiku</w:t>
            </w:r>
            <w:r w:rsidR="00AB26B3" w:rsidRPr="00AB26B3">
              <w:rPr>
                <w:noProof/>
                <w:spacing w:val="-6"/>
                <w:lang w:val="sk-SK"/>
              </w:rPr>
              <w:t xml:space="preserve"> a </w:t>
            </w:r>
            <w:r w:rsidRPr="00AB26B3">
              <w:rPr>
                <w:noProof/>
                <w:spacing w:val="-6"/>
                <w:lang w:val="sk-SK"/>
              </w:rPr>
              <w:t>digitálnu transformáciu</w:t>
            </w:r>
          </w:p>
        </w:tc>
        <w:tc>
          <w:tcPr>
            <w:tcW w:w="1172" w:type="dxa"/>
            <w:tcBorders>
              <w:top w:val="single" w:sz="4" w:space="0" w:color="auto"/>
              <w:left w:val="nil"/>
              <w:bottom w:val="single" w:sz="4" w:space="0" w:color="auto"/>
              <w:right w:val="single" w:sz="4" w:space="0" w:color="auto"/>
            </w:tcBorders>
            <w:shd w:val="clear" w:color="auto" w:fill="C6EFCE"/>
            <w:noWrap/>
          </w:tcPr>
          <w:p w14:paraId="454F06D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03C5715F" w14:textId="4134B8D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Super-odpočet pre ekologické</w:t>
            </w:r>
            <w:r w:rsidR="00AB26B3" w:rsidRPr="00AB26B3">
              <w:rPr>
                <w:noProof/>
                <w:spacing w:val="-6"/>
                <w:lang w:val="sk-SK"/>
              </w:rPr>
              <w:t xml:space="preserve"> a </w:t>
            </w:r>
            <w:r w:rsidRPr="00AB26B3">
              <w:rPr>
                <w:noProof/>
                <w:spacing w:val="-6"/>
                <w:lang w:val="sk-SK"/>
              </w:rPr>
              <w:t>digitálne investície MSP</w:t>
            </w:r>
          </w:p>
        </w:tc>
        <w:tc>
          <w:tcPr>
            <w:tcW w:w="1984" w:type="dxa"/>
            <w:tcBorders>
              <w:top w:val="single" w:sz="4" w:space="0" w:color="auto"/>
              <w:left w:val="nil"/>
              <w:bottom w:val="single" w:sz="4" w:space="0" w:color="auto"/>
              <w:right w:val="single" w:sz="4" w:space="0" w:color="auto"/>
            </w:tcBorders>
            <w:shd w:val="clear" w:color="auto" w:fill="C6EFCE"/>
            <w:noWrap/>
          </w:tcPr>
          <w:p w14:paraId="489AFD23" w14:textId="1110ACA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o </w:t>
            </w:r>
            <w:r w:rsidRPr="00AB26B3">
              <w:rPr>
                <w:noProof/>
                <w:spacing w:val="-6"/>
                <w:lang w:val="sk-SK"/>
              </w:rPr>
              <w:t>super-odpočte pre zelené</w:t>
            </w:r>
            <w:r w:rsidR="00AB26B3" w:rsidRPr="00AB26B3">
              <w:rPr>
                <w:noProof/>
                <w:spacing w:val="-6"/>
                <w:lang w:val="sk-SK"/>
              </w:rPr>
              <w:t xml:space="preserve"> a </w:t>
            </w:r>
            <w:r w:rsidRPr="00AB26B3">
              <w:rPr>
                <w:noProof/>
                <w:spacing w:val="-6"/>
                <w:lang w:val="sk-SK"/>
              </w:rPr>
              <w:t>digitálne investície MSP</w:t>
            </w:r>
          </w:p>
        </w:tc>
        <w:tc>
          <w:tcPr>
            <w:tcW w:w="866" w:type="dxa"/>
            <w:tcBorders>
              <w:top w:val="single" w:sz="4" w:space="0" w:color="auto"/>
              <w:left w:val="nil"/>
              <w:bottom w:val="single" w:sz="4" w:space="0" w:color="auto"/>
              <w:right w:val="single" w:sz="4" w:space="0" w:color="auto"/>
            </w:tcBorders>
            <w:shd w:val="clear" w:color="auto" w:fill="C6EFCE"/>
            <w:noWrap/>
          </w:tcPr>
          <w:p w14:paraId="7CEE075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529BCC4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3DF9750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260B32D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8" w:type="dxa"/>
            <w:tcBorders>
              <w:top w:val="single" w:sz="4" w:space="0" w:color="auto"/>
              <w:left w:val="nil"/>
              <w:bottom w:val="single" w:sz="4" w:space="0" w:color="auto"/>
              <w:right w:val="single" w:sz="4" w:space="0" w:color="auto"/>
            </w:tcBorders>
            <w:shd w:val="clear" w:color="auto" w:fill="C6EFCE"/>
            <w:noWrap/>
          </w:tcPr>
          <w:p w14:paraId="16AAE6E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830" w:type="dxa"/>
            <w:tcBorders>
              <w:top w:val="single" w:sz="4" w:space="0" w:color="auto"/>
              <w:left w:val="nil"/>
              <w:bottom w:val="single" w:sz="4" w:space="0" w:color="auto"/>
              <w:right w:val="single" w:sz="4" w:space="0" w:color="auto"/>
            </w:tcBorders>
            <w:shd w:val="clear" w:color="auto" w:fill="C6EFCE"/>
            <w:noWrap/>
          </w:tcPr>
          <w:p w14:paraId="356A1D77" w14:textId="4EE1EEB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 na zavedenie superodpočtu oprávnených výdavkov MSP na ekologické hospodárstvo</w:t>
            </w:r>
            <w:r w:rsidR="00AB26B3" w:rsidRPr="00AB26B3">
              <w:rPr>
                <w:noProof/>
                <w:spacing w:val="-6"/>
                <w:lang w:val="sk-SK"/>
              </w:rPr>
              <w:t xml:space="preserve"> a </w:t>
            </w:r>
            <w:r w:rsidRPr="00AB26B3">
              <w:rPr>
                <w:noProof/>
                <w:spacing w:val="-6"/>
                <w:lang w:val="sk-SK"/>
              </w:rPr>
              <w:t xml:space="preserve">investície do digitalizácie na daňové účely </w:t>
            </w:r>
          </w:p>
        </w:tc>
      </w:tr>
      <w:tr w:rsidR="00302FC1" w:rsidRPr="00AB26B3" w14:paraId="5ADE7C75" w14:textId="77777777">
        <w:trPr>
          <w:trHeight w:val="313"/>
          <w:jc w:val="center"/>
        </w:trPr>
        <w:tc>
          <w:tcPr>
            <w:tcW w:w="682" w:type="dxa"/>
            <w:tcBorders>
              <w:top w:val="nil"/>
              <w:left w:val="single" w:sz="4" w:space="0" w:color="auto"/>
              <w:bottom w:val="single" w:sz="4" w:space="0" w:color="auto"/>
              <w:right w:val="single" w:sz="4" w:space="0" w:color="auto"/>
            </w:tcBorders>
            <w:shd w:val="clear" w:color="auto" w:fill="C6EFCE"/>
            <w:noWrap/>
          </w:tcPr>
          <w:p w14:paraId="6D0E66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198</w:t>
            </w:r>
          </w:p>
        </w:tc>
        <w:tc>
          <w:tcPr>
            <w:tcW w:w="1974" w:type="dxa"/>
            <w:tcBorders>
              <w:top w:val="nil"/>
              <w:left w:val="nil"/>
              <w:bottom w:val="single" w:sz="4" w:space="0" w:color="auto"/>
              <w:right w:val="single" w:sz="4" w:space="0" w:color="auto"/>
            </w:tcBorders>
            <w:shd w:val="clear" w:color="auto" w:fill="C6EFCE"/>
            <w:noWrap/>
          </w:tcPr>
          <w:p w14:paraId="5C6D6D51" w14:textId="6838289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16616_Prijatie opatrení</w:t>
            </w:r>
            <w:r w:rsidR="00AB26B3" w:rsidRPr="00AB26B3">
              <w:rPr>
                <w:noProof/>
                <w:spacing w:val="-6"/>
                <w:lang w:val="sk-SK"/>
              </w:rPr>
              <w:t xml:space="preserve"> a </w:t>
            </w:r>
            <w:r w:rsidRPr="00AB26B3">
              <w:rPr>
                <w:noProof/>
                <w:spacing w:val="-6"/>
                <w:lang w:val="sk-SK"/>
              </w:rPr>
              <w:t>stimulov na zvýšenie počtu elektronických transakcií</w:t>
            </w:r>
          </w:p>
        </w:tc>
        <w:tc>
          <w:tcPr>
            <w:tcW w:w="1172" w:type="dxa"/>
            <w:tcBorders>
              <w:top w:val="nil"/>
              <w:left w:val="nil"/>
              <w:bottom w:val="single" w:sz="4" w:space="0" w:color="auto"/>
              <w:right w:val="single" w:sz="4" w:space="0" w:color="auto"/>
            </w:tcBorders>
            <w:shd w:val="clear" w:color="auto" w:fill="C6EFCE"/>
            <w:noWrap/>
          </w:tcPr>
          <w:p w14:paraId="6D07949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nil"/>
              <w:left w:val="nil"/>
              <w:bottom w:val="single" w:sz="4" w:space="0" w:color="auto"/>
              <w:right w:val="single" w:sz="4" w:space="0" w:color="auto"/>
            </w:tcBorders>
            <w:shd w:val="clear" w:color="auto" w:fill="C6EFCE"/>
            <w:noWrap/>
          </w:tcPr>
          <w:p w14:paraId="56DD433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Právne predpisy na podporu elektronických transakcií</w:t>
            </w:r>
          </w:p>
        </w:tc>
        <w:tc>
          <w:tcPr>
            <w:tcW w:w="1984" w:type="dxa"/>
            <w:tcBorders>
              <w:top w:val="nil"/>
              <w:left w:val="nil"/>
              <w:bottom w:val="single" w:sz="4" w:space="0" w:color="auto"/>
              <w:right w:val="single" w:sz="4" w:space="0" w:color="auto"/>
            </w:tcBorders>
            <w:shd w:val="clear" w:color="auto" w:fill="C6EFCE"/>
            <w:noWrap/>
          </w:tcPr>
          <w:p w14:paraId="0168A2AD" w14:textId="7DB7FCE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 xml:space="preserve">sekundárnych právnych predpisov, ktoré poskytujú stimuly na zlepšenie elektronických transakcií </w:t>
            </w:r>
          </w:p>
        </w:tc>
        <w:tc>
          <w:tcPr>
            <w:tcW w:w="866" w:type="dxa"/>
            <w:tcBorders>
              <w:top w:val="nil"/>
              <w:left w:val="nil"/>
              <w:bottom w:val="single" w:sz="4" w:space="0" w:color="auto"/>
              <w:right w:val="single" w:sz="4" w:space="0" w:color="auto"/>
            </w:tcBorders>
            <w:shd w:val="clear" w:color="auto" w:fill="C6EFCE"/>
            <w:noWrap/>
          </w:tcPr>
          <w:p w14:paraId="2635667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69A8D61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nil"/>
              <w:left w:val="nil"/>
              <w:bottom w:val="single" w:sz="4" w:space="0" w:color="auto"/>
              <w:right w:val="single" w:sz="4" w:space="0" w:color="auto"/>
            </w:tcBorders>
            <w:shd w:val="clear" w:color="auto" w:fill="C6EFCE"/>
            <w:noWrap/>
          </w:tcPr>
          <w:p w14:paraId="0D2A4D8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nil"/>
              <w:left w:val="nil"/>
              <w:bottom w:val="single" w:sz="4" w:space="0" w:color="auto"/>
              <w:right w:val="single" w:sz="4" w:space="0" w:color="auto"/>
            </w:tcBorders>
            <w:shd w:val="clear" w:color="auto" w:fill="C6EFCE"/>
            <w:noWrap/>
          </w:tcPr>
          <w:p w14:paraId="2AECAD9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8" w:type="dxa"/>
            <w:tcBorders>
              <w:top w:val="nil"/>
              <w:left w:val="nil"/>
              <w:bottom w:val="single" w:sz="4" w:space="0" w:color="auto"/>
              <w:right w:val="single" w:sz="4" w:space="0" w:color="auto"/>
            </w:tcBorders>
            <w:shd w:val="clear" w:color="auto" w:fill="C6EFCE"/>
            <w:noWrap/>
          </w:tcPr>
          <w:p w14:paraId="54CCAEF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830" w:type="dxa"/>
            <w:tcBorders>
              <w:top w:val="nil"/>
              <w:left w:val="nil"/>
              <w:bottom w:val="single" w:sz="4" w:space="0" w:color="auto"/>
              <w:right w:val="single" w:sz="4" w:space="0" w:color="auto"/>
            </w:tcBorders>
            <w:shd w:val="clear" w:color="auto" w:fill="C6EFCE"/>
            <w:noWrap/>
          </w:tcPr>
          <w:p w14:paraId="4B60C7D1" w14:textId="08FF8C1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zmeny primárneho</w:t>
            </w:r>
            <w:r w:rsidR="00AB26B3" w:rsidRPr="00AB26B3">
              <w:rPr>
                <w:noProof/>
                <w:spacing w:val="-6"/>
                <w:lang w:val="sk-SK"/>
              </w:rPr>
              <w:t xml:space="preserve"> a </w:t>
            </w:r>
            <w:r w:rsidRPr="00AB26B3">
              <w:rPr>
                <w:noProof/>
                <w:spacing w:val="-6"/>
                <w:lang w:val="sk-SK"/>
              </w:rPr>
              <w:t xml:space="preserve">sekundárneho právneho rámca, ktorým sa poskytujú osobitné stimuly na zlepšenie elektronických transakcií </w:t>
            </w:r>
          </w:p>
        </w:tc>
      </w:tr>
      <w:tr w:rsidR="00302FC1" w:rsidRPr="00AB26B3" w14:paraId="4426F5F7" w14:textId="77777777">
        <w:trPr>
          <w:trHeight w:val="313"/>
          <w:jc w:val="center"/>
        </w:trPr>
        <w:tc>
          <w:tcPr>
            <w:tcW w:w="682" w:type="dxa"/>
            <w:tcBorders>
              <w:top w:val="nil"/>
              <w:left w:val="single" w:sz="4" w:space="0" w:color="auto"/>
              <w:bottom w:val="single" w:sz="4" w:space="0" w:color="auto"/>
              <w:right w:val="single" w:sz="4" w:space="0" w:color="auto"/>
            </w:tcBorders>
            <w:shd w:val="clear" w:color="auto" w:fill="C6EFCE"/>
            <w:noWrap/>
          </w:tcPr>
          <w:p w14:paraId="2459850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199</w:t>
            </w:r>
          </w:p>
        </w:tc>
        <w:tc>
          <w:tcPr>
            <w:tcW w:w="1974" w:type="dxa"/>
            <w:tcBorders>
              <w:top w:val="nil"/>
              <w:left w:val="nil"/>
              <w:bottom w:val="single" w:sz="4" w:space="0" w:color="auto"/>
              <w:right w:val="single" w:sz="4" w:space="0" w:color="auto"/>
            </w:tcBorders>
            <w:shd w:val="clear" w:color="auto" w:fill="C6EFCE"/>
            <w:noWrap/>
          </w:tcPr>
          <w:p w14:paraId="1951F075" w14:textId="2D9F909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172" w:type="dxa"/>
            <w:tcBorders>
              <w:top w:val="nil"/>
              <w:left w:val="nil"/>
              <w:bottom w:val="single" w:sz="4" w:space="0" w:color="auto"/>
              <w:right w:val="single" w:sz="4" w:space="0" w:color="auto"/>
            </w:tcBorders>
            <w:shd w:val="clear" w:color="auto" w:fill="C6EFCE"/>
            <w:noWrap/>
          </w:tcPr>
          <w:p w14:paraId="77827CD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nil"/>
              <w:left w:val="nil"/>
              <w:bottom w:val="single" w:sz="4" w:space="0" w:color="auto"/>
              <w:right w:val="single" w:sz="4" w:space="0" w:color="auto"/>
            </w:tcBorders>
            <w:shd w:val="clear" w:color="auto" w:fill="C6EFCE"/>
            <w:noWrap/>
          </w:tcPr>
          <w:p w14:paraId="63FC10C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Harmonogram kodifikácie daní</w:t>
            </w:r>
          </w:p>
        </w:tc>
        <w:tc>
          <w:tcPr>
            <w:tcW w:w="1984" w:type="dxa"/>
            <w:tcBorders>
              <w:top w:val="nil"/>
              <w:left w:val="nil"/>
              <w:bottom w:val="single" w:sz="4" w:space="0" w:color="auto"/>
              <w:right w:val="single" w:sz="4" w:space="0" w:color="auto"/>
            </w:tcBorders>
            <w:shd w:val="clear" w:color="auto" w:fill="C6EFCE"/>
            <w:noWrap/>
          </w:tcPr>
          <w:p w14:paraId="3A0BCCFF" w14:textId="5B18240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sekundárnych právnych predpisov so zriadením výborov</w:t>
            </w:r>
            <w:r w:rsidR="00AB26B3" w:rsidRPr="00AB26B3">
              <w:rPr>
                <w:noProof/>
                <w:spacing w:val="-6"/>
                <w:lang w:val="sk-SK"/>
              </w:rPr>
              <w:t xml:space="preserve"> a </w:t>
            </w:r>
            <w:r w:rsidRPr="00AB26B3">
              <w:rPr>
                <w:noProof/>
                <w:spacing w:val="-6"/>
                <w:lang w:val="sk-SK"/>
              </w:rPr>
              <w:t>harmonogramom daňovej kodifikácie.</w:t>
            </w:r>
          </w:p>
        </w:tc>
        <w:tc>
          <w:tcPr>
            <w:tcW w:w="866" w:type="dxa"/>
            <w:tcBorders>
              <w:top w:val="nil"/>
              <w:left w:val="nil"/>
              <w:bottom w:val="single" w:sz="4" w:space="0" w:color="auto"/>
              <w:right w:val="single" w:sz="4" w:space="0" w:color="auto"/>
            </w:tcBorders>
            <w:shd w:val="clear" w:color="auto" w:fill="C6EFCE"/>
            <w:noWrap/>
          </w:tcPr>
          <w:p w14:paraId="71C4278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0D2D5E8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nil"/>
              <w:left w:val="nil"/>
              <w:bottom w:val="single" w:sz="4" w:space="0" w:color="auto"/>
              <w:right w:val="single" w:sz="4" w:space="0" w:color="auto"/>
            </w:tcBorders>
            <w:shd w:val="clear" w:color="auto" w:fill="C6EFCE"/>
            <w:noWrap/>
          </w:tcPr>
          <w:p w14:paraId="20903DE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nil"/>
              <w:left w:val="nil"/>
              <w:bottom w:val="single" w:sz="4" w:space="0" w:color="auto"/>
              <w:right w:val="single" w:sz="4" w:space="0" w:color="auto"/>
            </w:tcBorders>
            <w:shd w:val="clear" w:color="auto" w:fill="C6EFCE"/>
            <w:noWrap/>
          </w:tcPr>
          <w:p w14:paraId="58A2BC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8" w:type="dxa"/>
            <w:tcBorders>
              <w:top w:val="nil"/>
              <w:left w:val="nil"/>
              <w:bottom w:val="single" w:sz="4" w:space="0" w:color="auto"/>
              <w:right w:val="single" w:sz="4" w:space="0" w:color="auto"/>
            </w:tcBorders>
            <w:shd w:val="clear" w:color="auto" w:fill="C6EFCE"/>
            <w:noWrap/>
          </w:tcPr>
          <w:p w14:paraId="762A2DF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830" w:type="dxa"/>
            <w:tcBorders>
              <w:top w:val="nil"/>
              <w:left w:val="nil"/>
              <w:bottom w:val="single" w:sz="4" w:space="0" w:color="auto"/>
              <w:right w:val="single" w:sz="4" w:space="0" w:color="auto"/>
            </w:tcBorders>
            <w:shd w:val="clear" w:color="auto" w:fill="C6EFCE"/>
            <w:noWrap/>
          </w:tcPr>
          <w:p w14:paraId="4B317A20" w14:textId="517CDB9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Komplexný harmonogram výsledkov</w:t>
            </w:r>
            <w:r w:rsidR="00AB26B3" w:rsidRPr="00AB26B3">
              <w:rPr>
                <w:noProof/>
                <w:spacing w:val="-6"/>
                <w:lang w:val="sk-SK"/>
              </w:rPr>
              <w:t xml:space="preserve"> v </w:t>
            </w:r>
            <w:r w:rsidRPr="00AB26B3">
              <w:rPr>
                <w:noProof/>
                <w:spacing w:val="-6"/>
                <w:lang w:val="sk-SK"/>
              </w:rPr>
              <w:t>oblasti daňovej kodifikácie vrátane zriadenia príslušných výborov, podrobný harmonogram ministerstva financií</w:t>
            </w:r>
            <w:r w:rsidR="00AB26B3" w:rsidRPr="00AB26B3">
              <w:rPr>
                <w:noProof/>
                <w:spacing w:val="-6"/>
                <w:lang w:val="sk-SK"/>
              </w:rPr>
              <w:t xml:space="preserve"> a </w:t>
            </w:r>
            <w:r w:rsidRPr="00AB26B3">
              <w:rPr>
                <w:noProof/>
                <w:spacing w:val="-6"/>
                <w:lang w:val="sk-SK"/>
              </w:rPr>
              <w:t>IAPR na kodifikáciu daňových právnych predpisov</w:t>
            </w:r>
            <w:r w:rsidR="00AB26B3" w:rsidRPr="00AB26B3">
              <w:rPr>
                <w:noProof/>
                <w:spacing w:val="-6"/>
                <w:lang w:val="sk-SK"/>
              </w:rPr>
              <w:t xml:space="preserve"> a </w:t>
            </w:r>
            <w:r w:rsidRPr="00AB26B3">
              <w:rPr>
                <w:noProof/>
                <w:spacing w:val="-6"/>
                <w:lang w:val="sk-SK"/>
              </w:rPr>
              <w:t xml:space="preserve">konzultačných mechanizmov. </w:t>
            </w:r>
          </w:p>
        </w:tc>
      </w:tr>
      <w:tr w:rsidR="00302FC1" w:rsidRPr="00AB26B3" w14:paraId="2D688C85" w14:textId="77777777">
        <w:trPr>
          <w:trHeight w:val="313"/>
          <w:jc w:val="center"/>
        </w:trPr>
        <w:tc>
          <w:tcPr>
            <w:tcW w:w="682" w:type="dxa"/>
            <w:tcBorders>
              <w:top w:val="nil"/>
              <w:left w:val="single" w:sz="4" w:space="0" w:color="auto"/>
              <w:bottom w:val="single" w:sz="4" w:space="0" w:color="auto"/>
              <w:right w:val="single" w:sz="4" w:space="0" w:color="auto"/>
            </w:tcBorders>
            <w:shd w:val="clear" w:color="auto" w:fill="C6EFCE"/>
            <w:noWrap/>
          </w:tcPr>
          <w:p w14:paraId="25B6E47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200</w:t>
            </w:r>
          </w:p>
        </w:tc>
        <w:tc>
          <w:tcPr>
            <w:tcW w:w="1974" w:type="dxa"/>
            <w:tcBorders>
              <w:top w:val="nil"/>
              <w:left w:val="nil"/>
              <w:bottom w:val="single" w:sz="4" w:space="0" w:color="auto"/>
              <w:right w:val="single" w:sz="4" w:space="0" w:color="auto"/>
            </w:tcBorders>
            <w:shd w:val="clear" w:color="auto" w:fill="C6EFCE"/>
            <w:noWrap/>
          </w:tcPr>
          <w:p w14:paraId="74686E7E" w14:textId="0B5538D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18 – 4.7. Zlepšiť konkurencieschopnosť</w:t>
            </w:r>
            <w:r w:rsidR="00AB26B3" w:rsidRPr="00AB26B3">
              <w:rPr>
                <w:noProof/>
                <w:spacing w:val="-6"/>
                <w:lang w:val="sk-SK"/>
              </w:rPr>
              <w:t xml:space="preserve"> a </w:t>
            </w:r>
            <w:r w:rsidRPr="00AB26B3">
              <w:rPr>
                <w:noProof/>
                <w:spacing w:val="-6"/>
                <w:lang w:val="sk-SK"/>
              </w:rPr>
              <w:t>podporiť súkromné investície</w:t>
            </w:r>
            <w:r w:rsidR="00AB26B3" w:rsidRPr="00AB26B3">
              <w:rPr>
                <w:noProof/>
                <w:spacing w:val="-6"/>
                <w:lang w:val="sk-SK"/>
              </w:rPr>
              <w:t xml:space="preserve"> a </w:t>
            </w:r>
            <w:r w:rsidRPr="00AB26B3">
              <w:rPr>
                <w:noProof/>
                <w:spacing w:val="-6"/>
                <w:lang w:val="sk-SK"/>
              </w:rPr>
              <w:t>obchod – 16598_Režim stimulov pre produktivitu</w:t>
            </w:r>
            <w:r w:rsidR="00AB26B3" w:rsidRPr="00AB26B3">
              <w:rPr>
                <w:noProof/>
                <w:spacing w:val="-6"/>
                <w:lang w:val="sk-SK"/>
              </w:rPr>
              <w:t xml:space="preserve"> a </w:t>
            </w:r>
            <w:r w:rsidRPr="00AB26B3">
              <w:rPr>
                <w:noProof/>
                <w:spacing w:val="-6"/>
                <w:lang w:val="sk-SK"/>
              </w:rPr>
              <w:t>extroverziu podnikov (zvýšenie veľkosti podnikov)</w:t>
            </w:r>
          </w:p>
        </w:tc>
        <w:tc>
          <w:tcPr>
            <w:tcW w:w="1172" w:type="dxa"/>
            <w:tcBorders>
              <w:top w:val="nil"/>
              <w:left w:val="nil"/>
              <w:bottom w:val="single" w:sz="4" w:space="0" w:color="auto"/>
              <w:right w:val="single" w:sz="4" w:space="0" w:color="auto"/>
            </w:tcBorders>
            <w:shd w:val="clear" w:color="auto" w:fill="C6EFCE"/>
            <w:noWrap/>
          </w:tcPr>
          <w:p w14:paraId="6563C4D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nil"/>
              <w:left w:val="nil"/>
              <w:bottom w:val="single" w:sz="4" w:space="0" w:color="auto"/>
              <w:right w:val="single" w:sz="4" w:space="0" w:color="auto"/>
            </w:tcBorders>
            <w:shd w:val="clear" w:color="auto" w:fill="C6EFCE"/>
            <w:noWrap/>
          </w:tcPr>
          <w:p w14:paraId="3F84647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Návrh právneho predpisu na podporu extroverzie podnikov</w:t>
            </w:r>
          </w:p>
        </w:tc>
        <w:tc>
          <w:tcPr>
            <w:tcW w:w="1984" w:type="dxa"/>
            <w:tcBorders>
              <w:top w:val="nil"/>
              <w:left w:val="nil"/>
              <w:bottom w:val="single" w:sz="4" w:space="0" w:color="auto"/>
              <w:right w:val="single" w:sz="4" w:space="0" w:color="auto"/>
            </w:tcBorders>
            <w:shd w:val="clear" w:color="auto" w:fill="C6EFCE"/>
            <w:noWrap/>
          </w:tcPr>
          <w:p w14:paraId="550F380B" w14:textId="3913F0C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Návrhy primárnych</w:t>
            </w:r>
            <w:r w:rsidR="00AB26B3" w:rsidRPr="00AB26B3">
              <w:rPr>
                <w:noProof/>
                <w:spacing w:val="-6"/>
                <w:lang w:val="sk-SK"/>
              </w:rPr>
              <w:t xml:space="preserve"> a </w:t>
            </w:r>
            <w:r w:rsidRPr="00AB26B3">
              <w:rPr>
                <w:noProof/>
                <w:spacing w:val="-6"/>
                <w:lang w:val="sk-SK"/>
              </w:rPr>
              <w:t xml:space="preserve">sekundárnych právnych predpisov na podporu extroverzie podnikov. </w:t>
            </w:r>
          </w:p>
        </w:tc>
        <w:tc>
          <w:tcPr>
            <w:tcW w:w="866" w:type="dxa"/>
            <w:tcBorders>
              <w:top w:val="nil"/>
              <w:left w:val="nil"/>
              <w:bottom w:val="single" w:sz="4" w:space="0" w:color="auto"/>
              <w:right w:val="single" w:sz="4" w:space="0" w:color="auto"/>
            </w:tcBorders>
            <w:shd w:val="clear" w:color="auto" w:fill="C6EFCE"/>
            <w:noWrap/>
          </w:tcPr>
          <w:p w14:paraId="43E5DFC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64C6B0B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nil"/>
              <w:left w:val="nil"/>
              <w:bottom w:val="single" w:sz="4" w:space="0" w:color="auto"/>
              <w:right w:val="single" w:sz="4" w:space="0" w:color="auto"/>
            </w:tcBorders>
            <w:shd w:val="clear" w:color="auto" w:fill="C6EFCE"/>
            <w:noWrap/>
          </w:tcPr>
          <w:p w14:paraId="3575DA4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nil"/>
              <w:left w:val="nil"/>
              <w:bottom w:val="single" w:sz="4" w:space="0" w:color="auto"/>
              <w:right w:val="single" w:sz="4" w:space="0" w:color="auto"/>
            </w:tcBorders>
            <w:shd w:val="clear" w:color="auto" w:fill="C6EFCE"/>
            <w:noWrap/>
          </w:tcPr>
          <w:p w14:paraId="0544D8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8" w:type="dxa"/>
            <w:tcBorders>
              <w:top w:val="nil"/>
              <w:left w:val="nil"/>
              <w:bottom w:val="single" w:sz="4" w:space="0" w:color="auto"/>
              <w:right w:val="single" w:sz="4" w:space="0" w:color="auto"/>
            </w:tcBorders>
            <w:shd w:val="clear" w:color="auto" w:fill="C6EFCE"/>
            <w:noWrap/>
          </w:tcPr>
          <w:p w14:paraId="3D29CB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830" w:type="dxa"/>
            <w:tcBorders>
              <w:top w:val="nil"/>
              <w:left w:val="nil"/>
              <w:bottom w:val="single" w:sz="4" w:space="0" w:color="auto"/>
              <w:right w:val="single" w:sz="4" w:space="0" w:color="auto"/>
            </w:tcBorders>
            <w:shd w:val="clear" w:color="auto" w:fill="C6EFCE"/>
            <w:noWrap/>
          </w:tcPr>
          <w:p w14:paraId="0771A235" w14:textId="1CAA8CB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Návrhy na účely konzultácie</w:t>
            </w:r>
            <w:r w:rsidR="00AB26B3" w:rsidRPr="00AB26B3">
              <w:rPr>
                <w:noProof/>
                <w:spacing w:val="-6"/>
                <w:lang w:val="sk-SK"/>
              </w:rPr>
              <w:t xml:space="preserve"> s </w:t>
            </w:r>
            <w:r w:rsidRPr="00AB26B3">
              <w:rPr>
                <w:noProof/>
                <w:spacing w:val="-6"/>
                <w:lang w:val="sk-SK"/>
              </w:rPr>
              <w:t>primárnou</w:t>
            </w:r>
            <w:r w:rsidR="00AB26B3" w:rsidRPr="00AB26B3">
              <w:rPr>
                <w:noProof/>
                <w:spacing w:val="-6"/>
                <w:lang w:val="sk-SK"/>
              </w:rPr>
              <w:t xml:space="preserve"> a </w:t>
            </w:r>
            <w:r w:rsidRPr="00AB26B3">
              <w:rPr>
                <w:noProof/>
                <w:spacing w:val="-6"/>
                <w:lang w:val="sk-SK"/>
              </w:rPr>
              <w:t>sekundárnou legislatívou, ktoré poskytujú zlepšenia právneho rámca</w:t>
            </w:r>
            <w:r w:rsidR="00AB26B3" w:rsidRPr="00AB26B3">
              <w:rPr>
                <w:noProof/>
                <w:spacing w:val="-6"/>
                <w:lang w:val="sk-SK"/>
              </w:rPr>
              <w:t xml:space="preserve"> v </w:t>
            </w:r>
            <w:r w:rsidRPr="00AB26B3">
              <w:rPr>
                <w:noProof/>
                <w:spacing w:val="-6"/>
                <w:lang w:val="sk-SK"/>
              </w:rPr>
              <w:t>oblasti daní, financií</w:t>
            </w:r>
            <w:r w:rsidR="00AB26B3" w:rsidRPr="00AB26B3">
              <w:rPr>
                <w:noProof/>
                <w:spacing w:val="-6"/>
                <w:lang w:val="sk-SK"/>
              </w:rPr>
              <w:t xml:space="preserve"> a </w:t>
            </w:r>
            <w:r w:rsidRPr="00AB26B3">
              <w:rPr>
                <w:noProof/>
                <w:spacing w:val="-6"/>
                <w:lang w:val="sk-SK"/>
              </w:rPr>
              <w:t>licencií</w:t>
            </w:r>
            <w:r w:rsidR="00AB26B3" w:rsidRPr="00AB26B3">
              <w:rPr>
                <w:noProof/>
                <w:spacing w:val="-6"/>
                <w:lang w:val="sk-SK"/>
              </w:rPr>
              <w:t xml:space="preserve"> a </w:t>
            </w:r>
            <w:r w:rsidRPr="00AB26B3">
              <w:rPr>
                <w:noProof/>
                <w:spacing w:val="-6"/>
                <w:lang w:val="sk-SK"/>
              </w:rPr>
              <w:t>stimuly na fúzie, premeny</w:t>
            </w:r>
            <w:r w:rsidR="00AB26B3" w:rsidRPr="00AB26B3">
              <w:rPr>
                <w:noProof/>
                <w:spacing w:val="-6"/>
                <w:lang w:val="sk-SK"/>
              </w:rPr>
              <w:t xml:space="preserve"> a </w:t>
            </w:r>
            <w:r w:rsidRPr="00AB26B3">
              <w:rPr>
                <w:noProof/>
                <w:spacing w:val="-6"/>
                <w:lang w:val="sk-SK"/>
              </w:rPr>
              <w:t>akvizície</w:t>
            </w:r>
          </w:p>
        </w:tc>
      </w:tr>
      <w:tr w:rsidR="00302FC1" w:rsidRPr="00AB26B3" w14:paraId="15A6CC90"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1EE385D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201</w:t>
            </w:r>
          </w:p>
        </w:tc>
        <w:tc>
          <w:tcPr>
            <w:tcW w:w="1974" w:type="dxa"/>
            <w:tcBorders>
              <w:top w:val="single" w:sz="4" w:space="0" w:color="auto"/>
              <w:left w:val="nil"/>
              <w:bottom w:val="single" w:sz="4" w:space="0" w:color="auto"/>
              <w:right w:val="single" w:sz="4" w:space="0" w:color="auto"/>
            </w:tcBorders>
            <w:shd w:val="clear" w:color="auto" w:fill="C6EFCE"/>
            <w:noWrap/>
          </w:tcPr>
          <w:p w14:paraId="19913895" w14:textId="166FD7E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18 – 4.7. Zlepšiť konkurencieschopnosť</w:t>
            </w:r>
            <w:r w:rsidR="00AB26B3" w:rsidRPr="00AB26B3">
              <w:rPr>
                <w:noProof/>
                <w:spacing w:val="-6"/>
                <w:lang w:val="sk-SK"/>
              </w:rPr>
              <w:t xml:space="preserve"> a </w:t>
            </w:r>
            <w:r w:rsidRPr="00AB26B3">
              <w:rPr>
                <w:noProof/>
                <w:spacing w:val="-6"/>
                <w:lang w:val="sk-SK"/>
              </w:rPr>
              <w:t>podporiť súkromné investície</w:t>
            </w:r>
            <w:r w:rsidR="00AB26B3" w:rsidRPr="00AB26B3">
              <w:rPr>
                <w:noProof/>
                <w:spacing w:val="-6"/>
                <w:lang w:val="sk-SK"/>
              </w:rPr>
              <w:t xml:space="preserve"> a </w:t>
            </w:r>
            <w:r w:rsidRPr="00AB26B3">
              <w:rPr>
                <w:noProof/>
                <w:spacing w:val="-6"/>
                <w:lang w:val="sk-SK"/>
              </w:rPr>
              <w:t>obchod – 16598_Režim stimulov pre produktivitu</w:t>
            </w:r>
            <w:r w:rsidR="00AB26B3" w:rsidRPr="00AB26B3">
              <w:rPr>
                <w:noProof/>
                <w:spacing w:val="-6"/>
                <w:lang w:val="sk-SK"/>
              </w:rPr>
              <w:t xml:space="preserve"> a </w:t>
            </w:r>
            <w:r w:rsidRPr="00AB26B3">
              <w:rPr>
                <w:noProof/>
                <w:spacing w:val="-6"/>
                <w:lang w:val="sk-SK"/>
              </w:rPr>
              <w:t>extroverziu podnikov (zvýšenie veľkosti podnikov)</w:t>
            </w:r>
          </w:p>
        </w:tc>
        <w:tc>
          <w:tcPr>
            <w:tcW w:w="1172" w:type="dxa"/>
            <w:tcBorders>
              <w:top w:val="single" w:sz="4" w:space="0" w:color="auto"/>
              <w:left w:val="nil"/>
              <w:bottom w:val="single" w:sz="4" w:space="0" w:color="auto"/>
              <w:right w:val="single" w:sz="4" w:space="0" w:color="auto"/>
            </w:tcBorders>
            <w:shd w:val="clear" w:color="auto" w:fill="C6EFCE"/>
            <w:noWrap/>
          </w:tcPr>
          <w:p w14:paraId="7334728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3E1BCE4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Právne predpisy na podporu extroverzie podnikov</w:t>
            </w:r>
          </w:p>
        </w:tc>
        <w:tc>
          <w:tcPr>
            <w:tcW w:w="1984" w:type="dxa"/>
            <w:tcBorders>
              <w:top w:val="single" w:sz="4" w:space="0" w:color="auto"/>
              <w:left w:val="nil"/>
              <w:bottom w:val="single" w:sz="4" w:space="0" w:color="auto"/>
              <w:right w:val="single" w:sz="4" w:space="0" w:color="auto"/>
            </w:tcBorders>
            <w:shd w:val="clear" w:color="auto" w:fill="C6EFCE"/>
            <w:noWrap/>
          </w:tcPr>
          <w:p w14:paraId="4BC4B2F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 na podporu extroverzie podnikov</w:t>
            </w:r>
          </w:p>
        </w:tc>
        <w:tc>
          <w:tcPr>
            <w:tcW w:w="866" w:type="dxa"/>
            <w:tcBorders>
              <w:top w:val="single" w:sz="4" w:space="0" w:color="auto"/>
              <w:left w:val="nil"/>
              <w:bottom w:val="single" w:sz="4" w:space="0" w:color="auto"/>
              <w:right w:val="single" w:sz="4" w:space="0" w:color="auto"/>
            </w:tcBorders>
            <w:shd w:val="clear" w:color="auto" w:fill="C6EFCE"/>
            <w:noWrap/>
          </w:tcPr>
          <w:p w14:paraId="541354C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04A8FB7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61C4BB0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53480C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single" w:sz="4" w:space="0" w:color="auto"/>
              <w:left w:val="nil"/>
              <w:bottom w:val="single" w:sz="4" w:space="0" w:color="auto"/>
              <w:right w:val="single" w:sz="4" w:space="0" w:color="auto"/>
            </w:tcBorders>
            <w:shd w:val="clear" w:color="auto" w:fill="C6EFCE"/>
            <w:noWrap/>
          </w:tcPr>
          <w:p w14:paraId="0E2102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830" w:type="dxa"/>
            <w:tcBorders>
              <w:top w:val="single" w:sz="4" w:space="0" w:color="auto"/>
              <w:left w:val="nil"/>
              <w:bottom w:val="single" w:sz="4" w:space="0" w:color="auto"/>
              <w:right w:val="single" w:sz="4" w:space="0" w:color="auto"/>
            </w:tcBorders>
            <w:shd w:val="clear" w:color="auto" w:fill="C6EFCE"/>
            <w:noWrap/>
          </w:tcPr>
          <w:p w14:paraId="236C87E9" w14:textId="002F0CC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príslušných zmien, ktorými sa zabezpečujú zlepšenia právneho rámca</w:t>
            </w:r>
            <w:r w:rsidR="00AB26B3" w:rsidRPr="00AB26B3">
              <w:rPr>
                <w:noProof/>
                <w:spacing w:val="-6"/>
                <w:lang w:val="sk-SK"/>
              </w:rPr>
              <w:t xml:space="preserve"> v </w:t>
            </w:r>
            <w:r w:rsidRPr="00AB26B3">
              <w:rPr>
                <w:noProof/>
                <w:spacing w:val="-6"/>
                <w:lang w:val="sk-SK"/>
              </w:rPr>
              <w:t>oblasti daní, finančných</w:t>
            </w:r>
            <w:r w:rsidR="00AB26B3" w:rsidRPr="00AB26B3">
              <w:rPr>
                <w:noProof/>
                <w:spacing w:val="-6"/>
                <w:lang w:val="sk-SK"/>
              </w:rPr>
              <w:t xml:space="preserve"> a </w:t>
            </w:r>
            <w:r w:rsidRPr="00AB26B3">
              <w:rPr>
                <w:noProof/>
                <w:spacing w:val="-6"/>
                <w:lang w:val="sk-SK"/>
              </w:rPr>
              <w:t>licenčných poplatkov</w:t>
            </w:r>
            <w:r w:rsidR="00AB26B3" w:rsidRPr="00AB26B3">
              <w:rPr>
                <w:noProof/>
                <w:spacing w:val="-6"/>
                <w:lang w:val="sk-SK"/>
              </w:rPr>
              <w:t xml:space="preserve"> a </w:t>
            </w:r>
            <w:r w:rsidRPr="00AB26B3">
              <w:rPr>
                <w:noProof/>
                <w:spacing w:val="-6"/>
                <w:lang w:val="sk-SK"/>
              </w:rPr>
              <w:t>stimulov na fúzie, konverzie</w:t>
            </w:r>
            <w:r w:rsidR="00AB26B3" w:rsidRPr="00AB26B3">
              <w:rPr>
                <w:noProof/>
                <w:spacing w:val="-6"/>
                <w:lang w:val="sk-SK"/>
              </w:rPr>
              <w:t xml:space="preserve"> a </w:t>
            </w:r>
            <w:r w:rsidRPr="00AB26B3">
              <w:rPr>
                <w:noProof/>
                <w:spacing w:val="-6"/>
                <w:lang w:val="sk-SK"/>
              </w:rPr>
              <w:t>akvizície</w:t>
            </w:r>
          </w:p>
        </w:tc>
      </w:tr>
      <w:tr w:rsidR="00302FC1" w:rsidRPr="00AB26B3" w14:paraId="040CB795"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3B027EC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w:t>
            </w:r>
          </w:p>
        </w:tc>
        <w:tc>
          <w:tcPr>
            <w:tcW w:w="1974" w:type="dxa"/>
            <w:tcBorders>
              <w:top w:val="single" w:sz="4" w:space="0" w:color="auto"/>
              <w:left w:val="nil"/>
              <w:bottom w:val="single" w:sz="4" w:space="0" w:color="auto"/>
              <w:right w:val="single" w:sz="4" w:space="0" w:color="auto"/>
            </w:tcBorders>
            <w:shd w:val="clear" w:color="auto" w:fill="C6EFCE"/>
            <w:noWrap/>
          </w:tcPr>
          <w:p w14:paraId="69C5DF7F" w14:textId="2C79D80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172" w:type="dxa"/>
            <w:tcBorders>
              <w:top w:val="single" w:sz="4" w:space="0" w:color="auto"/>
              <w:left w:val="nil"/>
              <w:bottom w:val="single" w:sz="4" w:space="0" w:color="auto"/>
              <w:right w:val="single" w:sz="4" w:space="0" w:color="auto"/>
            </w:tcBorders>
            <w:shd w:val="clear" w:color="auto" w:fill="C6EFCE"/>
            <w:noWrap/>
          </w:tcPr>
          <w:p w14:paraId="671BF11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35FDC78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Zvýšenie kapacity pre daňovú kodifikáciu</w:t>
            </w:r>
          </w:p>
        </w:tc>
        <w:tc>
          <w:tcPr>
            <w:tcW w:w="1984" w:type="dxa"/>
            <w:tcBorders>
              <w:top w:val="single" w:sz="4" w:space="0" w:color="auto"/>
              <w:left w:val="nil"/>
              <w:bottom w:val="single" w:sz="4" w:space="0" w:color="auto"/>
              <w:right w:val="single" w:sz="4" w:space="0" w:color="auto"/>
            </w:tcBorders>
            <w:shd w:val="clear" w:color="auto" w:fill="C6EFCE"/>
            <w:noWrap/>
          </w:tcPr>
          <w:p w14:paraId="63DCE973" w14:textId="7F84227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sekundárnych právnych predpisov na zriadenie oddelenia pre kodifikáciu daní na riaditeľstve ministerstva financií</w:t>
            </w:r>
            <w:r w:rsidR="00AB26B3" w:rsidRPr="00AB26B3">
              <w:rPr>
                <w:noProof/>
                <w:spacing w:val="-6"/>
                <w:lang w:val="sk-SK"/>
              </w:rPr>
              <w:t xml:space="preserve"> a </w:t>
            </w:r>
            <w:r w:rsidRPr="00AB26B3">
              <w:rPr>
                <w:noProof/>
                <w:spacing w:val="-6"/>
                <w:lang w:val="sk-SK"/>
              </w:rPr>
              <w:t>poskytovania služieb</w:t>
            </w:r>
            <w:r w:rsidR="00AB26B3" w:rsidRPr="00AB26B3">
              <w:rPr>
                <w:noProof/>
                <w:spacing w:val="-6"/>
                <w:lang w:val="sk-SK"/>
              </w:rPr>
              <w:t xml:space="preserve"> v </w:t>
            </w:r>
            <w:r w:rsidRPr="00AB26B3">
              <w:rPr>
                <w:noProof/>
                <w:spacing w:val="-6"/>
                <w:lang w:val="sk-SK"/>
              </w:rPr>
              <w:t>IAPR.</w:t>
            </w:r>
          </w:p>
        </w:tc>
        <w:tc>
          <w:tcPr>
            <w:tcW w:w="866" w:type="dxa"/>
            <w:tcBorders>
              <w:top w:val="single" w:sz="4" w:space="0" w:color="auto"/>
              <w:left w:val="nil"/>
              <w:bottom w:val="single" w:sz="4" w:space="0" w:color="auto"/>
              <w:right w:val="single" w:sz="4" w:space="0" w:color="auto"/>
            </w:tcBorders>
            <w:shd w:val="clear" w:color="auto" w:fill="C6EFCE"/>
            <w:noWrap/>
          </w:tcPr>
          <w:p w14:paraId="2CF4C55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45431E9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3AF8DF4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789B1DA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single" w:sz="4" w:space="0" w:color="auto"/>
              <w:left w:val="nil"/>
              <w:bottom w:val="single" w:sz="4" w:space="0" w:color="auto"/>
              <w:right w:val="single" w:sz="4" w:space="0" w:color="auto"/>
            </w:tcBorders>
            <w:shd w:val="clear" w:color="auto" w:fill="C6EFCE"/>
            <w:noWrap/>
          </w:tcPr>
          <w:p w14:paraId="71CE897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830" w:type="dxa"/>
            <w:tcBorders>
              <w:top w:val="single" w:sz="4" w:space="0" w:color="auto"/>
              <w:left w:val="nil"/>
              <w:bottom w:val="single" w:sz="4" w:space="0" w:color="auto"/>
              <w:right w:val="single" w:sz="4" w:space="0" w:color="auto"/>
            </w:tcBorders>
            <w:shd w:val="clear" w:color="auto" w:fill="C6EFCE"/>
            <w:noWrap/>
          </w:tcPr>
          <w:p w14:paraId="1B7C210D" w14:textId="195D2E1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Zriadenie osobitnej daňovej jednotky na ministerstve financií zodpovednej za konsolidáciu</w:t>
            </w:r>
            <w:r w:rsidR="00AB26B3" w:rsidRPr="00AB26B3">
              <w:rPr>
                <w:noProof/>
                <w:spacing w:val="-6"/>
                <w:lang w:val="sk-SK"/>
              </w:rPr>
              <w:t xml:space="preserve"> a </w:t>
            </w:r>
            <w:r w:rsidRPr="00AB26B3">
              <w:rPr>
                <w:noProof/>
                <w:spacing w:val="-6"/>
                <w:lang w:val="sk-SK"/>
              </w:rPr>
              <w:t>konzistentnosť primárnych daňových právnych predpisov</w:t>
            </w:r>
            <w:r w:rsidR="00AB26B3" w:rsidRPr="00AB26B3">
              <w:rPr>
                <w:noProof/>
                <w:spacing w:val="-6"/>
                <w:lang w:val="sk-SK"/>
              </w:rPr>
              <w:t xml:space="preserve"> a </w:t>
            </w:r>
            <w:r w:rsidRPr="00AB26B3">
              <w:rPr>
                <w:noProof/>
                <w:spacing w:val="-6"/>
                <w:lang w:val="sk-SK"/>
              </w:rPr>
              <w:t>ministerských rozhodnutí; Zriadenie riaditeľstva pre poskytovanie služieb</w:t>
            </w:r>
            <w:r w:rsidR="00AB26B3" w:rsidRPr="00AB26B3">
              <w:rPr>
                <w:noProof/>
                <w:spacing w:val="-6"/>
                <w:lang w:val="sk-SK"/>
              </w:rPr>
              <w:t xml:space="preserve"> v </w:t>
            </w:r>
            <w:r w:rsidRPr="00AB26B3">
              <w:rPr>
                <w:noProof/>
                <w:spacing w:val="-6"/>
                <w:lang w:val="sk-SK"/>
              </w:rPr>
              <w:t>rámci IAPR, ktoré bude okrem iného zodpovedné za konsolidáciu sekundárnych právnych predpisov, koordináciu právomocí IAPR</w:t>
            </w:r>
            <w:r w:rsidR="00AB26B3" w:rsidRPr="00AB26B3">
              <w:rPr>
                <w:noProof/>
                <w:spacing w:val="-6"/>
                <w:lang w:val="sk-SK"/>
              </w:rPr>
              <w:t xml:space="preserve"> v </w:t>
            </w:r>
            <w:r w:rsidRPr="00AB26B3">
              <w:rPr>
                <w:noProof/>
                <w:spacing w:val="-6"/>
                <w:lang w:val="sk-SK"/>
              </w:rPr>
              <w:t>oblasti daňového poriadku</w:t>
            </w:r>
            <w:r w:rsidR="00AB26B3" w:rsidRPr="00AB26B3">
              <w:rPr>
                <w:noProof/>
                <w:spacing w:val="-6"/>
                <w:lang w:val="sk-SK"/>
              </w:rPr>
              <w:t xml:space="preserve"> a </w:t>
            </w:r>
            <w:r w:rsidRPr="00AB26B3">
              <w:rPr>
                <w:noProof/>
                <w:spacing w:val="-6"/>
                <w:lang w:val="sk-SK"/>
              </w:rPr>
              <w:t>aktualizáciu</w:t>
            </w:r>
            <w:r w:rsidR="00AB26B3" w:rsidRPr="00AB26B3">
              <w:rPr>
                <w:noProof/>
                <w:spacing w:val="-6"/>
                <w:lang w:val="sk-SK"/>
              </w:rPr>
              <w:t xml:space="preserve"> a </w:t>
            </w:r>
            <w:r w:rsidRPr="00AB26B3">
              <w:rPr>
                <w:noProof/>
                <w:spacing w:val="-6"/>
                <w:lang w:val="sk-SK"/>
              </w:rPr>
              <w:t>údržbu verejnej daňovej databázy</w:t>
            </w:r>
          </w:p>
        </w:tc>
      </w:tr>
      <w:tr w:rsidR="00302FC1" w:rsidRPr="00AB26B3" w14:paraId="115D9AA5"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76EB8A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203</w:t>
            </w:r>
          </w:p>
        </w:tc>
        <w:tc>
          <w:tcPr>
            <w:tcW w:w="1974" w:type="dxa"/>
            <w:tcBorders>
              <w:top w:val="single" w:sz="4" w:space="0" w:color="auto"/>
              <w:left w:val="nil"/>
              <w:bottom w:val="single" w:sz="4" w:space="0" w:color="auto"/>
              <w:right w:val="single" w:sz="4" w:space="0" w:color="auto"/>
            </w:tcBorders>
            <w:shd w:val="clear" w:color="auto" w:fill="C6EFCE"/>
            <w:noWrap/>
          </w:tcPr>
          <w:p w14:paraId="451AD92D" w14:textId="13AC05F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172" w:type="dxa"/>
            <w:tcBorders>
              <w:top w:val="single" w:sz="4" w:space="0" w:color="auto"/>
              <w:left w:val="nil"/>
              <w:bottom w:val="single" w:sz="4" w:space="0" w:color="auto"/>
              <w:right w:val="single" w:sz="4" w:space="0" w:color="auto"/>
            </w:tcBorders>
            <w:shd w:val="clear" w:color="auto" w:fill="C6EFCE"/>
            <w:noWrap/>
          </w:tcPr>
          <w:p w14:paraId="320A7AD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5716C492" w14:textId="6C17241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Upravovanie kódov pre daň</w:t>
            </w:r>
            <w:r w:rsidR="00AB26B3" w:rsidRPr="00AB26B3">
              <w:rPr>
                <w:noProof/>
                <w:spacing w:val="-6"/>
                <w:lang w:val="sk-SK"/>
              </w:rPr>
              <w:t xml:space="preserve"> z </w:t>
            </w:r>
            <w:r w:rsidRPr="00AB26B3">
              <w:rPr>
                <w:noProof/>
                <w:spacing w:val="-6"/>
                <w:lang w:val="sk-SK"/>
              </w:rPr>
              <w:t>príjmu</w:t>
            </w:r>
            <w:r w:rsidR="00AB26B3" w:rsidRPr="00AB26B3">
              <w:rPr>
                <w:noProof/>
                <w:spacing w:val="-6"/>
                <w:lang w:val="sk-SK"/>
              </w:rPr>
              <w:t xml:space="preserve"> a </w:t>
            </w:r>
            <w:r w:rsidRPr="00AB26B3">
              <w:rPr>
                <w:noProof/>
                <w:spacing w:val="-6"/>
                <w:lang w:val="sk-SK"/>
              </w:rPr>
              <w:t>daňové režimy</w:t>
            </w:r>
          </w:p>
        </w:tc>
        <w:tc>
          <w:tcPr>
            <w:tcW w:w="1984" w:type="dxa"/>
            <w:tcBorders>
              <w:top w:val="single" w:sz="4" w:space="0" w:color="auto"/>
              <w:left w:val="nil"/>
              <w:bottom w:val="single" w:sz="4" w:space="0" w:color="auto"/>
              <w:right w:val="single" w:sz="4" w:space="0" w:color="auto"/>
            </w:tcBorders>
            <w:shd w:val="clear" w:color="auto" w:fill="C6EFCE"/>
            <w:noWrap/>
          </w:tcPr>
          <w:p w14:paraId="1F7FFFAA" w14:textId="7EA86CC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kodifikovaných primárnych</w:t>
            </w:r>
            <w:r w:rsidR="00AB26B3" w:rsidRPr="00AB26B3">
              <w:rPr>
                <w:noProof/>
                <w:spacing w:val="-6"/>
                <w:lang w:val="sk-SK"/>
              </w:rPr>
              <w:t xml:space="preserve"> a </w:t>
            </w:r>
            <w:r w:rsidRPr="00AB26B3">
              <w:rPr>
                <w:noProof/>
                <w:spacing w:val="-6"/>
                <w:lang w:val="sk-SK"/>
              </w:rPr>
              <w:t>sekundárnych daňových právnych predpisov pre zákon</w:t>
            </w:r>
            <w:r w:rsidR="00AB26B3" w:rsidRPr="00AB26B3">
              <w:rPr>
                <w:noProof/>
                <w:spacing w:val="-6"/>
                <w:lang w:val="sk-SK"/>
              </w:rPr>
              <w:t xml:space="preserve"> o </w:t>
            </w:r>
            <w:r w:rsidRPr="00AB26B3">
              <w:rPr>
                <w:noProof/>
                <w:spacing w:val="-6"/>
                <w:lang w:val="sk-SK"/>
              </w:rPr>
              <w:t>dani</w:t>
            </w:r>
            <w:r w:rsidR="00AB26B3" w:rsidRPr="00AB26B3">
              <w:rPr>
                <w:noProof/>
                <w:spacing w:val="-6"/>
                <w:lang w:val="sk-SK"/>
              </w:rPr>
              <w:t xml:space="preserve"> z </w:t>
            </w:r>
            <w:r w:rsidRPr="00AB26B3">
              <w:rPr>
                <w:noProof/>
                <w:spacing w:val="-6"/>
                <w:lang w:val="sk-SK"/>
              </w:rPr>
              <w:t>príjmov</w:t>
            </w:r>
            <w:r w:rsidR="00AB26B3" w:rsidRPr="00AB26B3">
              <w:rPr>
                <w:noProof/>
                <w:spacing w:val="-6"/>
                <w:lang w:val="sk-SK"/>
              </w:rPr>
              <w:t xml:space="preserve"> a </w:t>
            </w:r>
            <w:r w:rsidRPr="00AB26B3">
              <w:rPr>
                <w:noProof/>
                <w:spacing w:val="-6"/>
                <w:lang w:val="sk-SK"/>
              </w:rPr>
              <w:t>zákon</w:t>
            </w:r>
            <w:r w:rsidR="00AB26B3" w:rsidRPr="00AB26B3">
              <w:rPr>
                <w:noProof/>
                <w:spacing w:val="-6"/>
                <w:lang w:val="sk-SK"/>
              </w:rPr>
              <w:t xml:space="preserve"> o </w:t>
            </w:r>
            <w:r w:rsidRPr="00AB26B3">
              <w:rPr>
                <w:noProof/>
                <w:spacing w:val="-6"/>
                <w:lang w:val="sk-SK"/>
              </w:rPr>
              <w:t>správe daní</w:t>
            </w:r>
          </w:p>
        </w:tc>
        <w:tc>
          <w:tcPr>
            <w:tcW w:w="866" w:type="dxa"/>
            <w:tcBorders>
              <w:top w:val="single" w:sz="4" w:space="0" w:color="auto"/>
              <w:left w:val="nil"/>
              <w:bottom w:val="single" w:sz="4" w:space="0" w:color="auto"/>
              <w:right w:val="single" w:sz="4" w:space="0" w:color="auto"/>
            </w:tcBorders>
            <w:shd w:val="clear" w:color="auto" w:fill="C6EFCE"/>
            <w:noWrap/>
          </w:tcPr>
          <w:p w14:paraId="0C7FE27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211EE00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3885DB6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023F4E0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single" w:sz="4" w:space="0" w:color="auto"/>
              <w:left w:val="nil"/>
              <w:bottom w:val="single" w:sz="4" w:space="0" w:color="auto"/>
              <w:right w:val="single" w:sz="4" w:space="0" w:color="auto"/>
            </w:tcBorders>
            <w:shd w:val="clear" w:color="auto" w:fill="C6EFCE"/>
            <w:noWrap/>
          </w:tcPr>
          <w:p w14:paraId="51A1E25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30" w:type="dxa"/>
            <w:tcBorders>
              <w:top w:val="single" w:sz="4" w:space="0" w:color="auto"/>
              <w:left w:val="nil"/>
              <w:bottom w:val="single" w:sz="4" w:space="0" w:color="auto"/>
              <w:right w:val="single" w:sz="4" w:space="0" w:color="auto"/>
            </w:tcBorders>
            <w:shd w:val="clear" w:color="auto" w:fill="C6EFCE"/>
            <w:noWrap/>
          </w:tcPr>
          <w:p w14:paraId="4A754ED2" w14:textId="5F9BB04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kodifikovaného zákona</w:t>
            </w:r>
            <w:r w:rsidR="00AB26B3" w:rsidRPr="00AB26B3">
              <w:rPr>
                <w:noProof/>
                <w:spacing w:val="-6"/>
                <w:lang w:val="sk-SK"/>
              </w:rPr>
              <w:t xml:space="preserve"> o </w:t>
            </w:r>
            <w:r w:rsidRPr="00AB26B3">
              <w:rPr>
                <w:noProof/>
                <w:spacing w:val="-6"/>
                <w:lang w:val="sk-SK"/>
              </w:rPr>
              <w:t>dani</w:t>
            </w:r>
            <w:r w:rsidR="00AB26B3" w:rsidRPr="00AB26B3">
              <w:rPr>
                <w:noProof/>
                <w:spacing w:val="-6"/>
                <w:lang w:val="sk-SK"/>
              </w:rPr>
              <w:t xml:space="preserve"> z </w:t>
            </w:r>
            <w:r w:rsidRPr="00AB26B3">
              <w:rPr>
                <w:noProof/>
                <w:spacing w:val="-6"/>
                <w:lang w:val="sk-SK"/>
              </w:rPr>
              <w:t>príjmov</w:t>
            </w:r>
            <w:r w:rsidR="00AB26B3" w:rsidRPr="00AB26B3">
              <w:rPr>
                <w:noProof/>
                <w:spacing w:val="-6"/>
                <w:lang w:val="sk-SK"/>
              </w:rPr>
              <w:t xml:space="preserve"> a </w:t>
            </w:r>
            <w:r w:rsidRPr="00AB26B3">
              <w:rPr>
                <w:noProof/>
                <w:spacing w:val="-6"/>
                <w:lang w:val="sk-SK"/>
              </w:rPr>
              <w:t>zákona</w:t>
            </w:r>
            <w:r w:rsidR="00AB26B3" w:rsidRPr="00AB26B3">
              <w:rPr>
                <w:noProof/>
                <w:spacing w:val="-6"/>
                <w:lang w:val="sk-SK"/>
              </w:rPr>
              <w:t xml:space="preserve"> o </w:t>
            </w:r>
            <w:r w:rsidRPr="00AB26B3">
              <w:rPr>
                <w:noProof/>
                <w:spacing w:val="-6"/>
                <w:lang w:val="sk-SK"/>
              </w:rPr>
              <w:t>správe daní (primárne</w:t>
            </w:r>
            <w:r w:rsidR="00AB26B3" w:rsidRPr="00AB26B3">
              <w:rPr>
                <w:noProof/>
                <w:spacing w:val="-6"/>
                <w:lang w:val="sk-SK"/>
              </w:rPr>
              <w:t xml:space="preserve"> a </w:t>
            </w:r>
            <w:r w:rsidRPr="00AB26B3">
              <w:rPr>
                <w:noProof/>
                <w:spacing w:val="-6"/>
                <w:lang w:val="sk-SK"/>
              </w:rPr>
              <w:t>sekundárne právne predpisy)</w:t>
            </w:r>
            <w:r w:rsidR="00AB26B3" w:rsidRPr="00AB26B3">
              <w:rPr>
                <w:noProof/>
                <w:spacing w:val="-6"/>
                <w:lang w:val="sk-SK"/>
              </w:rPr>
              <w:t xml:space="preserve"> s </w:t>
            </w:r>
            <w:r w:rsidRPr="00AB26B3">
              <w:rPr>
                <w:noProof/>
                <w:spacing w:val="-6"/>
                <w:lang w:val="sk-SK"/>
              </w:rPr>
              <w:t>cieľom zjednodušiť</w:t>
            </w:r>
            <w:r w:rsidR="00AB26B3" w:rsidRPr="00AB26B3">
              <w:rPr>
                <w:noProof/>
                <w:spacing w:val="-6"/>
                <w:lang w:val="sk-SK"/>
              </w:rPr>
              <w:t xml:space="preserve"> a </w:t>
            </w:r>
            <w:r w:rsidRPr="00AB26B3">
              <w:rPr>
                <w:noProof/>
                <w:spacing w:val="-6"/>
                <w:lang w:val="sk-SK"/>
              </w:rPr>
              <w:t>aktualizovať právne predpisy vzhľadom na digitalizáciu</w:t>
            </w:r>
            <w:r w:rsidR="00AB26B3" w:rsidRPr="00AB26B3">
              <w:rPr>
                <w:noProof/>
                <w:spacing w:val="-6"/>
                <w:lang w:val="sk-SK"/>
              </w:rPr>
              <w:t xml:space="preserve"> a </w:t>
            </w:r>
            <w:r w:rsidRPr="00AB26B3">
              <w:rPr>
                <w:noProof/>
                <w:spacing w:val="-6"/>
                <w:lang w:val="sk-SK"/>
              </w:rPr>
              <w:t>najlepšie postupy EÚ</w:t>
            </w:r>
          </w:p>
        </w:tc>
      </w:tr>
      <w:tr w:rsidR="00302FC1" w:rsidRPr="00AB26B3" w14:paraId="1C51B26E"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4F0262F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204</w:t>
            </w:r>
          </w:p>
        </w:tc>
        <w:tc>
          <w:tcPr>
            <w:tcW w:w="1974" w:type="dxa"/>
            <w:tcBorders>
              <w:top w:val="single" w:sz="4" w:space="0" w:color="auto"/>
              <w:left w:val="nil"/>
              <w:bottom w:val="single" w:sz="4" w:space="0" w:color="auto"/>
              <w:right w:val="single" w:sz="4" w:space="0" w:color="auto"/>
            </w:tcBorders>
            <w:shd w:val="clear" w:color="auto" w:fill="C6EFCE"/>
            <w:noWrap/>
          </w:tcPr>
          <w:p w14:paraId="299A7777" w14:textId="55E5A3C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172" w:type="dxa"/>
            <w:tcBorders>
              <w:top w:val="single" w:sz="4" w:space="0" w:color="auto"/>
              <w:left w:val="nil"/>
              <w:bottom w:val="single" w:sz="4" w:space="0" w:color="auto"/>
              <w:right w:val="single" w:sz="4" w:space="0" w:color="auto"/>
            </w:tcBorders>
            <w:shd w:val="clear" w:color="auto" w:fill="C6EFCE"/>
            <w:noWrap/>
          </w:tcPr>
          <w:p w14:paraId="25E5E7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7FF86A37" w14:textId="45A45E4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počiatočnej daňovej kodifikácie</w:t>
            </w:r>
            <w:r w:rsidR="00AB26B3" w:rsidRPr="00AB26B3">
              <w:rPr>
                <w:noProof/>
                <w:spacing w:val="-6"/>
                <w:lang w:val="sk-SK"/>
              </w:rPr>
              <w:t xml:space="preserve"> a </w:t>
            </w:r>
            <w:r w:rsidRPr="00AB26B3">
              <w:rPr>
                <w:noProof/>
                <w:spacing w:val="-6"/>
                <w:lang w:val="sk-SK"/>
              </w:rPr>
              <w:t>informačného systému pre daňovníkov</w:t>
            </w:r>
          </w:p>
        </w:tc>
        <w:tc>
          <w:tcPr>
            <w:tcW w:w="1984" w:type="dxa"/>
            <w:tcBorders>
              <w:top w:val="single" w:sz="4" w:space="0" w:color="auto"/>
              <w:left w:val="nil"/>
              <w:bottom w:val="single" w:sz="4" w:space="0" w:color="auto"/>
              <w:right w:val="single" w:sz="4" w:space="0" w:color="auto"/>
            </w:tcBorders>
            <w:shd w:val="clear" w:color="auto" w:fill="C6EFCE"/>
            <w:noWrap/>
          </w:tcPr>
          <w:p w14:paraId="780FCC65" w14:textId="16C6A58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w:t>
            </w:r>
            <w:r w:rsidRPr="00AB26B3">
              <w:rPr>
                <w:i/>
                <w:noProof/>
                <w:spacing w:val="-6"/>
                <w:lang w:val="sk-SK"/>
              </w:rPr>
              <w:t>:</w:t>
            </w:r>
            <w:r w:rsidRPr="00AB26B3">
              <w:rPr>
                <w:noProof/>
                <w:spacing w:val="-6"/>
                <w:lang w:val="sk-SK"/>
              </w:rPr>
              <w:t xml:space="preserve"> Nadobudnutie účinnosti kodifikovaných primárnych</w:t>
            </w:r>
            <w:r w:rsidR="00AB26B3" w:rsidRPr="00AB26B3">
              <w:rPr>
                <w:noProof/>
                <w:spacing w:val="-6"/>
                <w:lang w:val="sk-SK"/>
              </w:rPr>
              <w:t xml:space="preserve"> a </w:t>
            </w:r>
            <w:r w:rsidRPr="00AB26B3">
              <w:rPr>
                <w:noProof/>
                <w:spacing w:val="-6"/>
                <w:lang w:val="sk-SK"/>
              </w:rPr>
              <w:t>sekundárnych daňových právnych predpisov</w:t>
            </w:r>
          </w:p>
          <w:p w14:paraId="112127D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00150C5" w14:textId="68A4BB4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 Dôkazy</w:t>
            </w:r>
            <w:r w:rsidR="00AB26B3" w:rsidRPr="00AB26B3">
              <w:rPr>
                <w:noProof/>
                <w:spacing w:val="-6"/>
                <w:lang w:val="sk-SK"/>
              </w:rPr>
              <w:t xml:space="preserve"> o </w:t>
            </w:r>
            <w:r w:rsidRPr="00AB26B3">
              <w:rPr>
                <w:noProof/>
                <w:spacing w:val="-6"/>
                <w:lang w:val="sk-SK"/>
              </w:rPr>
              <w:t>prijatí výstupov týkajúcich sa zriadenia systému správy obsahu</w:t>
            </w:r>
            <w:r w:rsidR="00AB26B3" w:rsidRPr="00AB26B3">
              <w:rPr>
                <w:noProof/>
                <w:spacing w:val="-6"/>
                <w:lang w:val="sk-SK"/>
              </w:rPr>
              <w:t xml:space="preserve"> a </w:t>
            </w:r>
            <w:r w:rsidRPr="00AB26B3">
              <w:rPr>
                <w:noProof/>
                <w:spacing w:val="-6"/>
                <w:lang w:val="sk-SK"/>
              </w:rPr>
              <w:t>osobitného webového sídla pre informácie</w:t>
            </w:r>
            <w:r w:rsidR="00AB26B3" w:rsidRPr="00AB26B3">
              <w:rPr>
                <w:noProof/>
                <w:spacing w:val="-6"/>
                <w:lang w:val="sk-SK"/>
              </w:rPr>
              <w:t xml:space="preserve"> o </w:t>
            </w:r>
            <w:r w:rsidRPr="00AB26B3">
              <w:rPr>
                <w:noProof/>
                <w:spacing w:val="-6"/>
                <w:lang w:val="sk-SK"/>
              </w:rPr>
              <w:t>daňovníkoch.</w:t>
            </w:r>
          </w:p>
        </w:tc>
        <w:tc>
          <w:tcPr>
            <w:tcW w:w="866" w:type="dxa"/>
            <w:tcBorders>
              <w:top w:val="single" w:sz="4" w:space="0" w:color="auto"/>
              <w:left w:val="nil"/>
              <w:bottom w:val="single" w:sz="4" w:space="0" w:color="auto"/>
              <w:right w:val="single" w:sz="4" w:space="0" w:color="auto"/>
            </w:tcBorders>
            <w:shd w:val="clear" w:color="auto" w:fill="C6EFCE"/>
            <w:noWrap/>
          </w:tcPr>
          <w:p w14:paraId="0D84793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2E2B498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4DAFFD3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7391B33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single" w:sz="4" w:space="0" w:color="auto"/>
              <w:left w:val="nil"/>
              <w:bottom w:val="single" w:sz="4" w:space="0" w:color="auto"/>
              <w:right w:val="single" w:sz="4" w:space="0" w:color="auto"/>
            </w:tcBorders>
            <w:shd w:val="clear" w:color="auto" w:fill="C6EFCE"/>
            <w:noWrap/>
          </w:tcPr>
          <w:p w14:paraId="37944FF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830" w:type="dxa"/>
            <w:tcBorders>
              <w:top w:val="single" w:sz="4" w:space="0" w:color="auto"/>
              <w:left w:val="nil"/>
              <w:bottom w:val="single" w:sz="4" w:space="0" w:color="auto"/>
              <w:right w:val="single" w:sz="4" w:space="0" w:color="auto"/>
            </w:tcBorders>
            <w:shd w:val="clear" w:color="auto" w:fill="C6EFCE"/>
            <w:noWrap/>
          </w:tcPr>
          <w:p w14:paraId="4FCBB52E" w14:textId="225961B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kodifikácie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s </w:t>
            </w:r>
            <w:r w:rsidRPr="00AB26B3">
              <w:rPr>
                <w:noProof/>
                <w:spacing w:val="-6"/>
                <w:lang w:val="sk-SK"/>
              </w:rPr>
              <w:t>cieľom zjednodušiť</w:t>
            </w:r>
            <w:r w:rsidR="00AB26B3" w:rsidRPr="00AB26B3">
              <w:rPr>
                <w:noProof/>
                <w:spacing w:val="-6"/>
                <w:lang w:val="sk-SK"/>
              </w:rPr>
              <w:t xml:space="preserve"> a </w:t>
            </w:r>
            <w:r w:rsidRPr="00AB26B3">
              <w:rPr>
                <w:noProof/>
                <w:spacing w:val="-6"/>
                <w:lang w:val="sk-SK"/>
              </w:rPr>
              <w:t>aktualizovať právne predpisy vzhľadom na digitalizáciu</w:t>
            </w:r>
            <w:r w:rsidR="00AB26B3" w:rsidRPr="00AB26B3">
              <w:rPr>
                <w:noProof/>
                <w:spacing w:val="-6"/>
                <w:lang w:val="sk-SK"/>
              </w:rPr>
              <w:t xml:space="preserve"> a </w:t>
            </w:r>
            <w:r w:rsidRPr="00AB26B3">
              <w:rPr>
                <w:noProof/>
                <w:spacing w:val="-6"/>
                <w:lang w:val="sk-SK"/>
              </w:rPr>
              <w:t>najlepšie postupy EÚ vrátane:</w:t>
            </w:r>
          </w:p>
          <w:p w14:paraId="54F27D60" w14:textId="77777777" w:rsidR="00302FC1" w:rsidRPr="00AB26B3" w:rsidRDefault="00D64F26">
            <w:pPr>
              <w:pStyle w:val="P68B1DB1-Normal12"/>
              <w:numPr>
                <w:ilvl w:val="0"/>
                <w:numId w:val="35"/>
              </w:numPr>
              <w:spacing w:before="120" w:after="0" w:line="259" w:lineRule="auto"/>
              <w:contextualSpacing/>
              <w:jc w:val="both"/>
              <w:rPr>
                <w:rFonts w:eastAsia="Times New Roman"/>
                <w:noProof/>
                <w:spacing w:val="-6"/>
                <w:lang w:val="sk-SK"/>
              </w:rPr>
            </w:pPr>
            <w:r w:rsidRPr="00AB26B3">
              <w:rPr>
                <w:noProof/>
                <w:spacing w:val="-6"/>
                <w:lang w:val="sk-SK"/>
              </w:rPr>
              <w:t>Identifikačné číslo pre DPH</w:t>
            </w:r>
          </w:p>
          <w:p w14:paraId="75C0B9A4" w14:textId="77777777" w:rsidR="00302FC1" w:rsidRPr="00AB26B3" w:rsidRDefault="00D64F26">
            <w:pPr>
              <w:pStyle w:val="P68B1DB1-Normal12"/>
              <w:numPr>
                <w:ilvl w:val="0"/>
                <w:numId w:val="35"/>
              </w:numPr>
              <w:spacing w:before="120" w:after="0" w:line="259" w:lineRule="auto"/>
              <w:contextualSpacing/>
              <w:jc w:val="both"/>
              <w:rPr>
                <w:rFonts w:eastAsia="Times New Roman"/>
                <w:noProof/>
                <w:spacing w:val="-6"/>
                <w:lang w:val="sk-SK"/>
              </w:rPr>
            </w:pPr>
            <w:r w:rsidRPr="00AB26B3">
              <w:rPr>
                <w:noProof/>
                <w:spacing w:val="-6"/>
                <w:lang w:val="sk-SK"/>
              </w:rPr>
              <w:t>Kolková daň</w:t>
            </w:r>
          </w:p>
          <w:p w14:paraId="7D9ECCC0" w14:textId="4B4C1749" w:rsidR="00302FC1" w:rsidRPr="00AB26B3" w:rsidRDefault="00D64F26">
            <w:pPr>
              <w:pStyle w:val="P68B1DB1-Normal12"/>
              <w:numPr>
                <w:ilvl w:val="0"/>
                <w:numId w:val="35"/>
              </w:numPr>
              <w:spacing w:before="120" w:after="0" w:line="259" w:lineRule="auto"/>
              <w:contextualSpacing/>
              <w:jc w:val="both"/>
              <w:rPr>
                <w:rFonts w:eastAsia="Times New Roman"/>
                <w:noProof/>
                <w:spacing w:val="-6"/>
                <w:lang w:val="sk-SK"/>
              </w:rPr>
            </w:pPr>
            <w:r w:rsidRPr="00AB26B3">
              <w:rPr>
                <w:noProof/>
                <w:spacing w:val="-6"/>
                <w:lang w:val="sk-SK"/>
              </w:rPr>
              <w:t>Dane</w:t>
            </w:r>
            <w:r w:rsidR="00AB26B3" w:rsidRPr="00AB26B3">
              <w:rPr>
                <w:noProof/>
                <w:spacing w:val="-6"/>
                <w:lang w:val="sk-SK"/>
              </w:rPr>
              <w:t xml:space="preserve"> z </w:t>
            </w:r>
            <w:r w:rsidRPr="00AB26B3">
              <w:rPr>
                <w:noProof/>
                <w:spacing w:val="-6"/>
                <w:lang w:val="sk-SK"/>
              </w:rPr>
              <w:t>nehnuteľností</w:t>
            </w:r>
          </w:p>
          <w:p w14:paraId="5021CB79" w14:textId="77777777" w:rsidR="00302FC1" w:rsidRPr="00AB26B3" w:rsidRDefault="00D64F26">
            <w:pPr>
              <w:pStyle w:val="P68B1DB1-Normal12"/>
              <w:numPr>
                <w:ilvl w:val="0"/>
                <w:numId w:val="35"/>
              </w:numPr>
              <w:spacing w:before="120" w:after="0" w:line="259" w:lineRule="auto"/>
              <w:contextualSpacing/>
              <w:jc w:val="both"/>
              <w:rPr>
                <w:rFonts w:eastAsia="Times New Roman"/>
                <w:noProof/>
                <w:spacing w:val="-6"/>
                <w:lang w:val="sk-SK"/>
              </w:rPr>
            </w:pPr>
            <w:r w:rsidRPr="00AB26B3">
              <w:rPr>
                <w:noProof/>
                <w:spacing w:val="-6"/>
                <w:lang w:val="sk-SK"/>
              </w:rPr>
              <w:t>Výber štátneho dlhu (KEDE)</w:t>
            </w:r>
          </w:p>
          <w:p w14:paraId="3B87C630" w14:textId="77777777" w:rsidR="00302FC1" w:rsidRPr="00AB26B3" w:rsidRDefault="00D64F26">
            <w:pPr>
              <w:pStyle w:val="P68B1DB1-Normal12"/>
              <w:numPr>
                <w:ilvl w:val="0"/>
                <w:numId w:val="35"/>
              </w:numPr>
              <w:spacing w:before="120" w:after="0" w:line="259" w:lineRule="auto"/>
              <w:contextualSpacing/>
              <w:jc w:val="both"/>
              <w:rPr>
                <w:rFonts w:eastAsia="Times New Roman"/>
                <w:noProof/>
                <w:spacing w:val="-6"/>
                <w:lang w:val="sk-SK"/>
              </w:rPr>
            </w:pPr>
            <w:r w:rsidRPr="00AB26B3">
              <w:rPr>
                <w:noProof/>
                <w:spacing w:val="-6"/>
                <w:lang w:val="sk-SK"/>
              </w:rPr>
              <w:t>Vnútroštátny colný kódex</w:t>
            </w:r>
          </w:p>
          <w:p w14:paraId="62CAE21F" w14:textId="2F7C803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systému správy obsahu</w:t>
            </w:r>
            <w:r w:rsidR="00AB26B3" w:rsidRPr="00AB26B3">
              <w:rPr>
                <w:noProof/>
                <w:spacing w:val="-6"/>
                <w:lang w:val="sk-SK"/>
              </w:rPr>
              <w:t xml:space="preserve"> a </w:t>
            </w:r>
            <w:r w:rsidRPr="00AB26B3">
              <w:rPr>
                <w:noProof/>
                <w:spacing w:val="-6"/>
                <w:lang w:val="sk-SK"/>
              </w:rPr>
              <w:t>osobitnej webovej stránky pre informácie</w:t>
            </w:r>
            <w:r w:rsidR="00AB26B3" w:rsidRPr="00AB26B3">
              <w:rPr>
                <w:noProof/>
                <w:spacing w:val="-6"/>
                <w:lang w:val="sk-SK"/>
              </w:rPr>
              <w:t xml:space="preserve"> o </w:t>
            </w:r>
            <w:r w:rsidRPr="00AB26B3">
              <w:rPr>
                <w:noProof/>
                <w:spacing w:val="-6"/>
                <w:lang w:val="sk-SK"/>
              </w:rPr>
              <w:t>daňovníkoch.</w:t>
            </w:r>
          </w:p>
        </w:tc>
      </w:tr>
      <w:tr w:rsidR="00302FC1" w:rsidRPr="00AB26B3" w14:paraId="241B2159"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0536E069" w14:textId="77777777" w:rsidR="00302FC1" w:rsidRPr="00AB26B3" w:rsidRDefault="00D64F26">
            <w:pPr>
              <w:pStyle w:val="P68B1DB1-Normal12"/>
              <w:spacing w:after="0" w:line="240" w:lineRule="auto"/>
              <w:rPr>
                <w:noProof/>
                <w:spacing w:val="-6"/>
                <w:lang w:val="sk-SK"/>
              </w:rPr>
            </w:pPr>
            <w:r w:rsidRPr="00AB26B3">
              <w:rPr>
                <w:noProof/>
                <w:spacing w:val="-6"/>
                <w:lang w:val="sk-SK"/>
              </w:rPr>
              <w:t>204a</w:t>
            </w:r>
          </w:p>
        </w:tc>
        <w:tc>
          <w:tcPr>
            <w:tcW w:w="1974" w:type="dxa"/>
            <w:tcBorders>
              <w:top w:val="single" w:sz="4" w:space="0" w:color="auto"/>
              <w:left w:val="nil"/>
              <w:bottom w:val="single" w:sz="4" w:space="0" w:color="auto"/>
              <w:right w:val="single" w:sz="4" w:space="0" w:color="auto"/>
            </w:tcBorders>
            <w:shd w:val="clear" w:color="auto" w:fill="C6EFCE"/>
            <w:noWrap/>
          </w:tcPr>
          <w:p w14:paraId="66916DA4" w14:textId="68443389" w:rsidR="00302FC1" w:rsidRPr="00AB26B3" w:rsidRDefault="00D64F26">
            <w:pPr>
              <w:pStyle w:val="P68B1DB1-Normal12"/>
              <w:spacing w:after="0" w:line="240" w:lineRule="auto"/>
              <w:rPr>
                <w:noProof/>
                <w:spacing w:val="-6"/>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 _Kodifikácia</w:t>
            </w:r>
            <w:r w:rsidR="00AB26B3" w:rsidRPr="00AB26B3">
              <w:rPr>
                <w:noProof/>
                <w:spacing w:val="-6"/>
                <w:lang w:val="sk-SK"/>
              </w:rPr>
              <w:t xml:space="preserve"> a </w:t>
            </w:r>
            <w:r w:rsidRPr="00AB26B3">
              <w:rPr>
                <w:noProof/>
                <w:spacing w:val="-6"/>
                <w:lang w:val="sk-SK"/>
              </w:rPr>
              <w:t>zjednodušenie daňových právnych predpisov</w:t>
            </w:r>
          </w:p>
        </w:tc>
        <w:tc>
          <w:tcPr>
            <w:tcW w:w="1172" w:type="dxa"/>
            <w:tcBorders>
              <w:top w:val="single" w:sz="4" w:space="0" w:color="auto"/>
              <w:left w:val="nil"/>
              <w:bottom w:val="single" w:sz="4" w:space="0" w:color="auto"/>
              <w:right w:val="single" w:sz="4" w:space="0" w:color="auto"/>
            </w:tcBorders>
            <w:shd w:val="clear" w:color="auto" w:fill="C6EFCE"/>
            <w:noWrap/>
          </w:tcPr>
          <w:p w14:paraId="74281DA4"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42062074" w14:textId="3446FC02" w:rsidR="00302FC1" w:rsidRPr="00AB26B3" w:rsidRDefault="00D64F26">
            <w:pPr>
              <w:pStyle w:val="P68B1DB1-Normal12"/>
              <w:spacing w:after="0" w:line="240" w:lineRule="auto"/>
              <w:rPr>
                <w:noProof/>
                <w:spacing w:val="-6"/>
                <w:lang w:val="sk-SK"/>
              </w:rPr>
            </w:pPr>
            <w:r w:rsidRPr="00AB26B3">
              <w:rPr>
                <w:noProof/>
                <w:spacing w:val="-6"/>
                <w:lang w:val="sk-SK"/>
              </w:rPr>
              <w:t>Uverejnenie primárnych</w:t>
            </w:r>
            <w:r w:rsidR="00AB26B3" w:rsidRPr="00AB26B3">
              <w:rPr>
                <w:noProof/>
                <w:spacing w:val="-6"/>
                <w:lang w:val="sk-SK"/>
              </w:rPr>
              <w:t xml:space="preserve"> a </w:t>
            </w:r>
            <w:r w:rsidRPr="00AB26B3">
              <w:rPr>
                <w:noProof/>
                <w:spacing w:val="-6"/>
                <w:lang w:val="sk-SK"/>
              </w:rPr>
              <w:t>sekundárnych právnych predpisov na webovom sídle daňovníka</w:t>
            </w:r>
          </w:p>
        </w:tc>
        <w:tc>
          <w:tcPr>
            <w:tcW w:w="1984" w:type="dxa"/>
            <w:tcBorders>
              <w:top w:val="single" w:sz="4" w:space="0" w:color="auto"/>
              <w:left w:val="nil"/>
              <w:bottom w:val="single" w:sz="4" w:space="0" w:color="auto"/>
              <w:right w:val="single" w:sz="4" w:space="0" w:color="auto"/>
            </w:tcBorders>
            <w:shd w:val="clear" w:color="auto" w:fill="C6EFCE"/>
            <w:noWrap/>
          </w:tcPr>
          <w:p w14:paraId="0017CFFF" w14:textId="5A9CD654" w:rsidR="00302FC1" w:rsidRPr="00AB26B3" w:rsidRDefault="00D64F26">
            <w:pPr>
              <w:pStyle w:val="P68B1DB1-Normal12"/>
              <w:spacing w:after="0" w:line="240" w:lineRule="auto"/>
              <w:rPr>
                <w:noProof/>
                <w:spacing w:val="-6"/>
                <w:lang w:val="sk-SK"/>
              </w:rPr>
            </w:pPr>
            <w:r w:rsidRPr="00AB26B3">
              <w:rPr>
                <w:noProof/>
                <w:spacing w:val="-6"/>
                <w:lang w:val="sk-SK"/>
              </w:rPr>
              <w:t>Uverejnenie primárnych</w:t>
            </w:r>
            <w:r w:rsidR="00AB26B3" w:rsidRPr="00AB26B3">
              <w:rPr>
                <w:noProof/>
                <w:spacing w:val="-6"/>
                <w:lang w:val="sk-SK"/>
              </w:rPr>
              <w:t xml:space="preserve"> a </w:t>
            </w:r>
            <w:r w:rsidRPr="00AB26B3">
              <w:rPr>
                <w:noProof/>
                <w:spacing w:val="-6"/>
                <w:lang w:val="sk-SK"/>
              </w:rPr>
              <w:t>sekundárnych daňových</w:t>
            </w:r>
            <w:r w:rsidR="00AB26B3" w:rsidRPr="00AB26B3">
              <w:rPr>
                <w:noProof/>
                <w:spacing w:val="-6"/>
                <w:lang w:val="sk-SK"/>
              </w:rPr>
              <w:t xml:space="preserve"> a </w:t>
            </w:r>
            <w:r w:rsidRPr="00AB26B3">
              <w:rPr>
                <w:noProof/>
                <w:spacing w:val="-6"/>
                <w:lang w:val="sk-SK"/>
              </w:rPr>
              <w:t>colných právnych predpisov.</w:t>
            </w:r>
          </w:p>
        </w:tc>
        <w:tc>
          <w:tcPr>
            <w:tcW w:w="866" w:type="dxa"/>
            <w:tcBorders>
              <w:top w:val="single" w:sz="4" w:space="0" w:color="auto"/>
              <w:left w:val="nil"/>
              <w:bottom w:val="single" w:sz="4" w:space="0" w:color="auto"/>
              <w:right w:val="single" w:sz="4" w:space="0" w:color="auto"/>
            </w:tcBorders>
            <w:shd w:val="clear" w:color="auto" w:fill="C6EFCE"/>
            <w:noWrap/>
          </w:tcPr>
          <w:p w14:paraId="2C93128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213B657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7EAF8CB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2FB5710A"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8" w:type="dxa"/>
            <w:tcBorders>
              <w:top w:val="single" w:sz="4" w:space="0" w:color="auto"/>
              <w:left w:val="nil"/>
              <w:bottom w:val="single" w:sz="4" w:space="0" w:color="auto"/>
              <w:right w:val="single" w:sz="4" w:space="0" w:color="auto"/>
            </w:tcBorders>
            <w:shd w:val="clear" w:color="auto" w:fill="C6EFCE"/>
            <w:noWrap/>
          </w:tcPr>
          <w:p w14:paraId="5EBE6785"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4830" w:type="dxa"/>
            <w:tcBorders>
              <w:top w:val="single" w:sz="4" w:space="0" w:color="auto"/>
              <w:left w:val="nil"/>
              <w:bottom w:val="single" w:sz="4" w:space="0" w:color="auto"/>
              <w:right w:val="single" w:sz="4" w:space="0" w:color="auto"/>
            </w:tcBorders>
            <w:shd w:val="clear" w:color="auto" w:fill="C6EFCE"/>
            <w:noWrap/>
          </w:tcPr>
          <w:p w14:paraId="49963FD1" w14:textId="2E4C85FF" w:rsidR="00302FC1" w:rsidRPr="00AB26B3" w:rsidRDefault="00D64F26">
            <w:pPr>
              <w:pStyle w:val="P68B1DB1-Normal12"/>
              <w:spacing w:after="0" w:line="240" w:lineRule="auto"/>
              <w:rPr>
                <w:noProof/>
                <w:spacing w:val="-6"/>
                <w:lang w:val="sk-SK"/>
              </w:rPr>
            </w:pPr>
            <w:r w:rsidRPr="00AB26B3">
              <w:rPr>
                <w:noProof/>
                <w:spacing w:val="-6"/>
                <w:lang w:val="sk-SK"/>
              </w:rPr>
              <w:t>Uverejnenie primárnych</w:t>
            </w:r>
            <w:r w:rsidR="00AB26B3" w:rsidRPr="00AB26B3">
              <w:rPr>
                <w:noProof/>
                <w:spacing w:val="-6"/>
                <w:lang w:val="sk-SK"/>
              </w:rPr>
              <w:t xml:space="preserve"> a </w:t>
            </w:r>
            <w:r w:rsidRPr="00AB26B3">
              <w:rPr>
                <w:noProof/>
                <w:spacing w:val="-6"/>
                <w:lang w:val="sk-SK"/>
              </w:rPr>
              <w:t>sekundárnych daňových</w:t>
            </w:r>
            <w:r w:rsidR="00AB26B3" w:rsidRPr="00AB26B3">
              <w:rPr>
                <w:noProof/>
                <w:spacing w:val="-6"/>
                <w:lang w:val="sk-SK"/>
              </w:rPr>
              <w:t xml:space="preserve"> a </w:t>
            </w:r>
            <w:r w:rsidRPr="00AB26B3">
              <w:rPr>
                <w:noProof/>
                <w:spacing w:val="-6"/>
                <w:lang w:val="sk-SK"/>
              </w:rPr>
              <w:t>colných právnych predpisov posudzovaných</w:t>
            </w:r>
            <w:r w:rsidR="00AB26B3" w:rsidRPr="00AB26B3">
              <w:rPr>
                <w:noProof/>
                <w:spacing w:val="-6"/>
                <w:lang w:val="sk-SK"/>
              </w:rPr>
              <w:t xml:space="preserve"> v </w:t>
            </w:r>
            <w:r w:rsidRPr="00AB26B3">
              <w:rPr>
                <w:noProof/>
                <w:spacing w:val="-6"/>
                <w:lang w:val="sk-SK"/>
              </w:rPr>
              <w:t>míľniku 204 na osobitnom webovom sídle pre informácie</w:t>
            </w:r>
            <w:r w:rsidR="00AB26B3" w:rsidRPr="00AB26B3">
              <w:rPr>
                <w:noProof/>
                <w:spacing w:val="-6"/>
                <w:lang w:val="sk-SK"/>
              </w:rPr>
              <w:t xml:space="preserve"> o </w:t>
            </w:r>
            <w:r w:rsidRPr="00AB26B3">
              <w:rPr>
                <w:noProof/>
                <w:spacing w:val="-6"/>
                <w:lang w:val="sk-SK"/>
              </w:rPr>
              <w:t xml:space="preserve">daňovníkoch. </w:t>
            </w:r>
          </w:p>
        </w:tc>
      </w:tr>
      <w:tr w:rsidR="00302FC1" w:rsidRPr="00AB26B3" w14:paraId="146365A9"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3FDB26C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337</w:t>
            </w:r>
          </w:p>
        </w:tc>
        <w:tc>
          <w:tcPr>
            <w:tcW w:w="1974" w:type="dxa"/>
            <w:tcBorders>
              <w:top w:val="single" w:sz="4" w:space="0" w:color="auto"/>
              <w:left w:val="nil"/>
              <w:bottom w:val="single" w:sz="4" w:space="0" w:color="auto"/>
              <w:right w:val="single" w:sz="4" w:space="0" w:color="auto"/>
            </w:tcBorders>
            <w:shd w:val="clear" w:color="auto" w:fill="C6EFCE"/>
            <w:noWrap/>
          </w:tcPr>
          <w:p w14:paraId="556C6DA6" w14:textId="4AEDA39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16985_Zmeny gréckeho rámca daňovej politiky</w:t>
            </w:r>
          </w:p>
        </w:tc>
        <w:tc>
          <w:tcPr>
            <w:tcW w:w="1172" w:type="dxa"/>
            <w:tcBorders>
              <w:top w:val="single" w:sz="4" w:space="0" w:color="auto"/>
              <w:left w:val="nil"/>
              <w:bottom w:val="single" w:sz="4" w:space="0" w:color="auto"/>
              <w:right w:val="single" w:sz="4" w:space="0" w:color="auto"/>
            </w:tcBorders>
            <w:shd w:val="clear" w:color="auto" w:fill="C6EFCE"/>
            <w:noWrap/>
          </w:tcPr>
          <w:p w14:paraId="3BB757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03ACDC3A" w14:textId="04D4EE1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Bojovať proti daňovým únikom</w:t>
            </w:r>
            <w:r w:rsidR="00AB26B3" w:rsidRPr="00AB26B3">
              <w:rPr>
                <w:noProof/>
                <w:spacing w:val="-6"/>
                <w:lang w:val="sk-SK"/>
              </w:rPr>
              <w:t xml:space="preserve"> a </w:t>
            </w:r>
            <w:r w:rsidRPr="00AB26B3">
              <w:rPr>
                <w:noProof/>
                <w:spacing w:val="-6"/>
                <w:lang w:val="sk-SK"/>
              </w:rPr>
              <w:t>podporovať elektronické platby.</w:t>
            </w:r>
          </w:p>
        </w:tc>
        <w:tc>
          <w:tcPr>
            <w:tcW w:w="1984" w:type="dxa"/>
            <w:tcBorders>
              <w:top w:val="single" w:sz="4" w:space="0" w:color="auto"/>
              <w:left w:val="nil"/>
              <w:bottom w:val="single" w:sz="4" w:space="0" w:color="auto"/>
              <w:right w:val="single" w:sz="4" w:space="0" w:color="auto"/>
            </w:tcBorders>
            <w:shd w:val="clear" w:color="auto" w:fill="C6EFCE"/>
            <w:noWrap/>
          </w:tcPr>
          <w:p w14:paraId="0447064B" w14:textId="74F4A91D" w:rsidR="00AB26B3" w:rsidRPr="00AB26B3" w:rsidRDefault="00D64F26">
            <w:pPr>
              <w:pStyle w:val="P68B1DB1-Normal12"/>
              <w:spacing w:after="0" w:line="240" w:lineRule="auto"/>
              <w:rPr>
                <w:noProof/>
                <w:spacing w:val="-6"/>
                <w:lang w:val="sk-SK"/>
              </w:rPr>
            </w:pPr>
            <w:r w:rsidRPr="00AB26B3">
              <w:rPr>
                <w:noProof/>
                <w:spacing w:val="-6"/>
                <w:lang w:val="sk-SK"/>
              </w:rPr>
              <w:t>Revidovaný právny rámec prijatý na podporu elektronických platieb, posilnenie</w:t>
            </w:r>
            <w:r w:rsidR="00AB26B3" w:rsidRPr="00AB26B3">
              <w:rPr>
                <w:noProof/>
                <w:spacing w:val="-6"/>
                <w:lang w:val="sk-SK"/>
              </w:rPr>
              <w:t xml:space="preserve"> a </w:t>
            </w:r>
            <w:r w:rsidRPr="00AB26B3">
              <w:rPr>
                <w:noProof/>
                <w:spacing w:val="-6"/>
                <w:lang w:val="sk-SK"/>
              </w:rPr>
              <w:t>stanovenie nových požiadaviek na oznamovanie</w:t>
            </w:r>
            <w:r w:rsidR="00AB26B3" w:rsidRPr="00AB26B3">
              <w:rPr>
                <w:noProof/>
                <w:spacing w:val="-6"/>
                <w:lang w:val="sk-SK"/>
              </w:rPr>
              <w:t xml:space="preserve"> v </w:t>
            </w:r>
            <w:r w:rsidRPr="00AB26B3">
              <w:rPr>
                <w:noProof/>
                <w:spacing w:val="-6"/>
                <w:lang w:val="sk-SK"/>
              </w:rPr>
              <w:t>databáze myDATA</w:t>
            </w:r>
            <w:r w:rsidR="00AB26B3" w:rsidRPr="00AB26B3">
              <w:rPr>
                <w:noProof/>
                <w:spacing w:val="-6"/>
                <w:lang w:val="sk-SK"/>
              </w:rPr>
              <w:t xml:space="preserve"> a </w:t>
            </w:r>
            <w:r w:rsidRPr="00AB26B3">
              <w:rPr>
                <w:noProof/>
                <w:spacing w:val="-6"/>
                <w:lang w:val="sk-SK"/>
              </w:rPr>
              <w:t>umožnenie používania databázy myDATA na účely DPH</w:t>
            </w:r>
            <w:r w:rsidR="00AB26B3" w:rsidRPr="00AB26B3">
              <w:rPr>
                <w:noProof/>
                <w:spacing w:val="-6"/>
                <w:lang w:val="sk-SK"/>
              </w:rPr>
              <w:t>.</w:t>
            </w:r>
          </w:p>
          <w:p w14:paraId="4664DFB1" w14:textId="1ACE98E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Kópia správy</w:t>
            </w:r>
            <w:r w:rsidR="00AB26B3" w:rsidRPr="00AB26B3">
              <w:rPr>
                <w:noProof/>
                <w:spacing w:val="-6"/>
                <w:lang w:val="sk-SK"/>
              </w:rPr>
              <w:t xml:space="preserve"> o </w:t>
            </w:r>
            <w:r w:rsidRPr="00AB26B3">
              <w:rPr>
                <w:noProof/>
                <w:spacing w:val="-6"/>
                <w:lang w:val="sk-SK"/>
              </w:rPr>
              <w:t>možnostiach reformy zdaňovania samostatne zárobkovo činných osôb.</w:t>
            </w:r>
          </w:p>
        </w:tc>
        <w:tc>
          <w:tcPr>
            <w:tcW w:w="866" w:type="dxa"/>
            <w:tcBorders>
              <w:top w:val="single" w:sz="4" w:space="0" w:color="auto"/>
              <w:left w:val="nil"/>
              <w:bottom w:val="single" w:sz="4" w:space="0" w:color="auto"/>
              <w:right w:val="single" w:sz="4" w:space="0" w:color="auto"/>
            </w:tcBorders>
            <w:shd w:val="clear" w:color="auto" w:fill="C6EFCE"/>
            <w:noWrap/>
          </w:tcPr>
          <w:p w14:paraId="26E6646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6FA70B8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7673004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34DE9E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8" w:type="dxa"/>
            <w:tcBorders>
              <w:top w:val="single" w:sz="4" w:space="0" w:color="auto"/>
              <w:left w:val="nil"/>
              <w:bottom w:val="single" w:sz="4" w:space="0" w:color="auto"/>
              <w:right w:val="single" w:sz="4" w:space="0" w:color="auto"/>
            </w:tcBorders>
            <w:shd w:val="clear" w:color="auto" w:fill="C6EFCE"/>
            <w:noWrap/>
          </w:tcPr>
          <w:p w14:paraId="5B82C8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30" w:type="dxa"/>
            <w:tcBorders>
              <w:top w:val="single" w:sz="4" w:space="0" w:color="auto"/>
              <w:left w:val="nil"/>
              <w:bottom w:val="single" w:sz="4" w:space="0" w:color="auto"/>
              <w:right w:val="single" w:sz="4" w:space="0" w:color="auto"/>
            </w:tcBorders>
            <w:shd w:val="clear" w:color="auto" w:fill="C6EFCE"/>
            <w:noWrap/>
          </w:tcPr>
          <w:p w14:paraId="45D78E1E" w14:textId="77777777" w:rsidR="00AB26B3" w:rsidRPr="00AB26B3" w:rsidRDefault="00D64F26">
            <w:pPr>
              <w:pStyle w:val="P68B1DB1-Normal12"/>
              <w:spacing w:after="0" w:line="240" w:lineRule="auto"/>
              <w:rPr>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p>
          <w:p w14:paraId="7BD3C3AE" w14:textId="72E13C69" w:rsidR="00302FC1" w:rsidRPr="00AB26B3" w:rsidRDefault="00D64F26">
            <w:pPr>
              <w:pStyle w:val="P68B1DB1-Normal12"/>
              <w:spacing w:after="0" w:line="240" w:lineRule="auto"/>
              <w:rPr>
                <w:noProof/>
                <w:spacing w:val="-6"/>
                <w:lang w:val="sk-SK"/>
              </w:rPr>
            </w:pPr>
            <w:r w:rsidRPr="00AB26B3">
              <w:rPr>
                <w:noProof/>
                <w:spacing w:val="-6"/>
                <w:lang w:val="sk-SK"/>
              </w:rPr>
              <w:t>I)rozšíriť povinné prijímanie priamych elektronických platieb na maloobchodnom trhu;</w:t>
            </w:r>
          </w:p>
          <w:p w14:paraId="080D0B4D" w14:textId="710BC540" w:rsidR="00AB26B3" w:rsidRPr="00AB26B3" w:rsidRDefault="00D64F26">
            <w:pPr>
              <w:pStyle w:val="P68B1DB1-Normal12"/>
              <w:spacing w:after="0" w:line="240" w:lineRule="auto"/>
              <w:rPr>
                <w:noProof/>
                <w:spacing w:val="-6"/>
                <w:lang w:val="sk-SK"/>
              </w:rPr>
            </w:pPr>
            <w:r w:rsidRPr="00AB26B3">
              <w:rPr>
                <w:noProof/>
                <w:spacing w:val="-6"/>
                <w:lang w:val="sk-SK"/>
              </w:rPr>
              <w:t>II) zosúladiť požiadavky na výmenu informácií pre poskytovateľov platobných služieb</w:t>
            </w:r>
            <w:r w:rsidR="00AB26B3" w:rsidRPr="00AB26B3">
              <w:rPr>
                <w:noProof/>
                <w:spacing w:val="-6"/>
                <w:lang w:val="sk-SK"/>
              </w:rPr>
              <w:t xml:space="preserve"> s </w:t>
            </w:r>
            <w:r w:rsidRPr="00AB26B3">
              <w:rPr>
                <w:noProof/>
                <w:spacing w:val="-6"/>
                <w:lang w:val="sk-SK"/>
              </w:rPr>
              <w:t>vymedzeniami Bank of Greece</w:t>
            </w:r>
            <w:r w:rsidR="00AB26B3" w:rsidRPr="00AB26B3">
              <w:rPr>
                <w:noProof/>
                <w:spacing w:val="-6"/>
                <w:lang w:val="sk-SK"/>
              </w:rPr>
              <w:t>;</w:t>
            </w:r>
          </w:p>
          <w:p w14:paraId="51B21DCF" w14:textId="126577EB" w:rsidR="00302FC1" w:rsidRPr="00AB26B3" w:rsidRDefault="00D64F26">
            <w:pPr>
              <w:pStyle w:val="P68B1DB1-Normal12"/>
              <w:spacing w:after="0" w:line="240" w:lineRule="auto"/>
              <w:rPr>
                <w:noProof/>
                <w:spacing w:val="-6"/>
                <w:lang w:val="sk-SK"/>
              </w:rPr>
            </w:pPr>
            <w:r w:rsidRPr="00AB26B3">
              <w:rPr>
                <w:noProof/>
                <w:spacing w:val="-6"/>
                <w:lang w:val="sk-SK"/>
              </w:rPr>
              <w:t>III) stanoviť nové oznamovacie povinnosti</w:t>
            </w:r>
            <w:r w:rsidR="00AB26B3" w:rsidRPr="00AB26B3">
              <w:rPr>
                <w:noProof/>
                <w:spacing w:val="-6"/>
                <w:lang w:val="sk-SK"/>
              </w:rPr>
              <w:t xml:space="preserve"> v </w:t>
            </w:r>
            <w:r w:rsidRPr="00AB26B3">
              <w:rPr>
                <w:noProof/>
                <w:spacing w:val="-6"/>
                <w:lang w:val="sk-SK"/>
              </w:rPr>
              <w:t>rámci databázy myDATA pre podniky (vrátane samostatne zárobkovo činných osôb), ktoré sa majú uplatňovať na daňové priznania</w:t>
            </w:r>
            <w:r w:rsidR="00AB26B3" w:rsidRPr="00AB26B3">
              <w:rPr>
                <w:noProof/>
                <w:spacing w:val="-6"/>
                <w:lang w:val="sk-SK"/>
              </w:rPr>
              <w:t xml:space="preserve"> k </w:t>
            </w:r>
            <w:r w:rsidRPr="00AB26B3">
              <w:rPr>
                <w:noProof/>
                <w:spacing w:val="-6"/>
                <w:lang w:val="sk-SK"/>
              </w:rPr>
              <w:t>DPH; podielu a</w:t>
            </w:r>
          </w:p>
          <w:p w14:paraId="392E748D" w14:textId="092D9EB1" w:rsidR="00302FC1" w:rsidRPr="00AB26B3" w:rsidRDefault="00D64F26">
            <w:pPr>
              <w:pStyle w:val="P68B1DB1-Normal12"/>
              <w:spacing w:after="0" w:line="240" w:lineRule="auto"/>
              <w:rPr>
                <w:noProof/>
                <w:spacing w:val="-6"/>
                <w:lang w:val="sk-SK"/>
              </w:rPr>
            </w:pPr>
            <w:r w:rsidRPr="00AB26B3">
              <w:rPr>
                <w:noProof/>
                <w:spacing w:val="-6"/>
                <w:lang w:val="sk-SK"/>
              </w:rPr>
              <w:t>IV) Dokončenie správy</w:t>
            </w:r>
            <w:r w:rsidR="00AB26B3" w:rsidRPr="00AB26B3">
              <w:rPr>
                <w:noProof/>
                <w:spacing w:val="-6"/>
                <w:lang w:val="sk-SK"/>
              </w:rPr>
              <w:t xml:space="preserve"> o </w:t>
            </w:r>
            <w:r w:rsidRPr="00AB26B3">
              <w:rPr>
                <w:noProof/>
                <w:spacing w:val="-6"/>
                <w:lang w:val="sk-SK"/>
              </w:rPr>
              <w:t>možnostiach reformy zdaňovania samostatne zárobkovo činných osôb.</w:t>
            </w:r>
          </w:p>
          <w:p w14:paraId="463A23B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3F78B27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5772D4DB"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443FC37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338</w:t>
            </w:r>
          </w:p>
        </w:tc>
        <w:tc>
          <w:tcPr>
            <w:tcW w:w="1974" w:type="dxa"/>
            <w:tcBorders>
              <w:top w:val="single" w:sz="4" w:space="0" w:color="auto"/>
              <w:left w:val="nil"/>
              <w:bottom w:val="single" w:sz="4" w:space="0" w:color="auto"/>
              <w:right w:val="single" w:sz="4" w:space="0" w:color="auto"/>
            </w:tcBorders>
            <w:shd w:val="clear" w:color="auto" w:fill="C6EFCE"/>
            <w:noWrap/>
          </w:tcPr>
          <w:p w14:paraId="5D3B43A3" w14:textId="38D75E3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16985_Zmeny gréckeho rámca daňovej politiky</w:t>
            </w:r>
          </w:p>
        </w:tc>
        <w:tc>
          <w:tcPr>
            <w:tcW w:w="1172" w:type="dxa"/>
            <w:tcBorders>
              <w:top w:val="single" w:sz="4" w:space="0" w:color="auto"/>
              <w:left w:val="nil"/>
              <w:bottom w:val="single" w:sz="4" w:space="0" w:color="auto"/>
              <w:right w:val="single" w:sz="4" w:space="0" w:color="auto"/>
            </w:tcBorders>
            <w:shd w:val="clear" w:color="auto" w:fill="C6EFCE"/>
            <w:noWrap/>
          </w:tcPr>
          <w:p w14:paraId="459EAB0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73139A62" w14:textId="688D65D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Reformovať zdaňovanie samostatne zárobkovo činných osôb</w:t>
            </w:r>
            <w:r w:rsidR="00AB26B3" w:rsidRPr="00AB26B3">
              <w:rPr>
                <w:noProof/>
                <w:spacing w:val="-6"/>
                <w:lang w:val="sk-SK"/>
              </w:rPr>
              <w:t xml:space="preserve"> a </w:t>
            </w:r>
            <w:r w:rsidRPr="00AB26B3">
              <w:rPr>
                <w:noProof/>
                <w:spacing w:val="-6"/>
                <w:lang w:val="sk-SK"/>
              </w:rPr>
              <w:t>kolkovné.</w:t>
            </w:r>
          </w:p>
        </w:tc>
        <w:tc>
          <w:tcPr>
            <w:tcW w:w="1984" w:type="dxa"/>
            <w:tcBorders>
              <w:top w:val="single" w:sz="4" w:space="0" w:color="auto"/>
              <w:left w:val="nil"/>
              <w:bottom w:val="single" w:sz="4" w:space="0" w:color="auto"/>
              <w:right w:val="single" w:sz="4" w:space="0" w:color="auto"/>
            </w:tcBorders>
            <w:shd w:val="clear" w:color="auto" w:fill="C6EFCE"/>
            <w:noWrap/>
          </w:tcPr>
          <w:p w14:paraId="52168AF3" w14:textId="0FB7624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revidovaného právneho rámca týkajúceho sa zdaňovania samostatne zárobkovo činných osôb</w:t>
            </w:r>
            <w:r w:rsidR="00AB26B3" w:rsidRPr="00AB26B3">
              <w:rPr>
                <w:noProof/>
                <w:spacing w:val="-6"/>
                <w:lang w:val="sk-SK"/>
              </w:rPr>
              <w:t xml:space="preserve"> a </w:t>
            </w:r>
            <w:r w:rsidRPr="00AB26B3">
              <w:rPr>
                <w:noProof/>
                <w:spacing w:val="-6"/>
                <w:lang w:val="sk-SK"/>
              </w:rPr>
              <w:t>nahradenie kolkovej dane digitálnou daňou.</w:t>
            </w:r>
          </w:p>
        </w:tc>
        <w:tc>
          <w:tcPr>
            <w:tcW w:w="866" w:type="dxa"/>
            <w:tcBorders>
              <w:top w:val="single" w:sz="4" w:space="0" w:color="auto"/>
              <w:left w:val="nil"/>
              <w:bottom w:val="single" w:sz="4" w:space="0" w:color="auto"/>
              <w:right w:val="single" w:sz="4" w:space="0" w:color="auto"/>
            </w:tcBorders>
            <w:shd w:val="clear" w:color="auto" w:fill="C6EFCE"/>
            <w:noWrap/>
          </w:tcPr>
          <w:p w14:paraId="45DD751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5BE244B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12729A9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51A052B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single" w:sz="4" w:space="0" w:color="auto"/>
              <w:left w:val="nil"/>
              <w:bottom w:val="single" w:sz="4" w:space="0" w:color="auto"/>
              <w:right w:val="single" w:sz="4" w:space="0" w:color="auto"/>
            </w:tcBorders>
            <w:shd w:val="clear" w:color="auto" w:fill="C6EFCE"/>
            <w:noWrap/>
          </w:tcPr>
          <w:p w14:paraId="0E9300F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830" w:type="dxa"/>
            <w:tcBorders>
              <w:top w:val="single" w:sz="4" w:space="0" w:color="auto"/>
              <w:left w:val="nil"/>
              <w:bottom w:val="single" w:sz="4" w:space="0" w:color="auto"/>
              <w:right w:val="single" w:sz="4" w:space="0" w:color="auto"/>
            </w:tcBorders>
            <w:shd w:val="clear" w:color="auto" w:fill="C6EFCE"/>
            <w:noWrap/>
          </w:tcPr>
          <w:p w14:paraId="3899CC11" w14:textId="495DFE3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s </w:t>
            </w:r>
            <w:r w:rsidRPr="00AB26B3">
              <w:rPr>
                <w:noProof/>
                <w:spacing w:val="-6"/>
                <w:lang w:val="sk-SK"/>
              </w:rPr>
              <w:t>cieľom reformovať zdaňovanie samostatne zárobkovo činných osôb</w:t>
            </w:r>
            <w:r w:rsidR="00AB26B3" w:rsidRPr="00AB26B3">
              <w:rPr>
                <w:noProof/>
                <w:spacing w:val="-6"/>
                <w:lang w:val="sk-SK"/>
              </w:rPr>
              <w:t xml:space="preserve"> a </w:t>
            </w:r>
            <w:r w:rsidRPr="00AB26B3">
              <w:rPr>
                <w:noProof/>
                <w:spacing w:val="-6"/>
                <w:lang w:val="sk-SK"/>
              </w:rPr>
              <w:t>umožniť postupné znižovanie režijnej dane samostatne zárobkovo činných osôb (τέλος επιτηδεύματος). To zahŕňa stanovenie nových povinných požiadaviek na podávanie správ</w:t>
            </w:r>
            <w:r w:rsidR="00AB26B3" w:rsidRPr="00AB26B3">
              <w:rPr>
                <w:noProof/>
                <w:spacing w:val="-6"/>
                <w:lang w:val="sk-SK"/>
              </w:rPr>
              <w:t xml:space="preserve"> o </w:t>
            </w:r>
            <w:r w:rsidRPr="00AB26B3">
              <w:rPr>
                <w:noProof/>
                <w:spacing w:val="-6"/>
                <w:lang w:val="sk-SK"/>
              </w:rPr>
              <w:t>tom, ako sa prostredníctvom databázy myDATA vykazujú výdavky</w:t>
            </w:r>
            <w:r w:rsidR="00AB26B3" w:rsidRPr="00AB26B3">
              <w:rPr>
                <w:noProof/>
                <w:spacing w:val="-6"/>
                <w:lang w:val="sk-SK"/>
              </w:rPr>
              <w:t xml:space="preserve"> a </w:t>
            </w:r>
            <w:r w:rsidRPr="00AB26B3">
              <w:rPr>
                <w:noProof/>
                <w:spacing w:val="-6"/>
                <w:lang w:val="sk-SK"/>
              </w:rPr>
              <w:t>príjmy.</w:t>
            </w:r>
          </w:p>
          <w:p w14:paraId="7F36801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8DBE87C" w14:textId="160D81E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s </w:t>
            </w:r>
            <w:r w:rsidRPr="00AB26B3">
              <w:rPr>
                <w:noProof/>
                <w:spacing w:val="-6"/>
                <w:lang w:val="sk-SK"/>
              </w:rPr>
              <w:t>cieľom nahradiť existujúcu kolkovnú daň novou digitálnou daňou.</w:t>
            </w:r>
          </w:p>
        </w:tc>
      </w:tr>
      <w:tr w:rsidR="00302FC1" w:rsidRPr="00AB26B3" w14:paraId="2A616601"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6B5CC06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339</w:t>
            </w:r>
          </w:p>
        </w:tc>
        <w:tc>
          <w:tcPr>
            <w:tcW w:w="1974" w:type="dxa"/>
            <w:tcBorders>
              <w:top w:val="single" w:sz="4" w:space="0" w:color="auto"/>
              <w:left w:val="nil"/>
              <w:bottom w:val="single" w:sz="4" w:space="0" w:color="auto"/>
              <w:right w:val="single" w:sz="4" w:space="0" w:color="auto"/>
            </w:tcBorders>
            <w:shd w:val="clear" w:color="auto" w:fill="C6EFCE"/>
            <w:noWrap/>
          </w:tcPr>
          <w:p w14:paraId="604E305E" w14:textId="4365882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16985_Zmeny gréckeho rámca daňovej politiky</w:t>
            </w:r>
          </w:p>
        </w:tc>
        <w:tc>
          <w:tcPr>
            <w:tcW w:w="1172" w:type="dxa"/>
            <w:tcBorders>
              <w:top w:val="single" w:sz="4" w:space="0" w:color="auto"/>
              <w:left w:val="nil"/>
              <w:bottom w:val="single" w:sz="4" w:space="0" w:color="auto"/>
              <w:right w:val="single" w:sz="4" w:space="0" w:color="auto"/>
            </w:tcBorders>
            <w:shd w:val="clear" w:color="auto" w:fill="C6EFCE"/>
            <w:noWrap/>
          </w:tcPr>
          <w:p w14:paraId="32A277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1DC4567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Posilniť operačnú autonómiu nezávislého orgánu pre verejné príjmy (IAPR)</w:t>
            </w:r>
          </w:p>
        </w:tc>
        <w:tc>
          <w:tcPr>
            <w:tcW w:w="1984" w:type="dxa"/>
            <w:tcBorders>
              <w:top w:val="single" w:sz="4" w:space="0" w:color="auto"/>
              <w:left w:val="nil"/>
              <w:bottom w:val="single" w:sz="4" w:space="0" w:color="auto"/>
              <w:right w:val="single" w:sz="4" w:space="0" w:color="auto"/>
            </w:tcBorders>
            <w:shd w:val="clear" w:color="auto" w:fill="C6EFCE"/>
            <w:noWrap/>
          </w:tcPr>
          <w:p w14:paraId="1036EDA1" w14:textId="02CD416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Revidovaný právny rámec na objasnenie právomocí IAPR</w:t>
            </w:r>
            <w:r w:rsidR="00AB26B3" w:rsidRPr="00AB26B3">
              <w:rPr>
                <w:noProof/>
                <w:spacing w:val="-6"/>
                <w:lang w:val="sk-SK"/>
              </w:rPr>
              <w:t xml:space="preserve"> a </w:t>
            </w:r>
            <w:r w:rsidRPr="00AB26B3">
              <w:rPr>
                <w:noProof/>
                <w:spacing w:val="-6"/>
                <w:lang w:val="sk-SK"/>
              </w:rPr>
              <w:t>ministerstva pre digitálnu správu.</w:t>
            </w:r>
          </w:p>
          <w:p w14:paraId="2646E26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086843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Rozhodnutie IAPR, ktorým sa vymedzujú nové kľúčové ukazovatele výkonnosti pre IAPR.</w:t>
            </w:r>
          </w:p>
          <w:p w14:paraId="22F7A33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113DA7D6" w14:textId="3D15D926" w:rsidR="00302FC1" w:rsidRPr="00AB26B3" w:rsidRDefault="00D64F26">
            <w:pPr>
              <w:pStyle w:val="P68B1DB1-Normal12"/>
              <w:spacing w:after="0" w:line="240" w:lineRule="auto"/>
              <w:rPr>
                <w:noProof/>
                <w:spacing w:val="-6"/>
                <w:lang w:val="sk-SK"/>
              </w:rPr>
            </w:pPr>
            <w:r w:rsidRPr="00AB26B3">
              <w:rPr>
                <w:noProof/>
                <w:spacing w:val="-6"/>
                <w:lang w:val="sk-SK"/>
              </w:rPr>
              <w:t>Podpísanie dohody</w:t>
            </w:r>
            <w:r w:rsidR="00AB26B3" w:rsidRPr="00AB26B3">
              <w:rPr>
                <w:noProof/>
                <w:spacing w:val="-6"/>
                <w:lang w:val="sk-SK"/>
              </w:rPr>
              <w:t xml:space="preserve"> o </w:t>
            </w:r>
            <w:r w:rsidRPr="00AB26B3">
              <w:rPr>
                <w:noProof/>
                <w:spacing w:val="-6"/>
                <w:lang w:val="sk-SK"/>
              </w:rPr>
              <w:t>úrovni poskytovaných služieb vrátane povinnosti vypracovať výročnú správu</w:t>
            </w:r>
            <w:r w:rsidR="00AB26B3" w:rsidRPr="00AB26B3">
              <w:rPr>
                <w:noProof/>
                <w:spacing w:val="-6"/>
                <w:lang w:val="sk-SK"/>
              </w:rPr>
              <w:t xml:space="preserve"> o </w:t>
            </w:r>
            <w:r w:rsidRPr="00AB26B3">
              <w:rPr>
                <w:noProof/>
                <w:spacing w:val="-6"/>
                <w:lang w:val="sk-SK"/>
              </w:rPr>
              <w:t>vykonávaní, ktorá sa začne</w:t>
            </w:r>
            <w:r w:rsidR="00AB26B3" w:rsidRPr="00AB26B3">
              <w:rPr>
                <w:noProof/>
                <w:spacing w:val="-6"/>
                <w:lang w:val="sk-SK"/>
              </w:rPr>
              <w:t xml:space="preserve"> v </w:t>
            </w:r>
            <w:r w:rsidRPr="00AB26B3">
              <w:rPr>
                <w:noProof/>
                <w:spacing w:val="-6"/>
                <w:lang w:val="sk-SK"/>
              </w:rPr>
              <w:t xml:space="preserve">nasledujúcom roku. </w:t>
            </w:r>
          </w:p>
        </w:tc>
        <w:tc>
          <w:tcPr>
            <w:tcW w:w="866" w:type="dxa"/>
            <w:tcBorders>
              <w:top w:val="single" w:sz="4" w:space="0" w:color="auto"/>
              <w:left w:val="nil"/>
              <w:bottom w:val="single" w:sz="4" w:space="0" w:color="auto"/>
              <w:right w:val="single" w:sz="4" w:space="0" w:color="auto"/>
            </w:tcBorders>
            <w:shd w:val="clear" w:color="auto" w:fill="C6EFCE"/>
            <w:noWrap/>
          </w:tcPr>
          <w:p w14:paraId="055C865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4999DFD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2F2E069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13BF988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single" w:sz="4" w:space="0" w:color="auto"/>
              <w:left w:val="nil"/>
              <w:bottom w:val="single" w:sz="4" w:space="0" w:color="auto"/>
              <w:right w:val="single" w:sz="4" w:space="0" w:color="auto"/>
            </w:tcBorders>
            <w:shd w:val="clear" w:color="auto" w:fill="C6EFCE"/>
            <w:noWrap/>
          </w:tcPr>
          <w:p w14:paraId="384AA24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830" w:type="dxa"/>
            <w:tcBorders>
              <w:top w:val="single" w:sz="4" w:space="0" w:color="auto"/>
              <w:left w:val="nil"/>
              <w:bottom w:val="single" w:sz="4" w:space="0" w:color="auto"/>
              <w:right w:val="single" w:sz="4" w:space="0" w:color="auto"/>
            </w:tcBorders>
            <w:shd w:val="clear" w:color="auto" w:fill="C6EFCE"/>
            <w:noWrap/>
          </w:tcPr>
          <w:p w14:paraId="22401240" w14:textId="201CA660" w:rsidR="00302FC1" w:rsidRPr="00AB26B3" w:rsidRDefault="00D64F26">
            <w:pPr>
              <w:pStyle w:val="P68B1DB1-Normal12"/>
              <w:spacing w:after="0" w:line="240" w:lineRule="auto"/>
              <w:rPr>
                <w:noProof/>
                <w:spacing w:val="-6"/>
                <w:lang w:val="sk-SK"/>
              </w:rPr>
            </w:pPr>
            <w:r w:rsidRPr="00AB26B3">
              <w:rPr>
                <w:noProof/>
                <w:spacing w:val="-6"/>
                <w:lang w:val="sk-SK"/>
              </w:rPr>
              <w:t>Nadobudnutie účinnosti splnomocňujúcich právnych predpisov</w:t>
            </w:r>
            <w:r w:rsidR="00AB26B3" w:rsidRPr="00AB26B3">
              <w:rPr>
                <w:noProof/>
                <w:spacing w:val="-6"/>
                <w:lang w:val="sk-SK"/>
              </w:rPr>
              <w:t xml:space="preserve"> a </w:t>
            </w:r>
            <w:r w:rsidRPr="00AB26B3">
              <w:rPr>
                <w:noProof/>
                <w:spacing w:val="-6"/>
                <w:lang w:val="sk-SK"/>
              </w:rPr>
              <w:t>podpísanie komplexnej dohody</w:t>
            </w:r>
            <w:r w:rsidR="00AB26B3" w:rsidRPr="00AB26B3">
              <w:rPr>
                <w:noProof/>
                <w:spacing w:val="-6"/>
                <w:lang w:val="sk-SK"/>
              </w:rPr>
              <w:t xml:space="preserve"> o </w:t>
            </w:r>
            <w:r w:rsidRPr="00AB26B3">
              <w:rPr>
                <w:noProof/>
                <w:spacing w:val="-6"/>
                <w:lang w:val="sk-SK"/>
              </w:rPr>
              <w:t>úrovni poskytovaných služieb, ktorou sa potvrdia povinnosti</w:t>
            </w:r>
            <w:r w:rsidR="00AB26B3" w:rsidRPr="00AB26B3">
              <w:rPr>
                <w:noProof/>
                <w:spacing w:val="-6"/>
                <w:lang w:val="sk-SK"/>
              </w:rPr>
              <w:t xml:space="preserve"> a </w:t>
            </w:r>
            <w:r w:rsidRPr="00AB26B3">
              <w:rPr>
                <w:noProof/>
                <w:spacing w:val="-6"/>
                <w:lang w:val="sk-SK"/>
              </w:rPr>
              <w:t>rozdelenie zdrojov medzi IAPR</w:t>
            </w:r>
            <w:r w:rsidR="00AB26B3" w:rsidRPr="00AB26B3">
              <w:rPr>
                <w:noProof/>
                <w:spacing w:val="-6"/>
                <w:lang w:val="sk-SK"/>
              </w:rPr>
              <w:t xml:space="preserve"> a </w:t>
            </w:r>
            <w:r w:rsidRPr="00AB26B3">
              <w:rPr>
                <w:noProof/>
                <w:spacing w:val="-6"/>
                <w:lang w:val="sk-SK"/>
              </w:rPr>
              <w:t>ministerstvom digitálnej správy, pokiaľ ide</w:t>
            </w:r>
            <w:r w:rsidR="00AB26B3" w:rsidRPr="00AB26B3">
              <w:rPr>
                <w:noProof/>
                <w:spacing w:val="-6"/>
                <w:lang w:val="sk-SK"/>
              </w:rPr>
              <w:t xml:space="preserve"> o </w:t>
            </w:r>
            <w:r w:rsidRPr="00AB26B3">
              <w:rPr>
                <w:noProof/>
                <w:spacing w:val="-6"/>
                <w:lang w:val="sk-SK"/>
              </w:rPr>
              <w:t>licencie na počítačový</w:t>
            </w:r>
            <w:r w:rsidR="00AB26B3" w:rsidRPr="00AB26B3">
              <w:rPr>
                <w:noProof/>
                <w:spacing w:val="-6"/>
                <w:lang w:val="sk-SK"/>
              </w:rPr>
              <w:t xml:space="preserve"> a </w:t>
            </w:r>
            <w:r w:rsidRPr="00AB26B3">
              <w:rPr>
                <w:noProof/>
                <w:spacing w:val="-6"/>
                <w:lang w:val="sk-SK"/>
              </w:rPr>
              <w:t>pamäťový softvér, webové služby</w:t>
            </w:r>
            <w:r w:rsidR="00AB26B3" w:rsidRPr="00AB26B3">
              <w:rPr>
                <w:noProof/>
                <w:spacing w:val="-6"/>
                <w:lang w:val="sk-SK"/>
              </w:rPr>
              <w:t xml:space="preserve"> a </w:t>
            </w:r>
            <w:r w:rsidRPr="00AB26B3">
              <w:rPr>
                <w:noProof/>
                <w:spacing w:val="-6"/>
                <w:lang w:val="sk-SK"/>
              </w:rPr>
              <w:t>správu databáz. Dohoda</w:t>
            </w:r>
            <w:r w:rsidR="00AB26B3" w:rsidRPr="00AB26B3">
              <w:rPr>
                <w:noProof/>
                <w:spacing w:val="-6"/>
                <w:lang w:val="sk-SK"/>
              </w:rPr>
              <w:t xml:space="preserve"> o </w:t>
            </w:r>
            <w:r w:rsidRPr="00AB26B3">
              <w:rPr>
                <w:noProof/>
                <w:spacing w:val="-6"/>
                <w:lang w:val="sk-SK"/>
              </w:rPr>
              <w:t>úrovni poskytovaných služieb obsahuje ustanovenie</w:t>
            </w:r>
            <w:r w:rsidR="00AB26B3" w:rsidRPr="00AB26B3">
              <w:rPr>
                <w:noProof/>
                <w:spacing w:val="-6"/>
                <w:lang w:val="sk-SK"/>
              </w:rPr>
              <w:t xml:space="preserve"> o </w:t>
            </w:r>
            <w:r w:rsidRPr="00AB26B3">
              <w:rPr>
                <w:noProof/>
                <w:spacing w:val="-6"/>
                <w:lang w:val="sk-SK"/>
              </w:rPr>
              <w:t>tom, že oba orgány budú od nasledujúceho roka spoločne vypracúvať výročnú správu</w:t>
            </w:r>
            <w:r w:rsidR="00AB26B3" w:rsidRPr="00AB26B3">
              <w:rPr>
                <w:noProof/>
                <w:spacing w:val="-6"/>
                <w:lang w:val="sk-SK"/>
              </w:rPr>
              <w:t xml:space="preserve"> o </w:t>
            </w:r>
            <w:r w:rsidRPr="00AB26B3">
              <w:rPr>
                <w:noProof/>
                <w:spacing w:val="-6"/>
                <w:lang w:val="sk-SK"/>
              </w:rPr>
              <w:t>vykonávaní.</w:t>
            </w:r>
          </w:p>
          <w:p w14:paraId="0F08EB4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436EE50" w14:textId="3571A69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Rozhodnutie IAPR, ktorým sa vymedzujú nové kľúčové ukazovatele výkonnosti pre IAPR vrátane efektívnosti auditu;</w:t>
            </w:r>
            <w:r w:rsidR="00AB26B3" w:rsidRPr="00AB26B3">
              <w:rPr>
                <w:noProof/>
                <w:spacing w:val="-6"/>
                <w:lang w:val="sk-SK"/>
              </w:rPr>
              <w:t xml:space="preserve"> a </w:t>
            </w:r>
            <w:r w:rsidRPr="00AB26B3">
              <w:rPr>
                <w:noProof/>
                <w:spacing w:val="-6"/>
                <w:lang w:val="sk-SK"/>
              </w:rPr>
              <w:t>ii) zaviesť ročný prieskum (prieskumy) spokojnosti zákazníkov.</w:t>
            </w:r>
          </w:p>
        </w:tc>
      </w:tr>
      <w:tr w:rsidR="00302FC1" w:rsidRPr="00AB26B3" w14:paraId="41CCB8C7" w14:textId="77777777">
        <w:trPr>
          <w:trHeight w:val="313"/>
          <w:jc w:val="center"/>
        </w:trPr>
        <w:tc>
          <w:tcPr>
            <w:tcW w:w="682" w:type="dxa"/>
            <w:tcBorders>
              <w:top w:val="single" w:sz="4" w:space="0" w:color="auto"/>
              <w:left w:val="single" w:sz="4" w:space="0" w:color="auto"/>
              <w:bottom w:val="single" w:sz="4" w:space="0" w:color="auto"/>
              <w:right w:val="single" w:sz="4" w:space="0" w:color="auto"/>
            </w:tcBorders>
            <w:shd w:val="clear" w:color="auto" w:fill="C6EFCE"/>
            <w:noWrap/>
          </w:tcPr>
          <w:p w14:paraId="7593004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340</w:t>
            </w:r>
          </w:p>
        </w:tc>
        <w:tc>
          <w:tcPr>
            <w:tcW w:w="1974" w:type="dxa"/>
            <w:tcBorders>
              <w:top w:val="single" w:sz="4" w:space="0" w:color="auto"/>
              <w:left w:val="nil"/>
              <w:bottom w:val="single" w:sz="4" w:space="0" w:color="auto"/>
              <w:right w:val="single" w:sz="4" w:space="0" w:color="auto"/>
            </w:tcBorders>
            <w:shd w:val="clear" w:color="auto" w:fill="C6EFCE"/>
            <w:noWrap/>
          </w:tcPr>
          <w:p w14:paraId="237E0A9F" w14:textId="353EB31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16985_Zmeny gréckeho rámca daňovej politiky</w:t>
            </w:r>
          </w:p>
        </w:tc>
        <w:tc>
          <w:tcPr>
            <w:tcW w:w="1172" w:type="dxa"/>
            <w:tcBorders>
              <w:top w:val="single" w:sz="4" w:space="0" w:color="auto"/>
              <w:left w:val="nil"/>
              <w:bottom w:val="single" w:sz="4" w:space="0" w:color="auto"/>
              <w:right w:val="single" w:sz="4" w:space="0" w:color="auto"/>
            </w:tcBorders>
            <w:shd w:val="clear" w:color="auto" w:fill="C6EFCE"/>
            <w:noWrap/>
          </w:tcPr>
          <w:p w14:paraId="356A28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76" w:type="dxa"/>
            <w:tcBorders>
              <w:top w:val="single" w:sz="4" w:space="0" w:color="auto"/>
              <w:left w:val="nil"/>
              <w:bottom w:val="single" w:sz="4" w:space="0" w:color="auto"/>
              <w:right w:val="single" w:sz="4" w:space="0" w:color="auto"/>
            </w:tcBorders>
            <w:shd w:val="clear" w:color="auto" w:fill="C6EFCE"/>
            <w:noWrap/>
          </w:tcPr>
          <w:p w14:paraId="448EDCE7" w14:textId="6D2C865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Bojovať proti daňovým únikom využívaním databázy myDATA na účely dane</w:t>
            </w:r>
            <w:r w:rsidR="00AB26B3" w:rsidRPr="00AB26B3">
              <w:rPr>
                <w:noProof/>
                <w:spacing w:val="-6"/>
                <w:lang w:val="sk-SK"/>
              </w:rPr>
              <w:t xml:space="preserve"> z </w:t>
            </w:r>
            <w:r w:rsidRPr="00AB26B3">
              <w:rPr>
                <w:noProof/>
                <w:spacing w:val="-6"/>
                <w:lang w:val="sk-SK"/>
              </w:rPr>
              <w:t xml:space="preserve">príjmu. </w:t>
            </w:r>
          </w:p>
        </w:tc>
        <w:tc>
          <w:tcPr>
            <w:tcW w:w="1984" w:type="dxa"/>
            <w:tcBorders>
              <w:top w:val="single" w:sz="4" w:space="0" w:color="auto"/>
              <w:left w:val="nil"/>
              <w:bottom w:val="single" w:sz="4" w:space="0" w:color="auto"/>
              <w:right w:val="single" w:sz="4" w:space="0" w:color="auto"/>
            </w:tcBorders>
            <w:shd w:val="clear" w:color="auto" w:fill="C6EFCE"/>
            <w:noWrap/>
          </w:tcPr>
          <w:p w14:paraId="37BD5885" w14:textId="106D414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Revidovaný právny rámec prijatý</w:t>
            </w:r>
            <w:r w:rsidR="00AB26B3" w:rsidRPr="00AB26B3">
              <w:rPr>
                <w:noProof/>
                <w:spacing w:val="-6"/>
                <w:lang w:val="sk-SK"/>
              </w:rPr>
              <w:t xml:space="preserve"> s </w:t>
            </w:r>
            <w:r w:rsidRPr="00AB26B3">
              <w:rPr>
                <w:noProof/>
                <w:spacing w:val="-6"/>
                <w:lang w:val="sk-SK"/>
              </w:rPr>
              <w:t>cieľom stanoviť nové požiadavky na podávanie správ</w:t>
            </w:r>
            <w:r w:rsidR="00AB26B3" w:rsidRPr="00AB26B3">
              <w:rPr>
                <w:noProof/>
                <w:spacing w:val="-6"/>
                <w:lang w:val="sk-SK"/>
              </w:rPr>
              <w:t xml:space="preserve"> v </w:t>
            </w:r>
            <w:r w:rsidRPr="00AB26B3">
              <w:rPr>
                <w:noProof/>
                <w:spacing w:val="-6"/>
                <w:lang w:val="sk-SK"/>
              </w:rPr>
              <w:t>rámci databázy myDATA</w:t>
            </w:r>
            <w:r w:rsidR="00AB26B3" w:rsidRPr="00AB26B3">
              <w:rPr>
                <w:noProof/>
                <w:spacing w:val="-6"/>
                <w:lang w:val="sk-SK"/>
              </w:rPr>
              <w:t xml:space="preserve"> a </w:t>
            </w:r>
            <w:r w:rsidRPr="00AB26B3">
              <w:rPr>
                <w:noProof/>
                <w:spacing w:val="-6"/>
                <w:lang w:val="sk-SK"/>
              </w:rPr>
              <w:t>umožniť používanie databázy myDATA na účely dane</w:t>
            </w:r>
            <w:r w:rsidR="00AB26B3" w:rsidRPr="00AB26B3">
              <w:rPr>
                <w:noProof/>
                <w:spacing w:val="-6"/>
                <w:lang w:val="sk-SK"/>
              </w:rPr>
              <w:t xml:space="preserve"> z </w:t>
            </w:r>
            <w:r w:rsidRPr="00AB26B3">
              <w:rPr>
                <w:noProof/>
                <w:spacing w:val="-6"/>
                <w:lang w:val="sk-SK"/>
              </w:rPr>
              <w:t>príjmov.</w:t>
            </w:r>
          </w:p>
        </w:tc>
        <w:tc>
          <w:tcPr>
            <w:tcW w:w="866" w:type="dxa"/>
            <w:tcBorders>
              <w:top w:val="single" w:sz="4" w:space="0" w:color="auto"/>
              <w:left w:val="nil"/>
              <w:bottom w:val="single" w:sz="4" w:space="0" w:color="auto"/>
              <w:right w:val="single" w:sz="4" w:space="0" w:color="auto"/>
            </w:tcBorders>
            <w:shd w:val="clear" w:color="auto" w:fill="C6EFCE"/>
            <w:noWrap/>
          </w:tcPr>
          <w:p w14:paraId="75F9AE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06AA0E9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68" w:type="dxa"/>
            <w:tcBorders>
              <w:top w:val="single" w:sz="4" w:space="0" w:color="auto"/>
              <w:left w:val="nil"/>
              <w:bottom w:val="single" w:sz="4" w:space="0" w:color="auto"/>
              <w:right w:val="single" w:sz="4" w:space="0" w:color="auto"/>
            </w:tcBorders>
            <w:shd w:val="clear" w:color="auto" w:fill="C6EFCE"/>
            <w:noWrap/>
          </w:tcPr>
          <w:p w14:paraId="44FEC00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7C1A7C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single" w:sz="4" w:space="0" w:color="auto"/>
              <w:left w:val="nil"/>
              <w:bottom w:val="single" w:sz="4" w:space="0" w:color="auto"/>
              <w:right w:val="single" w:sz="4" w:space="0" w:color="auto"/>
            </w:tcBorders>
            <w:shd w:val="clear" w:color="auto" w:fill="C6EFCE"/>
            <w:noWrap/>
          </w:tcPr>
          <w:p w14:paraId="1F2AFD8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830" w:type="dxa"/>
            <w:tcBorders>
              <w:top w:val="single" w:sz="4" w:space="0" w:color="auto"/>
              <w:left w:val="nil"/>
              <w:bottom w:val="single" w:sz="4" w:space="0" w:color="auto"/>
              <w:right w:val="single" w:sz="4" w:space="0" w:color="auto"/>
            </w:tcBorders>
            <w:shd w:val="clear" w:color="auto" w:fill="C6EFCE"/>
            <w:noWrap/>
          </w:tcPr>
          <w:p w14:paraId="6E4D2955" w14:textId="77777777" w:rsidR="00AB26B3" w:rsidRPr="00AB26B3" w:rsidRDefault="00D64F26">
            <w:pPr>
              <w:pStyle w:val="P68B1DB1-Normal12"/>
              <w:spacing w:after="0" w:line="240" w:lineRule="auto"/>
              <w:rPr>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p>
          <w:p w14:paraId="45E02E8D" w14:textId="7973E60B" w:rsidR="00AB26B3" w:rsidRPr="00AB26B3" w:rsidRDefault="00D64F26">
            <w:pPr>
              <w:pStyle w:val="P68B1DB1-Normal12"/>
              <w:spacing w:after="0" w:line="240" w:lineRule="auto"/>
              <w:rPr>
                <w:noProof/>
                <w:spacing w:val="-6"/>
                <w:lang w:val="sk-SK"/>
              </w:rPr>
            </w:pPr>
            <w:r w:rsidRPr="00AB26B3">
              <w:rPr>
                <w:noProof/>
                <w:spacing w:val="-6"/>
                <w:lang w:val="sk-SK"/>
              </w:rPr>
              <w:t>umožnenie využívania vykazovania údajov</w:t>
            </w:r>
            <w:r w:rsidR="00AB26B3" w:rsidRPr="00AB26B3">
              <w:rPr>
                <w:noProof/>
                <w:spacing w:val="-6"/>
                <w:lang w:val="sk-SK"/>
              </w:rPr>
              <w:t xml:space="preserve"> z </w:t>
            </w:r>
            <w:r w:rsidRPr="00AB26B3">
              <w:rPr>
                <w:noProof/>
                <w:spacing w:val="-6"/>
                <w:lang w:val="sk-SK"/>
              </w:rPr>
              <w:t>databázy myDATA</w:t>
            </w:r>
            <w:r w:rsidR="00AB26B3" w:rsidRPr="00AB26B3">
              <w:rPr>
                <w:noProof/>
                <w:spacing w:val="-6"/>
                <w:lang w:val="sk-SK"/>
              </w:rPr>
              <w:t xml:space="preserve"> o </w:t>
            </w:r>
            <w:r w:rsidRPr="00AB26B3">
              <w:rPr>
                <w:noProof/>
                <w:spacing w:val="-6"/>
                <w:lang w:val="sk-SK"/>
              </w:rPr>
              <w:t>podnikoch (vrátane samostatne zárobkovo činných osôb) na účely daňových priznaní</w:t>
            </w:r>
            <w:r w:rsidR="00AB26B3" w:rsidRPr="00AB26B3">
              <w:rPr>
                <w:noProof/>
                <w:spacing w:val="-6"/>
                <w:lang w:val="sk-SK"/>
              </w:rPr>
              <w:t xml:space="preserve"> k </w:t>
            </w:r>
            <w:r w:rsidRPr="00AB26B3">
              <w:rPr>
                <w:noProof/>
                <w:spacing w:val="-6"/>
                <w:lang w:val="sk-SK"/>
              </w:rPr>
              <w:t>dani</w:t>
            </w:r>
            <w:r w:rsidR="00AB26B3" w:rsidRPr="00AB26B3">
              <w:rPr>
                <w:noProof/>
                <w:spacing w:val="-6"/>
                <w:lang w:val="sk-SK"/>
              </w:rPr>
              <w:t xml:space="preserve"> z </w:t>
            </w:r>
            <w:r w:rsidRPr="00AB26B3">
              <w:rPr>
                <w:noProof/>
                <w:spacing w:val="-6"/>
                <w:lang w:val="sk-SK"/>
              </w:rPr>
              <w:t>príjmov</w:t>
            </w:r>
            <w:r w:rsidR="00AB26B3" w:rsidRPr="00AB26B3">
              <w:rPr>
                <w:noProof/>
                <w:spacing w:val="-6"/>
                <w:lang w:val="sk-SK"/>
              </w:rPr>
              <w:t>.</w:t>
            </w:r>
          </w:p>
          <w:p w14:paraId="6502388E" w14:textId="33C9201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w:t>
            </w:r>
          </w:p>
          <w:p w14:paraId="21407B7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bl>
    <w:p w14:paraId="65D98780"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default" r:id="rId220"/>
          <w:footerReference w:type="default" r:id="rId221"/>
          <w:pgSz w:w="16839" w:h="11907" w:orient="landscape"/>
          <w:pgMar w:top="720" w:right="720" w:bottom="720" w:left="720" w:header="709" w:footer="75" w:gutter="0"/>
          <w:cols w:space="720"/>
          <w:docGrid w:linePitch="360"/>
        </w:sectPr>
      </w:pPr>
    </w:p>
    <w:p w14:paraId="5D43CC2E" w14:textId="77777777" w:rsidR="00302FC1" w:rsidRPr="00AB26B3" w:rsidRDefault="00D64F26">
      <w:pPr>
        <w:pStyle w:val="P68B1DB1-Normal46"/>
        <w:spacing w:before="120" w:after="120" w:line="240" w:lineRule="auto"/>
        <w:ind w:firstLine="6"/>
        <w:jc w:val="both"/>
        <w:outlineLvl w:val="3"/>
        <w:rPr>
          <w:rFonts w:cs="Times New Roman"/>
          <w:bCs/>
          <w:noProof/>
          <w:spacing w:val="-6"/>
          <w:lang w:val="sk-SK"/>
        </w:rPr>
      </w:pPr>
      <w:r w:rsidRPr="00AB26B3">
        <w:rPr>
          <w:noProof/>
          <w:spacing w:val="-6"/>
          <w:lang w:val="sk-SK"/>
        </w:rPr>
        <w:t>M. ZLOŽKA 4.2: MODERNIZOVAŤ VEREJNÚ SPRÁVU, A TO AJ URÝCHLENÍM REALIZÁCIE VEREJNÝCH INVESTÍCIÍ, ZLEPŠENÍM RÁMCA VEREJNÉHO OBSTARÁVANIA, OPATRENIAMI NA BUDOVANIE KAPACÍT A BOJOM PROTI KORUPCII</w:t>
      </w:r>
    </w:p>
    <w:p w14:paraId="0CFCD5C2" w14:textId="73DAD3C2"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Tento komponent gréckeho plánu obnovy</w:t>
      </w:r>
      <w:r w:rsidR="00AB26B3" w:rsidRPr="00AB26B3">
        <w:rPr>
          <w:noProof/>
          <w:spacing w:val="-6"/>
          <w:lang w:val="sk-SK"/>
        </w:rPr>
        <w:t xml:space="preserve"> a </w:t>
      </w:r>
      <w:r w:rsidRPr="00AB26B3">
        <w:rPr>
          <w:noProof/>
          <w:spacing w:val="-6"/>
          <w:lang w:val="sk-SK"/>
        </w:rPr>
        <w:t>odolnosti zahŕňa súbor rozsiahlych reforiem, ako aj investície do fungovania verejnej správy</w:t>
      </w:r>
      <w:r w:rsidR="00AB26B3" w:rsidRPr="00AB26B3">
        <w:rPr>
          <w:noProof/>
          <w:spacing w:val="-6"/>
          <w:lang w:val="sk-SK"/>
        </w:rPr>
        <w:t xml:space="preserve"> s </w:t>
      </w:r>
      <w:r w:rsidRPr="00AB26B3">
        <w:rPr>
          <w:noProof/>
          <w:spacing w:val="-6"/>
          <w:lang w:val="sk-SK"/>
        </w:rPr>
        <w:t>cieľom zlepšiť navrhovanie</w:t>
      </w:r>
      <w:r w:rsidR="00AB26B3" w:rsidRPr="00AB26B3">
        <w:rPr>
          <w:noProof/>
          <w:spacing w:val="-6"/>
          <w:lang w:val="sk-SK"/>
        </w:rPr>
        <w:t xml:space="preserve"> a </w:t>
      </w:r>
      <w:r w:rsidRPr="00AB26B3">
        <w:rPr>
          <w:noProof/>
          <w:spacing w:val="-6"/>
          <w:lang w:val="sk-SK"/>
        </w:rPr>
        <w:t>vykonávanie politík. Komponent zahŕňa opatrenia na modernizáciu verejnej správy prostredníctvom osobitných opatrení na posilnenie plánovania</w:t>
      </w:r>
      <w:r w:rsidR="00AB26B3" w:rsidRPr="00AB26B3">
        <w:rPr>
          <w:noProof/>
          <w:spacing w:val="-6"/>
          <w:lang w:val="sk-SK"/>
        </w:rPr>
        <w:t xml:space="preserve"> a </w:t>
      </w:r>
      <w:r w:rsidRPr="00AB26B3">
        <w:rPr>
          <w:noProof/>
          <w:spacing w:val="-6"/>
          <w:lang w:val="sk-SK"/>
        </w:rPr>
        <w:t>koordinácie politiky</w:t>
      </w:r>
      <w:r w:rsidR="00AB26B3" w:rsidRPr="00AB26B3">
        <w:rPr>
          <w:noProof/>
          <w:spacing w:val="-6"/>
          <w:lang w:val="sk-SK"/>
        </w:rPr>
        <w:t xml:space="preserve"> a </w:t>
      </w:r>
      <w:r w:rsidRPr="00AB26B3">
        <w:rPr>
          <w:noProof/>
          <w:spacing w:val="-6"/>
          <w:lang w:val="sk-SK"/>
        </w:rPr>
        <w:t>riadenia ľudských zdrojov, ako aj na dokončenie národného katastra, od ktorého sa očakáva, že zabezpečí účinný systém katastra nehnuteľností</w:t>
      </w:r>
      <w:r w:rsidR="00AB26B3" w:rsidRPr="00AB26B3">
        <w:rPr>
          <w:noProof/>
          <w:spacing w:val="-6"/>
          <w:lang w:val="sk-SK"/>
        </w:rPr>
        <w:t xml:space="preserve"> a </w:t>
      </w:r>
      <w:r w:rsidRPr="00AB26B3">
        <w:rPr>
          <w:noProof/>
          <w:spacing w:val="-6"/>
          <w:lang w:val="sk-SK"/>
        </w:rPr>
        <w:t>poskytne právnu istotu pre vlastnícke práva. Ďalšie opatrenia sú zamerané na riešenie nedostatočnej prípravy projektov na verejné investície (vrátane korupcie)</w:t>
      </w:r>
      <w:r w:rsidR="00AB26B3" w:rsidRPr="00AB26B3">
        <w:rPr>
          <w:noProof/>
          <w:spacing w:val="-6"/>
          <w:lang w:val="sk-SK"/>
        </w:rPr>
        <w:t xml:space="preserve"> a </w:t>
      </w:r>
      <w:r w:rsidRPr="00AB26B3">
        <w:rPr>
          <w:noProof/>
          <w:spacing w:val="-6"/>
          <w:lang w:val="sk-SK"/>
        </w:rPr>
        <w:t>na ďalšie posilnenie oblasti riadenia verejných financií. Tieto reformy</w:t>
      </w:r>
      <w:r w:rsidR="00AB26B3" w:rsidRPr="00AB26B3">
        <w:rPr>
          <w:noProof/>
          <w:spacing w:val="-6"/>
          <w:lang w:val="sk-SK"/>
        </w:rPr>
        <w:t xml:space="preserve"> a </w:t>
      </w:r>
      <w:r w:rsidRPr="00AB26B3">
        <w:rPr>
          <w:noProof/>
          <w:spacing w:val="-6"/>
          <w:lang w:val="sk-SK"/>
        </w:rPr>
        <w:t>investície podporujú riešenie výziev spojených</w:t>
      </w:r>
      <w:r w:rsidR="00AB26B3" w:rsidRPr="00AB26B3">
        <w:rPr>
          <w:noProof/>
          <w:spacing w:val="-6"/>
          <w:lang w:val="sk-SK"/>
        </w:rPr>
        <w:t xml:space="preserve"> s </w:t>
      </w:r>
      <w:r w:rsidRPr="00AB26B3">
        <w:rPr>
          <w:noProof/>
          <w:spacing w:val="-6"/>
          <w:lang w:val="sk-SK"/>
        </w:rPr>
        <w:t>a) digitálnou verejnou správou. Tento komponent podporuje plnenie odporúčaní pre danú krajinu týkajúcich sa verejných</w:t>
      </w:r>
      <w:r w:rsidR="00AB26B3" w:rsidRPr="00AB26B3">
        <w:rPr>
          <w:noProof/>
          <w:spacing w:val="-6"/>
          <w:lang w:val="sk-SK"/>
        </w:rPr>
        <w:t xml:space="preserve"> a </w:t>
      </w:r>
      <w:r w:rsidRPr="00AB26B3">
        <w:rPr>
          <w:noProof/>
          <w:spacing w:val="-6"/>
          <w:lang w:val="sk-SK"/>
        </w:rPr>
        <w:t xml:space="preserve">súkromných investícií (odporúčanie pre danú krajinu </w:t>
      </w:r>
      <w:r w:rsidR="00AB26B3" w:rsidRPr="00AB26B3">
        <w:rPr>
          <w:noProof/>
          <w:spacing w:val="-6"/>
          <w:lang w:val="sk-SK"/>
        </w:rPr>
        <w:t>č. </w:t>
      </w:r>
      <w:r w:rsidRPr="00AB26B3">
        <w:rPr>
          <w:noProof/>
          <w:spacing w:val="-6"/>
          <w:lang w:val="sk-SK"/>
        </w:rPr>
        <w:t xml:space="preserve">3 2020), štrukturálnych reforiem na zlepšenie fungovania hospodárstva (odporúčanie pre danú krajinu </w:t>
      </w:r>
      <w:r w:rsidR="00AB26B3" w:rsidRPr="00AB26B3">
        <w:rPr>
          <w:noProof/>
          <w:spacing w:val="-6"/>
          <w:lang w:val="sk-SK"/>
        </w:rPr>
        <w:t>č. </w:t>
      </w:r>
      <w:r w:rsidRPr="00AB26B3">
        <w:rPr>
          <w:noProof/>
          <w:spacing w:val="-6"/>
          <w:lang w:val="sk-SK"/>
        </w:rPr>
        <w:t>4 2020)</w:t>
      </w:r>
      <w:r w:rsidR="00AB26B3" w:rsidRPr="00AB26B3">
        <w:rPr>
          <w:noProof/>
          <w:spacing w:val="-6"/>
          <w:lang w:val="sk-SK"/>
        </w:rPr>
        <w:t xml:space="preserve"> a </w:t>
      </w:r>
      <w:r w:rsidRPr="00AB26B3">
        <w:rPr>
          <w:noProof/>
          <w:spacing w:val="-6"/>
          <w:lang w:val="sk-SK"/>
        </w:rPr>
        <w:t>dokončenie zostávajúcej reformy katastra, ktorá sa vykonáva</w:t>
      </w:r>
      <w:r w:rsidR="00AB26B3" w:rsidRPr="00AB26B3">
        <w:rPr>
          <w:noProof/>
          <w:spacing w:val="-6"/>
          <w:lang w:val="sk-SK"/>
        </w:rPr>
        <w:t xml:space="preserve"> v </w:t>
      </w:r>
      <w:r w:rsidRPr="00AB26B3">
        <w:rPr>
          <w:noProof/>
          <w:spacing w:val="-6"/>
          <w:lang w:val="sk-SK"/>
        </w:rPr>
        <w:t xml:space="preserve">rámci sprísneného dohľadu (odporúčanie pre danú krajinu </w:t>
      </w:r>
      <w:r w:rsidR="00AB26B3" w:rsidRPr="00AB26B3">
        <w:rPr>
          <w:noProof/>
          <w:spacing w:val="-6"/>
          <w:lang w:val="sk-SK"/>
        </w:rPr>
        <w:t>č. </w:t>
      </w:r>
      <w:r w:rsidRPr="00AB26B3">
        <w:rPr>
          <w:noProof/>
          <w:spacing w:val="-6"/>
          <w:lang w:val="sk-SK"/>
        </w:rPr>
        <w:t>3</w:t>
      </w:r>
      <w:r w:rsidR="00AB26B3" w:rsidRPr="00AB26B3">
        <w:rPr>
          <w:noProof/>
          <w:spacing w:val="-6"/>
          <w:lang w:val="sk-SK"/>
        </w:rPr>
        <w:t xml:space="preserve"> z </w:t>
      </w:r>
      <w:r w:rsidRPr="00AB26B3">
        <w:rPr>
          <w:noProof/>
          <w:spacing w:val="-6"/>
          <w:lang w:val="sk-SK"/>
        </w:rPr>
        <w:t>roku 2022</w:t>
      </w:r>
      <w:r w:rsidR="00AB26B3" w:rsidRPr="00AB26B3">
        <w:rPr>
          <w:noProof/>
          <w:spacing w:val="-6"/>
          <w:lang w:val="sk-SK"/>
        </w:rPr>
        <w:t xml:space="preserve"> a </w:t>
      </w:r>
      <w:r w:rsidRPr="00AB26B3">
        <w:rPr>
          <w:noProof/>
          <w:spacing w:val="-6"/>
          <w:lang w:val="sk-SK"/>
        </w:rPr>
        <w:t xml:space="preserve">odporúčanie pre danú krajinu </w:t>
      </w:r>
      <w:r w:rsidR="00AB26B3" w:rsidRPr="00AB26B3">
        <w:rPr>
          <w:noProof/>
          <w:spacing w:val="-6"/>
          <w:lang w:val="sk-SK"/>
        </w:rPr>
        <w:t>č. </w:t>
      </w:r>
      <w:r w:rsidRPr="00AB26B3">
        <w:rPr>
          <w:noProof/>
          <w:spacing w:val="-6"/>
          <w:lang w:val="sk-SK"/>
        </w:rPr>
        <w:t>3</w:t>
      </w:r>
      <w:r w:rsidR="00AB26B3" w:rsidRPr="00AB26B3">
        <w:rPr>
          <w:noProof/>
          <w:spacing w:val="-6"/>
          <w:lang w:val="sk-SK"/>
        </w:rPr>
        <w:t xml:space="preserve"> z </w:t>
      </w:r>
      <w:r w:rsidRPr="00AB26B3">
        <w:rPr>
          <w:noProof/>
          <w:spacing w:val="-6"/>
          <w:lang w:val="sk-SK"/>
        </w:rPr>
        <w:t>roku 2023).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5AA12D2C" w14:textId="600A7D11"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M.1.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744EC593"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Reforma verejnej správy (opatrenie ID 16972)</w:t>
      </w:r>
    </w:p>
    <w:p w14:paraId="0CFE9B61" w14:textId="23FFCD73"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reformy je pokračovať</w:t>
      </w:r>
      <w:r w:rsidR="00AB26B3" w:rsidRPr="00AB26B3">
        <w:rPr>
          <w:noProof/>
          <w:spacing w:val="-6"/>
          <w:lang w:val="sk-SK"/>
        </w:rPr>
        <w:t xml:space="preserve"> v </w:t>
      </w:r>
      <w:r w:rsidRPr="00AB26B3">
        <w:rPr>
          <w:noProof/>
          <w:spacing w:val="-6"/>
          <w:lang w:val="sk-SK"/>
        </w:rPr>
        <w:t>úsilí</w:t>
      </w:r>
      <w:r w:rsidR="00AB26B3" w:rsidRPr="00AB26B3">
        <w:rPr>
          <w:noProof/>
          <w:spacing w:val="-6"/>
          <w:lang w:val="sk-SK"/>
        </w:rPr>
        <w:t xml:space="preserve"> o </w:t>
      </w:r>
      <w:r w:rsidRPr="00AB26B3">
        <w:rPr>
          <w:noProof/>
          <w:spacing w:val="-6"/>
          <w:lang w:val="sk-SK"/>
        </w:rPr>
        <w:t>modernizáciu verejnej správy</w:t>
      </w:r>
      <w:r w:rsidR="00AB26B3" w:rsidRPr="00AB26B3">
        <w:rPr>
          <w:noProof/>
          <w:spacing w:val="-6"/>
          <w:lang w:val="sk-SK"/>
        </w:rPr>
        <w:t xml:space="preserve"> a </w:t>
      </w:r>
      <w:r w:rsidRPr="00AB26B3">
        <w:rPr>
          <w:noProof/>
          <w:spacing w:val="-6"/>
          <w:lang w:val="sk-SK"/>
        </w:rPr>
        <w:t>investovať do jej ľudských zdrojov. Reforma pozostáva</w:t>
      </w:r>
      <w:r w:rsidR="00AB26B3" w:rsidRPr="00AB26B3">
        <w:rPr>
          <w:noProof/>
          <w:spacing w:val="-6"/>
          <w:lang w:val="sk-SK"/>
        </w:rPr>
        <w:t xml:space="preserve"> z </w:t>
      </w:r>
      <w:r w:rsidRPr="00AB26B3">
        <w:rPr>
          <w:noProof/>
          <w:spacing w:val="-6"/>
          <w:lang w:val="sk-SK"/>
        </w:rPr>
        <w:t>opatrení, ktorými sa zriadia informačné systémy na podporu strategického rámca plánovania pracovnej sily</w:t>
      </w:r>
      <w:r w:rsidR="00AB26B3" w:rsidRPr="00AB26B3">
        <w:rPr>
          <w:noProof/>
          <w:spacing w:val="-6"/>
          <w:lang w:val="sk-SK"/>
        </w:rPr>
        <w:t xml:space="preserve"> a </w:t>
      </w:r>
      <w:r w:rsidRPr="00AB26B3">
        <w:rPr>
          <w:noProof/>
          <w:spacing w:val="-6"/>
          <w:lang w:val="sk-SK"/>
        </w:rPr>
        <w:t>výberových konaní Najvyššej rady pre výber civilných zamestnancov (ASEP)</w:t>
      </w:r>
      <w:r w:rsidR="00AB26B3" w:rsidRPr="00AB26B3">
        <w:rPr>
          <w:noProof/>
          <w:spacing w:val="-6"/>
          <w:lang w:val="sk-SK"/>
        </w:rPr>
        <w:t xml:space="preserve"> a </w:t>
      </w:r>
      <w:r w:rsidRPr="00AB26B3">
        <w:rPr>
          <w:noProof/>
          <w:spacing w:val="-6"/>
          <w:lang w:val="sk-SK"/>
        </w:rPr>
        <w:t>dokončí sa rozsiahly program odbornej prípravy pre štátnych zamestnancov.</w:t>
      </w:r>
    </w:p>
    <w:p w14:paraId="1E9B9F33" w14:textId="7BC047D2"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Boj proti nezákonnému obchodu</w:t>
      </w:r>
      <w:r w:rsidR="00AB26B3" w:rsidRPr="00AB26B3">
        <w:rPr>
          <w:noProof/>
          <w:spacing w:val="-6"/>
          <w:lang w:val="sk-SK"/>
        </w:rPr>
        <w:t xml:space="preserve"> a </w:t>
      </w:r>
      <w:r w:rsidRPr="00AB26B3">
        <w:rPr>
          <w:noProof/>
          <w:spacing w:val="-6"/>
          <w:lang w:val="sk-SK"/>
        </w:rPr>
        <w:t>ochrana duševného vlastníctva (opatrenie ID 16703)</w:t>
      </w:r>
    </w:p>
    <w:p w14:paraId="32F400DD" w14:textId="28F90749" w:rsidR="00AB26B3" w:rsidRPr="00AB26B3" w:rsidRDefault="00D64F26">
      <w:pPr>
        <w:spacing w:before="120" w:after="120" w:line="240" w:lineRule="auto"/>
        <w:jc w:val="both"/>
        <w:rPr>
          <w:rFonts w:ascii="Times New Roman" w:hAnsi="Times New Roman"/>
          <w:noProof/>
          <w:spacing w:val="-6"/>
          <w:sz w:val="24"/>
          <w:lang w:val="sk-SK"/>
        </w:rPr>
      </w:pPr>
      <w:r w:rsidRPr="00AB26B3">
        <w:rPr>
          <w:rFonts w:ascii="Times New Roman" w:hAnsi="Times New Roman"/>
          <w:noProof/>
          <w:spacing w:val="-6"/>
          <w:sz w:val="24"/>
          <w:lang w:val="sk-SK"/>
        </w:rPr>
        <w:t>Cieľom tejto reformy je zlepšiť reakciu na nezákonný obchod. Reforma pozostáva</w:t>
      </w:r>
      <w:r w:rsidR="00AB26B3" w:rsidRPr="00AB26B3">
        <w:rPr>
          <w:rFonts w:ascii="Times New Roman" w:hAnsi="Times New Roman"/>
          <w:noProof/>
          <w:spacing w:val="-6"/>
          <w:sz w:val="24"/>
          <w:lang w:val="sk-SK"/>
        </w:rPr>
        <w:t xml:space="preserve"> z </w:t>
      </w:r>
      <w:r w:rsidRPr="00AB26B3">
        <w:rPr>
          <w:rFonts w:ascii="Times New Roman" w:hAnsi="Times New Roman"/>
          <w:noProof/>
          <w:spacing w:val="-6"/>
          <w:sz w:val="24"/>
          <w:lang w:val="sk-SK"/>
        </w:rPr>
        <w:t>informačného systému, kontrolných staníc</w:t>
      </w:r>
      <w:r w:rsidR="00AB26B3" w:rsidRPr="00AB26B3">
        <w:rPr>
          <w:rFonts w:ascii="Times New Roman" w:hAnsi="Times New Roman"/>
          <w:noProof/>
          <w:spacing w:val="-6"/>
          <w:sz w:val="24"/>
          <w:lang w:val="sk-SK"/>
        </w:rPr>
        <w:t xml:space="preserve"> a </w:t>
      </w:r>
      <w:r w:rsidRPr="00AB26B3">
        <w:rPr>
          <w:rFonts w:ascii="Times New Roman" w:hAnsi="Times New Roman"/>
          <w:noProof/>
          <w:spacing w:val="-6"/>
          <w:sz w:val="24"/>
          <w:lang w:val="sk-SK"/>
        </w:rPr>
        <w:t>odbornej prípravy</w:t>
      </w:r>
      <w:r w:rsidR="00AB26B3" w:rsidRPr="00AB26B3">
        <w:rPr>
          <w:rFonts w:ascii="Times New Roman" w:hAnsi="Times New Roman"/>
          <w:noProof/>
          <w:spacing w:val="-6"/>
          <w:sz w:val="24"/>
          <w:lang w:val="sk-SK"/>
        </w:rPr>
        <w:t>.</w:t>
      </w:r>
    </w:p>
    <w:p w14:paraId="0427E622" w14:textId="4466B329"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Posilnenie národného protikorupčného rámca (opatrenie ID 16952)</w:t>
      </w:r>
    </w:p>
    <w:p w14:paraId="09B462E6" w14:textId="330D9063"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tejto reformy je prispieť</w:t>
      </w:r>
      <w:r w:rsidR="00AB26B3" w:rsidRPr="00AB26B3">
        <w:rPr>
          <w:noProof/>
          <w:spacing w:val="-6"/>
          <w:lang w:val="sk-SK"/>
        </w:rPr>
        <w:t xml:space="preserve"> k </w:t>
      </w:r>
      <w:r w:rsidRPr="00AB26B3">
        <w:rPr>
          <w:noProof/>
          <w:spacing w:val="-6"/>
          <w:lang w:val="sk-SK"/>
        </w:rPr>
        <w:t>odhaľovaniu korupcie</w:t>
      </w:r>
      <w:r w:rsidR="00AB26B3" w:rsidRPr="00AB26B3">
        <w:rPr>
          <w:noProof/>
          <w:spacing w:val="-6"/>
          <w:lang w:val="sk-SK"/>
        </w:rPr>
        <w:t xml:space="preserve"> a </w:t>
      </w:r>
      <w:r w:rsidRPr="00AB26B3">
        <w:rPr>
          <w:noProof/>
          <w:spacing w:val="-6"/>
          <w:lang w:val="sk-SK"/>
        </w:rPr>
        <w:t>jej predchádzaniu. Reforma pozostáva</w:t>
      </w:r>
      <w:r w:rsidR="00AB26B3" w:rsidRPr="00AB26B3">
        <w:rPr>
          <w:noProof/>
          <w:spacing w:val="-6"/>
          <w:lang w:val="sk-SK"/>
        </w:rPr>
        <w:t xml:space="preserve"> z </w:t>
      </w:r>
      <w:r w:rsidRPr="00AB26B3">
        <w:rPr>
          <w:noProof/>
          <w:spacing w:val="-6"/>
          <w:lang w:val="sk-SK"/>
        </w:rPr>
        <w:t>projektov na podporu digitálnych</w:t>
      </w:r>
      <w:r w:rsidR="00AB26B3" w:rsidRPr="00AB26B3">
        <w:rPr>
          <w:noProof/>
          <w:spacing w:val="-6"/>
          <w:lang w:val="sk-SK"/>
        </w:rPr>
        <w:t xml:space="preserve"> a </w:t>
      </w:r>
      <w:r w:rsidRPr="00AB26B3">
        <w:rPr>
          <w:noProof/>
          <w:spacing w:val="-6"/>
          <w:lang w:val="sk-SK"/>
        </w:rPr>
        <w:t>infraštruktúrnych kapacít národného orgánu pre transparentnosť.</w:t>
      </w:r>
    </w:p>
    <w:p w14:paraId="6842BC09"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Posilniť sieť štátnej pomoci (opatrenie ID 16701)</w:t>
      </w:r>
    </w:p>
    <w:p w14:paraId="71C95188" w14:textId="0EC925D0"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tejto reformy je posilniť kapacitu siete jednotiek štátnej pomoci na ministerstvách</w:t>
      </w:r>
      <w:r w:rsidR="00AB26B3" w:rsidRPr="00AB26B3">
        <w:rPr>
          <w:noProof/>
          <w:spacing w:val="-6"/>
          <w:lang w:val="sk-SK"/>
        </w:rPr>
        <w:t xml:space="preserve"> a </w:t>
      </w:r>
      <w:r w:rsidRPr="00AB26B3">
        <w:rPr>
          <w:noProof/>
          <w:spacing w:val="-6"/>
          <w:lang w:val="sk-SK"/>
        </w:rPr>
        <w:t>zvýšiť digitalizáciu centrálnej jednotky štátnej pomoci modernizáciou jej technologických schopností</w:t>
      </w:r>
      <w:r w:rsidR="00AB26B3" w:rsidRPr="00AB26B3">
        <w:rPr>
          <w:noProof/>
          <w:spacing w:val="-6"/>
          <w:lang w:val="sk-SK"/>
        </w:rPr>
        <w:t xml:space="preserve"> a </w:t>
      </w:r>
      <w:r w:rsidRPr="00AB26B3">
        <w:rPr>
          <w:noProof/>
          <w:spacing w:val="-6"/>
          <w:lang w:val="sk-SK"/>
        </w:rPr>
        <w:t>prevádzkovej funkčnosti. Reforma pozostáva</w:t>
      </w:r>
      <w:r w:rsidR="00AB26B3" w:rsidRPr="00AB26B3">
        <w:rPr>
          <w:noProof/>
          <w:spacing w:val="-6"/>
          <w:lang w:val="sk-SK"/>
        </w:rPr>
        <w:t xml:space="preserve"> z </w:t>
      </w:r>
      <w:r w:rsidRPr="00AB26B3">
        <w:rPr>
          <w:noProof/>
          <w:spacing w:val="-6"/>
          <w:lang w:val="sk-SK"/>
        </w:rPr>
        <w:t>revízie právneho rámca štátnej pomoci pre prevádzku Centrálnej siete štátnej pomoci (CESANET)</w:t>
      </w:r>
      <w:r w:rsidR="00AB26B3" w:rsidRPr="00AB26B3">
        <w:rPr>
          <w:noProof/>
          <w:spacing w:val="-6"/>
          <w:lang w:val="sk-SK"/>
        </w:rPr>
        <w:t xml:space="preserve"> s </w:t>
      </w:r>
      <w:r w:rsidRPr="00AB26B3">
        <w:rPr>
          <w:noProof/>
          <w:spacing w:val="-6"/>
          <w:lang w:val="sk-SK"/>
        </w:rPr>
        <w:t>cieľom posilniť právomoci Centrálnej jednotky štátnej pomoci</w:t>
      </w:r>
      <w:r w:rsidR="00AB26B3" w:rsidRPr="00AB26B3">
        <w:rPr>
          <w:noProof/>
          <w:spacing w:val="-6"/>
          <w:lang w:val="sk-SK"/>
        </w:rPr>
        <w:t xml:space="preserve"> a </w:t>
      </w:r>
      <w:r w:rsidRPr="00AB26B3">
        <w:rPr>
          <w:noProof/>
          <w:spacing w:val="-6"/>
          <w:lang w:val="sk-SK"/>
        </w:rPr>
        <w:t>decentralizovaných jednotiek štátnej pomoci.</w:t>
      </w:r>
    </w:p>
    <w:p w14:paraId="75AE8546" w14:textId="34A4FDD0"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Posilnenie rámca boja proti praniu špinavých peňazí</w:t>
      </w:r>
      <w:r w:rsidR="00AB26B3" w:rsidRPr="00AB26B3">
        <w:rPr>
          <w:noProof/>
          <w:spacing w:val="-6"/>
          <w:lang w:val="sk-SK"/>
        </w:rPr>
        <w:t xml:space="preserve"> a </w:t>
      </w:r>
      <w:r w:rsidRPr="00AB26B3">
        <w:rPr>
          <w:noProof/>
          <w:spacing w:val="-6"/>
          <w:lang w:val="sk-SK"/>
        </w:rPr>
        <w:t>financovaniu terorizmu (opatrenie ID 16702)</w:t>
      </w:r>
    </w:p>
    <w:p w14:paraId="433BBC6D" w14:textId="2BE0E6CE"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Reforma sa týka zriadenia digitálnej platformy na zber štatistických údajov</w:t>
      </w:r>
      <w:r w:rsidR="00AB26B3" w:rsidRPr="00AB26B3">
        <w:rPr>
          <w:noProof/>
          <w:spacing w:val="-6"/>
          <w:lang w:val="sk-SK"/>
        </w:rPr>
        <w:t xml:space="preserve"> v </w:t>
      </w:r>
      <w:r w:rsidRPr="00AB26B3">
        <w:rPr>
          <w:noProof/>
          <w:spacing w:val="-6"/>
          <w:lang w:val="sk-SK"/>
        </w:rPr>
        <w:t>držbe justičných orgánov, orgánov dohľadu</w:t>
      </w:r>
      <w:r w:rsidR="00AB26B3" w:rsidRPr="00AB26B3">
        <w:rPr>
          <w:noProof/>
          <w:spacing w:val="-6"/>
          <w:lang w:val="sk-SK"/>
        </w:rPr>
        <w:t xml:space="preserve"> a </w:t>
      </w:r>
      <w:r w:rsidRPr="00AB26B3">
        <w:rPr>
          <w:noProof/>
          <w:spacing w:val="-6"/>
          <w:lang w:val="sk-SK"/>
        </w:rPr>
        <w:t>orgánov presadzovania práva</w:t>
      </w:r>
      <w:r w:rsidR="00AB26B3" w:rsidRPr="00AB26B3">
        <w:rPr>
          <w:noProof/>
          <w:spacing w:val="-6"/>
          <w:lang w:val="sk-SK"/>
        </w:rPr>
        <w:t xml:space="preserve"> a </w:t>
      </w:r>
      <w:r w:rsidRPr="00AB26B3">
        <w:rPr>
          <w:noProof/>
          <w:spacing w:val="-6"/>
          <w:lang w:val="sk-SK"/>
        </w:rPr>
        <w:t>zlepšenia centrálneho registra konečných užívateľov výhod</w:t>
      </w:r>
      <w:r w:rsidR="00AB26B3" w:rsidRPr="00AB26B3">
        <w:rPr>
          <w:noProof/>
          <w:spacing w:val="-6"/>
          <w:lang w:val="sk-SK"/>
        </w:rPr>
        <w:t xml:space="preserve"> s </w:t>
      </w:r>
      <w:r w:rsidRPr="00AB26B3">
        <w:rPr>
          <w:noProof/>
          <w:spacing w:val="-6"/>
          <w:lang w:val="sk-SK"/>
        </w:rPr>
        <w:t>cieľom uľahčiť priamy prístup príslušných orgánov</w:t>
      </w:r>
      <w:r w:rsidR="00AB26B3" w:rsidRPr="00AB26B3">
        <w:rPr>
          <w:noProof/>
          <w:spacing w:val="-6"/>
          <w:lang w:val="sk-SK"/>
        </w:rPr>
        <w:t xml:space="preserve"> k </w:t>
      </w:r>
      <w:r w:rsidRPr="00AB26B3">
        <w:rPr>
          <w:noProof/>
          <w:spacing w:val="-6"/>
          <w:lang w:val="sk-SK"/>
        </w:rPr>
        <w:t>informáciám</w:t>
      </w:r>
      <w:r w:rsidR="00AB26B3" w:rsidRPr="00AB26B3">
        <w:rPr>
          <w:noProof/>
          <w:spacing w:val="-6"/>
          <w:lang w:val="sk-SK"/>
        </w:rPr>
        <w:t xml:space="preserve"> o </w:t>
      </w:r>
      <w:r w:rsidRPr="00AB26B3">
        <w:rPr>
          <w:noProof/>
          <w:spacing w:val="-6"/>
          <w:lang w:val="sk-SK"/>
        </w:rPr>
        <w:t>skutočnom vlastníctve. Implementácia tejto reformy sa dokončí do 30</w:t>
      </w:r>
      <w:r w:rsidR="00AB26B3" w:rsidRPr="00AB26B3">
        <w:rPr>
          <w:noProof/>
          <w:spacing w:val="-6"/>
          <w:lang w:val="sk-SK"/>
        </w:rPr>
        <w:t>. júna</w:t>
      </w:r>
      <w:r w:rsidRPr="00AB26B3">
        <w:rPr>
          <w:noProof/>
          <w:spacing w:val="-6"/>
          <w:lang w:val="sk-SK"/>
        </w:rPr>
        <w:t xml:space="preserve"> 2024.</w:t>
      </w:r>
    </w:p>
    <w:p w14:paraId="65B86DF3"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Reforma účtovníctva (opatrenie ID 16974)</w:t>
      </w:r>
    </w:p>
    <w:p w14:paraId="6F5EE0A3" w14:textId="54B3EA65"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reformy je posilniť schopnosť Grécka vypracúvať finančné výkazníctvo</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medzinárodnými účtovnými štandardmi</w:t>
      </w:r>
      <w:r w:rsidR="00AB26B3" w:rsidRPr="00AB26B3">
        <w:rPr>
          <w:noProof/>
          <w:spacing w:val="-6"/>
          <w:lang w:val="sk-SK"/>
        </w:rPr>
        <w:t xml:space="preserve"> a </w:t>
      </w:r>
      <w:r w:rsidRPr="00AB26B3">
        <w:rPr>
          <w:noProof/>
          <w:spacing w:val="-6"/>
          <w:lang w:val="sk-SK"/>
        </w:rPr>
        <w:t>zásadami akruálneho účtovníctva. Toto opatrenie pozostáva</w:t>
      </w:r>
      <w:r w:rsidR="00AB26B3" w:rsidRPr="00AB26B3">
        <w:rPr>
          <w:noProof/>
          <w:spacing w:val="-6"/>
          <w:lang w:val="sk-SK"/>
        </w:rPr>
        <w:t xml:space="preserve"> z </w:t>
      </w:r>
      <w:r w:rsidRPr="00AB26B3">
        <w:rPr>
          <w:noProof/>
          <w:spacing w:val="-6"/>
          <w:lang w:val="sk-SK"/>
        </w:rPr>
        <w:t>postupného prechodu od upraveného hotovostného účtovníctva</w:t>
      </w:r>
      <w:r w:rsidR="00AB26B3" w:rsidRPr="00AB26B3">
        <w:rPr>
          <w:noProof/>
          <w:spacing w:val="-6"/>
          <w:lang w:val="sk-SK"/>
        </w:rPr>
        <w:t xml:space="preserve"> k </w:t>
      </w:r>
      <w:r w:rsidRPr="00AB26B3">
        <w:rPr>
          <w:noProof/>
          <w:spacing w:val="-6"/>
          <w:lang w:val="sk-SK"/>
        </w:rPr>
        <w:t>účtovaniu na základe časového rozlíšenia</w:t>
      </w:r>
      <w:r w:rsidR="00AB26B3" w:rsidRPr="00AB26B3">
        <w:rPr>
          <w:noProof/>
          <w:spacing w:val="-6"/>
          <w:lang w:val="sk-SK"/>
        </w:rPr>
        <w:t xml:space="preserve"> a </w:t>
      </w:r>
      <w:r w:rsidRPr="00AB26B3">
        <w:rPr>
          <w:noProof/>
          <w:spacing w:val="-6"/>
          <w:lang w:val="sk-SK"/>
        </w:rPr>
        <w:t>konsolidovanému finančnému vykazovaniu</w:t>
      </w:r>
      <w:r w:rsidR="00AB26B3" w:rsidRPr="00AB26B3">
        <w:rPr>
          <w:noProof/>
          <w:spacing w:val="-6"/>
          <w:lang w:val="sk-SK"/>
        </w:rPr>
        <w:t xml:space="preserve"> v </w:t>
      </w:r>
      <w:r w:rsidRPr="00AB26B3">
        <w:rPr>
          <w:noProof/>
          <w:spacing w:val="-6"/>
          <w:lang w:val="sk-SK"/>
        </w:rPr>
        <w:t>rámci verejnej správy.</w:t>
      </w:r>
    </w:p>
    <w:p w14:paraId="25DCB37E"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Moderný inštitucionálny rámec pre štátom vlastnené podniky (opatrenie ID 16657)</w:t>
      </w:r>
    </w:p>
    <w:p w14:paraId="1EDEC05E" w14:textId="6AB1A3EA"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Touto reformou sa zavádza moderný právny rámec pre prevádzku</w:t>
      </w:r>
      <w:r w:rsidR="00AB26B3" w:rsidRPr="00AB26B3">
        <w:rPr>
          <w:noProof/>
          <w:spacing w:val="-6"/>
          <w:lang w:val="sk-SK"/>
        </w:rPr>
        <w:t xml:space="preserve"> a </w:t>
      </w:r>
      <w:r w:rsidRPr="00AB26B3">
        <w:rPr>
          <w:noProof/>
          <w:spacing w:val="-6"/>
          <w:lang w:val="sk-SK"/>
        </w:rPr>
        <w:t>riadenie verejných podnikov</w:t>
      </w:r>
      <w:r w:rsidR="00AB26B3" w:rsidRPr="00AB26B3">
        <w:rPr>
          <w:noProof/>
          <w:spacing w:val="-6"/>
          <w:lang w:val="sk-SK"/>
        </w:rPr>
        <w:t xml:space="preserve"> a </w:t>
      </w:r>
      <w:r w:rsidRPr="00AB26B3">
        <w:rPr>
          <w:noProof/>
          <w:spacing w:val="-6"/>
          <w:lang w:val="sk-SK"/>
        </w:rPr>
        <w:t>organizácií. Vymedzuje usmernenia</w:t>
      </w:r>
      <w:r w:rsidR="00AB26B3" w:rsidRPr="00AB26B3">
        <w:rPr>
          <w:noProof/>
          <w:spacing w:val="-6"/>
          <w:lang w:val="sk-SK"/>
        </w:rPr>
        <w:t xml:space="preserve"> v </w:t>
      </w:r>
      <w:r w:rsidRPr="00AB26B3">
        <w:rPr>
          <w:noProof/>
          <w:spacing w:val="-6"/>
          <w:lang w:val="sk-SK"/>
        </w:rPr>
        <w:t>oblasti správy</w:t>
      </w:r>
      <w:r w:rsidR="00AB26B3" w:rsidRPr="00AB26B3">
        <w:rPr>
          <w:noProof/>
          <w:spacing w:val="-6"/>
          <w:lang w:val="sk-SK"/>
        </w:rPr>
        <w:t xml:space="preserve"> a </w:t>
      </w:r>
      <w:r w:rsidRPr="00AB26B3">
        <w:rPr>
          <w:noProof/>
          <w:spacing w:val="-6"/>
          <w:lang w:val="sk-SK"/>
        </w:rPr>
        <w:t>riadenia spoločností</w:t>
      </w:r>
      <w:r w:rsidR="00AB26B3" w:rsidRPr="00AB26B3">
        <w:rPr>
          <w:noProof/>
          <w:spacing w:val="-6"/>
          <w:lang w:val="sk-SK"/>
        </w:rPr>
        <w:t xml:space="preserve"> a </w:t>
      </w:r>
      <w:r w:rsidRPr="00AB26B3">
        <w:rPr>
          <w:noProof/>
          <w:spacing w:val="-6"/>
          <w:lang w:val="sk-SK"/>
        </w:rPr>
        <w:t>osobitné pravidlá riadenia štátom vlastnených podnikov, ako je vymenovanie predsedu, generálnych riaditeľov</w:t>
      </w:r>
      <w:r w:rsidR="00AB26B3" w:rsidRPr="00AB26B3">
        <w:rPr>
          <w:noProof/>
          <w:spacing w:val="-6"/>
          <w:lang w:val="sk-SK"/>
        </w:rPr>
        <w:t xml:space="preserve"> a </w:t>
      </w:r>
      <w:r w:rsidRPr="00AB26B3">
        <w:rPr>
          <w:noProof/>
          <w:spacing w:val="-6"/>
          <w:lang w:val="sk-SK"/>
        </w:rPr>
        <w:t>výkonných riaditeľov predstavenstvom,</w:t>
      </w:r>
      <w:r w:rsidR="00AB26B3" w:rsidRPr="00AB26B3">
        <w:rPr>
          <w:noProof/>
          <w:spacing w:val="-6"/>
          <w:lang w:val="sk-SK"/>
        </w:rPr>
        <w:t xml:space="preserve"> a </w:t>
      </w:r>
      <w:r w:rsidRPr="00AB26B3">
        <w:rPr>
          <w:noProof/>
          <w:spacing w:val="-6"/>
          <w:lang w:val="sk-SK"/>
        </w:rPr>
        <w:t>ustanovenia na zriadenie výborov pre vnútorný audit</w:t>
      </w:r>
      <w:r w:rsidR="00AB26B3" w:rsidRPr="00AB26B3">
        <w:rPr>
          <w:noProof/>
          <w:spacing w:val="-6"/>
          <w:lang w:val="sk-SK"/>
        </w:rPr>
        <w:t xml:space="preserve"> s </w:t>
      </w:r>
      <w:r w:rsidRPr="00AB26B3">
        <w:rPr>
          <w:noProof/>
          <w:spacing w:val="-6"/>
          <w:lang w:val="sk-SK"/>
        </w:rPr>
        <w:t>cieľom zabezpečiť transparentnosť. Reformou sa zriadi aj digitálny register na zaznamenávanie všetkých podnikov, organizácií</w:t>
      </w:r>
      <w:r w:rsidR="00AB26B3" w:rsidRPr="00AB26B3">
        <w:rPr>
          <w:noProof/>
          <w:spacing w:val="-6"/>
          <w:lang w:val="sk-SK"/>
        </w:rPr>
        <w:t xml:space="preserve"> a </w:t>
      </w:r>
      <w:r w:rsidRPr="00AB26B3">
        <w:rPr>
          <w:noProof/>
          <w:spacing w:val="-6"/>
          <w:lang w:val="sk-SK"/>
        </w:rPr>
        <w:t>akýchkoľvek iných právnych subjektov,</w:t>
      </w:r>
      <w:r w:rsidR="00AB26B3" w:rsidRPr="00AB26B3">
        <w:rPr>
          <w:noProof/>
          <w:spacing w:val="-6"/>
          <w:lang w:val="sk-SK"/>
        </w:rPr>
        <w:t xml:space="preserve"> v </w:t>
      </w:r>
      <w:r w:rsidRPr="00AB26B3">
        <w:rPr>
          <w:noProof/>
          <w:spacing w:val="-6"/>
          <w:lang w:val="sk-SK"/>
        </w:rPr>
        <w:t>ktorých má štát účasť, čím sa podporí účinné monitorovanie</w:t>
      </w:r>
      <w:r w:rsidR="00AB26B3" w:rsidRPr="00AB26B3">
        <w:rPr>
          <w:noProof/>
          <w:spacing w:val="-6"/>
          <w:lang w:val="sk-SK"/>
        </w:rPr>
        <w:t xml:space="preserve"> a </w:t>
      </w:r>
      <w:r w:rsidRPr="00AB26B3">
        <w:rPr>
          <w:noProof/>
          <w:spacing w:val="-6"/>
          <w:lang w:val="sk-SK"/>
        </w:rPr>
        <w:t>kontrola účasti štátu. Implementácia tejto reformy sa dokončí do 31</w:t>
      </w:r>
      <w:r w:rsidR="00AB26B3" w:rsidRPr="00AB26B3">
        <w:rPr>
          <w:noProof/>
          <w:spacing w:val="-6"/>
          <w:lang w:val="sk-SK"/>
        </w:rPr>
        <w:t>. decembra</w:t>
      </w:r>
      <w:r w:rsidRPr="00AB26B3">
        <w:rPr>
          <w:noProof/>
          <w:spacing w:val="-6"/>
          <w:lang w:val="sk-SK"/>
        </w:rPr>
        <w:t xml:space="preserve"> 2022.</w:t>
      </w:r>
    </w:p>
    <w:p w14:paraId="62869696"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Účinný boj proti korupcii (opatrenie ID 16978)</w:t>
      </w:r>
    </w:p>
    <w:p w14:paraId="604BDA6C" w14:textId="44FE564C"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Reformou sa vykoná séria zmien právneho rámca Grécka</w:t>
      </w:r>
      <w:r w:rsidR="00AB26B3" w:rsidRPr="00AB26B3">
        <w:rPr>
          <w:noProof/>
          <w:spacing w:val="-6"/>
          <w:lang w:val="sk-SK"/>
        </w:rPr>
        <w:t xml:space="preserve"> s </w:t>
      </w:r>
      <w:r w:rsidRPr="00AB26B3">
        <w:rPr>
          <w:noProof/>
          <w:spacing w:val="-6"/>
          <w:lang w:val="sk-SK"/>
        </w:rPr>
        <w:t>cieľom zlepšiť právnu reakciu na korupciu. Konkrétnejšie sa vzťahuje na štyri oblasti: I) majetkové priznania; II) ochrana osôb, ktoré nahlásia porušenia práva Únie; III) trestný zákon</w:t>
      </w:r>
      <w:r w:rsidR="00AB26B3" w:rsidRPr="00AB26B3">
        <w:rPr>
          <w:noProof/>
          <w:spacing w:val="-6"/>
          <w:lang w:val="sk-SK"/>
        </w:rPr>
        <w:t xml:space="preserve"> a </w:t>
      </w:r>
      <w:r w:rsidRPr="00AB26B3">
        <w:rPr>
          <w:noProof/>
          <w:spacing w:val="-6"/>
          <w:lang w:val="sk-SK"/>
        </w:rPr>
        <w:t>trestný poriadok;</w:t>
      </w:r>
      <w:r w:rsidR="00AB26B3" w:rsidRPr="00AB26B3">
        <w:rPr>
          <w:noProof/>
          <w:spacing w:val="-6"/>
          <w:lang w:val="sk-SK"/>
        </w:rPr>
        <w:t xml:space="preserve"> a </w:t>
      </w:r>
      <w:r w:rsidRPr="00AB26B3">
        <w:rPr>
          <w:noProof/>
          <w:spacing w:val="-6"/>
          <w:lang w:val="sk-SK"/>
        </w:rPr>
        <w:t xml:space="preserve">iv) </w:t>
      </w:r>
      <w:r w:rsidRPr="00AB26B3">
        <w:rPr>
          <w:noProof/>
          <w:color w:val="000000" w:themeColor="text1"/>
          <w:spacing w:val="-6"/>
          <w:lang w:val="sk-SK"/>
        </w:rPr>
        <w:t>kodifikácia právnych predpisov týkajúcich sa politických strán</w:t>
      </w:r>
      <w:r w:rsidRPr="00AB26B3">
        <w:rPr>
          <w:noProof/>
          <w:spacing w:val="-6"/>
          <w:lang w:val="sk-SK"/>
        </w:rPr>
        <w:t>. Implementácia reformy sa dokončí do 30</w:t>
      </w:r>
      <w:r w:rsidR="00AB26B3" w:rsidRPr="00AB26B3">
        <w:rPr>
          <w:noProof/>
          <w:spacing w:val="-6"/>
          <w:lang w:val="sk-SK"/>
        </w:rPr>
        <w:t>. septembra</w:t>
      </w:r>
      <w:r w:rsidRPr="00AB26B3">
        <w:rPr>
          <w:noProof/>
          <w:spacing w:val="-6"/>
          <w:lang w:val="sk-SK"/>
        </w:rPr>
        <w:t xml:space="preserve"> 2022.</w:t>
      </w:r>
    </w:p>
    <w:p w14:paraId="59074A95" w14:textId="238FC3DA"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Transformácia fiškálneho riadenia</w:t>
      </w:r>
      <w:r w:rsidR="00AB26B3" w:rsidRPr="00AB26B3">
        <w:rPr>
          <w:noProof/>
          <w:spacing w:val="-6"/>
          <w:lang w:val="sk-SK"/>
        </w:rPr>
        <w:t xml:space="preserve"> a </w:t>
      </w:r>
      <w:r w:rsidRPr="00AB26B3">
        <w:rPr>
          <w:noProof/>
          <w:spacing w:val="-6"/>
          <w:lang w:val="sk-SK"/>
        </w:rPr>
        <w:t>dohľadu</w:t>
      </w:r>
      <w:r w:rsidR="00AB26B3" w:rsidRPr="00AB26B3">
        <w:rPr>
          <w:noProof/>
          <w:spacing w:val="-6"/>
          <w:lang w:val="sk-SK"/>
        </w:rPr>
        <w:t xml:space="preserve"> v </w:t>
      </w:r>
      <w:r w:rsidRPr="00AB26B3">
        <w:rPr>
          <w:noProof/>
          <w:spacing w:val="-6"/>
          <w:lang w:val="sk-SK"/>
        </w:rPr>
        <w:t>oblasti správy vecí verejných (opatrenie ID 16705)</w:t>
      </w:r>
    </w:p>
    <w:p w14:paraId="07C51ECF" w14:textId="3A5714D7"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investície je zlepšiť efektívnosť riadenia verejných financií. Toto opatrenie spočíva</w:t>
      </w:r>
      <w:r w:rsidR="00AB26B3" w:rsidRPr="00AB26B3">
        <w:rPr>
          <w:noProof/>
          <w:spacing w:val="-6"/>
          <w:lang w:val="sk-SK"/>
        </w:rPr>
        <w:t xml:space="preserve"> v </w:t>
      </w:r>
      <w:r w:rsidRPr="00AB26B3">
        <w:rPr>
          <w:noProof/>
          <w:spacing w:val="-6"/>
          <w:lang w:val="sk-SK"/>
        </w:rPr>
        <w:t>dodaní vládneho systému plánovania podnikových zdrojov (ERP) pre ústrednú správu.</w:t>
      </w:r>
    </w:p>
    <w:p w14:paraId="303B9529" w14:textId="430DD1EA" w:rsidR="00302FC1" w:rsidRPr="00AB26B3" w:rsidRDefault="00D64F26">
      <w:pPr>
        <w:pStyle w:val="P68B1DB1-Normal5"/>
        <w:spacing w:before="120" w:after="120" w:line="240" w:lineRule="auto"/>
        <w:jc w:val="both"/>
        <w:rPr>
          <w:b/>
          <w:noProof/>
          <w:spacing w:val="-6"/>
          <w:lang w:val="sk-SK"/>
        </w:rPr>
      </w:pPr>
      <w:r w:rsidRPr="00AB26B3">
        <w:rPr>
          <w:b/>
          <w:noProof/>
          <w:spacing w:val="-6"/>
          <w:lang w:val="sk-SK"/>
        </w:rPr>
        <w:t>Investície:</w:t>
      </w:r>
      <w:r w:rsidRPr="00AB26B3">
        <w:rPr>
          <w:noProof/>
          <w:spacing w:val="-6"/>
          <w:lang w:val="sk-SK"/>
        </w:rPr>
        <w:t xml:space="preserve"> Modernizovať Helénsky fond na zálohovanie</w:t>
      </w:r>
      <w:r w:rsidR="00AB26B3" w:rsidRPr="00AB26B3">
        <w:rPr>
          <w:noProof/>
          <w:spacing w:val="-6"/>
          <w:lang w:val="sk-SK"/>
        </w:rPr>
        <w:t xml:space="preserve"> a </w:t>
      </w:r>
      <w:r w:rsidRPr="00AB26B3">
        <w:rPr>
          <w:noProof/>
          <w:spacing w:val="-6"/>
          <w:lang w:val="sk-SK"/>
        </w:rPr>
        <w:t>poskytovanie úverov (opatrenie ID 16940)</w:t>
      </w:r>
    </w:p>
    <w:p w14:paraId="78D614F1" w14:textId="6E046448"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tejto investície je zvýšiť efektívnosť Helénskeho fondu pre zálohové vklady</w:t>
      </w:r>
      <w:r w:rsidR="00AB26B3" w:rsidRPr="00AB26B3">
        <w:rPr>
          <w:noProof/>
          <w:spacing w:val="-6"/>
          <w:lang w:val="sk-SK"/>
        </w:rPr>
        <w:t xml:space="preserve"> a </w:t>
      </w:r>
      <w:r w:rsidRPr="00AB26B3">
        <w:rPr>
          <w:noProof/>
          <w:spacing w:val="-6"/>
          <w:lang w:val="sk-SK"/>
        </w:rPr>
        <w:t>úvery. Investícia pozostáva</w:t>
      </w:r>
      <w:r w:rsidR="00AB26B3" w:rsidRPr="00AB26B3">
        <w:rPr>
          <w:noProof/>
          <w:spacing w:val="-6"/>
          <w:lang w:val="sk-SK"/>
        </w:rPr>
        <w:t xml:space="preserve"> z </w:t>
      </w:r>
      <w:r w:rsidRPr="00AB26B3">
        <w:rPr>
          <w:noProof/>
          <w:spacing w:val="-6"/>
          <w:lang w:val="sk-SK"/>
        </w:rPr>
        <w:t>digitalizácie archívu</w:t>
      </w:r>
      <w:r w:rsidR="00AB26B3" w:rsidRPr="00AB26B3">
        <w:rPr>
          <w:noProof/>
          <w:spacing w:val="-6"/>
          <w:lang w:val="sk-SK"/>
        </w:rPr>
        <w:t xml:space="preserve"> a </w:t>
      </w:r>
      <w:r w:rsidRPr="00AB26B3">
        <w:rPr>
          <w:noProof/>
          <w:spacing w:val="-6"/>
          <w:lang w:val="sk-SK"/>
        </w:rPr>
        <w:t>systému správy dokumentov</w:t>
      </w:r>
      <w:r w:rsidR="00AB26B3" w:rsidRPr="00AB26B3">
        <w:rPr>
          <w:noProof/>
          <w:spacing w:val="-6"/>
          <w:lang w:val="sk-SK"/>
        </w:rPr>
        <w:t xml:space="preserve"> a </w:t>
      </w:r>
      <w:r w:rsidRPr="00AB26B3">
        <w:rPr>
          <w:noProof/>
          <w:spacing w:val="-6"/>
          <w:lang w:val="sk-SK"/>
        </w:rPr>
        <w:t>integrovaného informačného systému pre Helénsky fond pre zálohové vklady</w:t>
      </w:r>
      <w:r w:rsidR="00AB26B3" w:rsidRPr="00AB26B3">
        <w:rPr>
          <w:noProof/>
          <w:spacing w:val="-6"/>
          <w:lang w:val="sk-SK"/>
        </w:rPr>
        <w:t xml:space="preserve"> a </w:t>
      </w:r>
      <w:r w:rsidRPr="00AB26B3">
        <w:rPr>
          <w:noProof/>
          <w:spacing w:val="-6"/>
          <w:lang w:val="sk-SK"/>
        </w:rPr>
        <w:t>úvery.</w:t>
      </w:r>
    </w:p>
    <w:p w14:paraId="47EE5397"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Profesionalizácia oblasti verejného obstarávania (opatrenie ID 16711)</w:t>
      </w:r>
    </w:p>
    <w:p w14:paraId="730BF696" w14:textId="3310630E"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reformy je zlepšiť rámec verejného obstarávania</w:t>
      </w:r>
      <w:r w:rsidR="00AB26B3" w:rsidRPr="00AB26B3">
        <w:rPr>
          <w:noProof/>
          <w:spacing w:val="-6"/>
          <w:lang w:val="sk-SK"/>
        </w:rPr>
        <w:t xml:space="preserve"> v </w:t>
      </w:r>
      <w:r w:rsidRPr="00AB26B3">
        <w:rPr>
          <w:noProof/>
          <w:spacing w:val="-6"/>
          <w:lang w:val="sk-SK"/>
        </w:rPr>
        <w:t>Grécku</w:t>
      </w:r>
      <w:r w:rsidR="00AB26B3" w:rsidRPr="00AB26B3">
        <w:rPr>
          <w:noProof/>
          <w:spacing w:val="-6"/>
          <w:lang w:val="sk-SK"/>
        </w:rPr>
        <w:t xml:space="preserve"> a </w:t>
      </w:r>
      <w:r w:rsidRPr="00AB26B3">
        <w:rPr>
          <w:noProof/>
          <w:spacing w:val="-6"/>
          <w:lang w:val="sk-SK"/>
        </w:rPr>
        <w:t>riešiť jeho súčasné nedostatky. Reforma pozostáva</w:t>
      </w:r>
      <w:r w:rsidR="00AB26B3" w:rsidRPr="00AB26B3">
        <w:rPr>
          <w:noProof/>
          <w:spacing w:val="-6"/>
          <w:lang w:val="sk-SK"/>
        </w:rPr>
        <w:t xml:space="preserve"> z </w:t>
      </w:r>
      <w:r w:rsidRPr="00AB26B3">
        <w:rPr>
          <w:noProof/>
          <w:spacing w:val="-6"/>
          <w:lang w:val="sk-SK"/>
        </w:rPr>
        <w:t>certifikácie štátnych zamestnancov po účasti na špecializovaných programoch zvyšovania úrovne zručností/rekvalifikácie</w:t>
      </w:r>
      <w:r w:rsidR="00AB26B3" w:rsidRPr="00AB26B3">
        <w:rPr>
          <w:noProof/>
          <w:spacing w:val="-6"/>
          <w:lang w:val="sk-SK"/>
        </w:rPr>
        <w:t xml:space="preserve"> v </w:t>
      </w:r>
      <w:r w:rsidRPr="00AB26B3">
        <w:rPr>
          <w:noProof/>
          <w:spacing w:val="-6"/>
          <w:lang w:val="sk-SK"/>
        </w:rPr>
        <w:t>rámci profesionalizácie verejného obstarávania</w:t>
      </w:r>
      <w:r w:rsidR="00AB26B3" w:rsidRPr="00AB26B3">
        <w:rPr>
          <w:noProof/>
          <w:spacing w:val="-6"/>
          <w:lang w:val="sk-SK"/>
        </w:rPr>
        <w:t>.</w:t>
      </w:r>
    </w:p>
    <w:p w14:paraId="18335CD1" w14:textId="318E082A"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Zlepšenie plánovania</w:t>
      </w:r>
      <w:r w:rsidR="00AB26B3" w:rsidRPr="00AB26B3">
        <w:rPr>
          <w:noProof/>
          <w:spacing w:val="-6"/>
          <w:lang w:val="sk-SK"/>
        </w:rPr>
        <w:t xml:space="preserve"> a </w:t>
      </w:r>
      <w:r w:rsidRPr="00AB26B3">
        <w:rPr>
          <w:noProof/>
          <w:spacing w:val="-6"/>
          <w:lang w:val="sk-SK"/>
        </w:rPr>
        <w:t>koordinácie politiky (opatrenie ID 16981)</w:t>
      </w:r>
    </w:p>
    <w:p w14:paraId="057C89D5" w14:textId="0B3A54DF"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Reformou sa posilní koordinácia politík, plánovanie</w:t>
      </w:r>
      <w:r w:rsidR="00AB26B3" w:rsidRPr="00AB26B3">
        <w:rPr>
          <w:noProof/>
          <w:spacing w:val="-6"/>
          <w:lang w:val="sk-SK"/>
        </w:rPr>
        <w:t xml:space="preserve"> a </w:t>
      </w:r>
      <w:r w:rsidRPr="00AB26B3">
        <w:rPr>
          <w:noProof/>
          <w:spacing w:val="-6"/>
          <w:lang w:val="sk-SK"/>
        </w:rPr>
        <w:t>rozvoj politík ústrednej správy. Konkrétne opatrenia, ktoré sa majú vykonať, sú i) vytvorenie monitorovacieho mechanizmu na sledovanie pokroku pri prijímaní sekundárnych právnych predpisov, ako sa stanovuje</w:t>
      </w:r>
      <w:r w:rsidR="00AB26B3" w:rsidRPr="00AB26B3">
        <w:rPr>
          <w:noProof/>
          <w:spacing w:val="-6"/>
          <w:lang w:val="sk-SK"/>
        </w:rPr>
        <w:t xml:space="preserve"> v </w:t>
      </w:r>
      <w:r w:rsidRPr="00AB26B3">
        <w:rPr>
          <w:noProof/>
          <w:spacing w:val="-6"/>
          <w:lang w:val="sk-SK"/>
        </w:rPr>
        <w:t>primárnych právnych predpisoch; II) zriadenie elektronickej platformy na uľahčenie dokončenia posúdenia vplyvu, ktoré dopĺňa každý návrh zákona;</w:t>
      </w:r>
      <w:r w:rsidR="00AB26B3" w:rsidRPr="00AB26B3">
        <w:rPr>
          <w:noProof/>
          <w:spacing w:val="-6"/>
          <w:lang w:val="sk-SK"/>
        </w:rPr>
        <w:t xml:space="preserve"> a </w:t>
      </w:r>
      <w:r w:rsidRPr="00AB26B3">
        <w:rPr>
          <w:noProof/>
          <w:spacing w:val="-6"/>
          <w:lang w:val="sk-SK"/>
        </w:rPr>
        <w:t>iii) spustenie programu odbornej prípravy</w:t>
      </w:r>
      <w:r w:rsidR="00AB26B3" w:rsidRPr="00AB26B3">
        <w:rPr>
          <w:noProof/>
          <w:spacing w:val="-6"/>
          <w:lang w:val="sk-SK"/>
        </w:rPr>
        <w:t xml:space="preserve"> a </w:t>
      </w:r>
      <w:r w:rsidRPr="00AB26B3">
        <w:rPr>
          <w:noProof/>
          <w:spacing w:val="-6"/>
          <w:lang w:val="sk-SK"/>
        </w:rPr>
        <w:t>súvisiaceho akreditačného postupu zameraného na štátnych zamestnancov</w:t>
      </w:r>
      <w:r w:rsidR="00AB26B3" w:rsidRPr="00AB26B3">
        <w:rPr>
          <w:noProof/>
          <w:spacing w:val="-6"/>
          <w:lang w:val="sk-SK"/>
        </w:rPr>
        <w:t xml:space="preserve"> s </w:t>
      </w:r>
      <w:r w:rsidRPr="00AB26B3">
        <w:rPr>
          <w:noProof/>
          <w:spacing w:val="-6"/>
          <w:lang w:val="sk-SK"/>
        </w:rPr>
        <w:t>cieľom zlepšiť kvalitu vypracovaných posúdení vplyvu. Do programu odbornej prípravy sa zapíše aspoň 100 štátnych zamestnancov na jeho spustenie, ktoré sa uskutoční</w:t>
      </w:r>
      <w:r w:rsidR="00AB26B3" w:rsidRPr="00AB26B3">
        <w:rPr>
          <w:noProof/>
          <w:spacing w:val="-6"/>
          <w:lang w:val="sk-SK"/>
        </w:rPr>
        <w:t xml:space="preserve"> v </w:t>
      </w:r>
      <w:r w:rsidRPr="00AB26B3">
        <w:rPr>
          <w:noProof/>
          <w:spacing w:val="-6"/>
          <w:lang w:val="sk-SK"/>
        </w:rPr>
        <w:t>štvrtom štvrťroku 2022. Vykonávanie reformy sa ukončí do 30</w:t>
      </w:r>
      <w:r w:rsidR="00AB26B3" w:rsidRPr="00AB26B3">
        <w:rPr>
          <w:noProof/>
          <w:spacing w:val="-6"/>
          <w:lang w:val="sk-SK"/>
        </w:rPr>
        <w:t>. júna</w:t>
      </w:r>
      <w:r w:rsidRPr="00AB26B3">
        <w:rPr>
          <w:noProof/>
          <w:spacing w:val="-6"/>
          <w:lang w:val="sk-SK"/>
        </w:rPr>
        <w:t xml:space="preserve"> 2023.</w:t>
      </w:r>
    </w:p>
    <w:p w14:paraId="15C063EF"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Dokončenie národného katastra (identifikačné číslo opatrenia: 16986)</w:t>
      </w:r>
    </w:p>
    <w:p w14:paraId="10C67A1B" w14:textId="26CC9241" w:rsidR="00302FC1" w:rsidRPr="00AB26B3" w:rsidRDefault="00D64F26">
      <w:pPr>
        <w:pStyle w:val="P68B1DB1-Normal8"/>
        <w:spacing w:before="120" w:after="120" w:line="240" w:lineRule="auto"/>
        <w:jc w:val="both"/>
        <w:rPr>
          <w:rFonts w:ascii="Times New Roman" w:hAnsi="Times New Roman" w:cs="Times New Roman"/>
          <w:i/>
          <w:iCs/>
          <w:noProof/>
          <w:color w:val="4F81BD"/>
          <w:spacing w:val="-6"/>
          <w:lang w:val="sk-SK"/>
        </w:rPr>
      </w:pPr>
      <w:r w:rsidRPr="00AB26B3">
        <w:rPr>
          <w:rFonts w:ascii="Times New Roman" w:hAnsi="Times New Roman"/>
          <w:noProof/>
          <w:spacing w:val="-6"/>
          <w:lang w:val="sk-SK"/>
        </w:rPr>
        <w:t xml:space="preserve">Cieľom reformy je dokončiť a) katastrálne </w:t>
      </w:r>
      <w:r w:rsidRPr="00AB26B3">
        <w:rPr>
          <w:rFonts w:ascii="Times New Roman" w:eastAsiaTheme="minorEastAsia" w:hAnsi="Times New Roman" w:cstheme="minorBidi"/>
          <w:noProof/>
          <w:spacing w:val="-6"/>
          <w:lang w:val="sk-SK"/>
        </w:rPr>
        <w:t>mapovanie</w:t>
      </w:r>
      <w:r w:rsidRPr="00AB26B3">
        <w:rPr>
          <w:rFonts w:ascii="Times New Roman" w:hAnsi="Times New Roman"/>
          <w:noProof/>
          <w:spacing w:val="-6"/>
          <w:lang w:val="sk-SK"/>
        </w:rPr>
        <w:t>v celom Grécku</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b) úplný prechod zo starého systému registrácie majetku prostredníctvom starej štruktúry hypotekárnych úradov na novú agentúru „Helénsky kataster“. Pozostáva</w:t>
      </w:r>
      <w:r w:rsidR="00AB26B3" w:rsidRPr="00AB26B3">
        <w:rPr>
          <w:rFonts w:ascii="Times New Roman" w:hAnsi="Times New Roman"/>
          <w:noProof/>
          <w:spacing w:val="-6"/>
          <w:lang w:val="sk-SK"/>
        </w:rPr>
        <w:t xml:space="preserve"> z </w:t>
      </w:r>
      <w:r w:rsidRPr="00AB26B3">
        <w:rPr>
          <w:rFonts w:ascii="Times New Roman" w:hAnsi="Times New Roman"/>
          <w:noProof/>
          <w:spacing w:val="-6"/>
          <w:lang w:val="sk-SK"/>
        </w:rPr>
        <w:t>mapovania všetkých vlastníckych práv</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Grécku</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otvorenia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začatia prevádzky všetkých 17 regionálnych katastrálnych úradov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75 pobočiek</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Grécku</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 xml:space="preserve">súlade so zákonom </w:t>
      </w:r>
      <w:r w:rsidR="00AB26B3" w:rsidRPr="00AB26B3">
        <w:rPr>
          <w:rFonts w:ascii="Times New Roman" w:hAnsi="Times New Roman"/>
          <w:noProof/>
          <w:spacing w:val="-6"/>
          <w:lang w:val="sk-SK"/>
        </w:rPr>
        <w:t>č. </w:t>
      </w:r>
      <w:r w:rsidRPr="00AB26B3">
        <w:rPr>
          <w:rFonts w:ascii="Times New Roman" w:hAnsi="Times New Roman"/>
          <w:noProof/>
          <w:spacing w:val="-6"/>
          <w:lang w:val="sk-SK"/>
        </w:rPr>
        <w:t>4512/2018</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zatvorenia všetkých 388 starých hypotekárnych úradov.</w:t>
      </w:r>
    </w:p>
    <w:p w14:paraId="29470CB7"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pPr>
    </w:p>
    <w:p w14:paraId="25BF9715"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222"/>
          <w:headerReference w:type="default" r:id="rId223"/>
          <w:footerReference w:type="even" r:id="rId224"/>
          <w:footerReference w:type="default" r:id="rId225"/>
          <w:headerReference w:type="first" r:id="rId226"/>
          <w:footerReference w:type="first" r:id="rId227"/>
          <w:pgSz w:w="11906" w:h="16838"/>
          <w:pgMar w:top="1417" w:right="1417" w:bottom="1417" w:left="1417" w:header="708" w:footer="708" w:gutter="0"/>
          <w:cols w:space="708"/>
          <w:docGrid w:linePitch="360"/>
        </w:sectPr>
      </w:pPr>
    </w:p>
    <w:p w14:paraId="4213C8DC" w14:textId="21591DD7" w:rsidR="00302FC1" w:rsidRPr="00AB26B3" w:rsidRDefault="00D64F26">
      <w:pPr>
        <w:pStyle w:val="P68B1DB1-Normal6"/>
        <w:spacing w:before="120" w:after="120" w:line="240" w:lineRule="auto"/>
        <w:ind w:left="709"/>
        <w:jc w:val="both"/>
        <w:rPr>
          <w:rFonts w:cs="Times New Roman"/>
          <w:bCs/>
          <w:noProof/>
          <w:spacing w:val="-6"/>
          <w:lang w:val="sk-SK"/>
        </w:rPr>
      </w:pPr>
      <w:r w:rsidRPr="00AB26B3">
        <w:rPr>
          <w:noProof/>
          <w:spacing w:val="-6"/>
          <w:lang w:val="sk-SK"/>
        </w:rPr>
        <w:t>M.2.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7C9A78C9" w14:textId="77777777" w:rsidR="00302FC1" w:rsidRPr="00AB26B3" w:rsidRDefault="00D64F26">
      <w:pPr>
        <w:pStyle w:val="P68B1DB1-Normal9"/>
        <w:keepNext/>
        <w:keepLines/>
        <w:spacing w:before="40" w:after="0" w:line="240" w:lineRule="auto"/>
        <w:jc w:val="both"/>
        <w:outlineLvl w:val="4"/>
        <w:rPr>
          <w:rFonts w:ascii="Times New Roman" w:hAnsi="Times New Roman"/>
          <w:noProof/>
          <w:spacing w:val="-6"/>
          <w:lang w:val="sk-SK"/>
        </w:rPr>
      </w:pPr>
      <w:r w:rsidRPr="00AB26B3">
        <w:rPr>
          <w:rFonts w:ascii="Times New Roman" w:hAnsi="Times New Roman"/>
          <w:noProof/>
          <w:spacing w:val="-6"/>
          <w:lang w:val="sk-SK"/>
        </w:rPr>
        <w:t xml:space="preserve">Kľúčová reforma 9: Reforma verejnej správy </w:t>
      </w:r>
    </w:p>
    <w:tbl>
      <w:tblPr>
        <w:tblW w:w="15897" w:type="dxa"/>
        <w:jc w:val="center"/>
        <w:tblLook w:val="04A0" w:firstRow="1" w:lastRow="0" w:firstColumn="1" w:lastColumn="0" w:noHBand="0" w:noVBand="1"/>
      </w:tblPr>
      <w:tblGrid>
        <w:gridCol w:w="542"/>
        <w:gridCol w:w="2038"/>
        <w:gridCol w:w="1107"/>
        <w:gridCol w:w="1482"/>
        <w:gridCol w:w="1520"/>
        <w:gridCol w:w="1054"/>
        <w:gridCol w:w="909"/>
        <w:gridCol w:w="805"/>
        <w:gridCol w:w="1119"/>
        <w:gridCol w:w="827"/>
        <w:gridCol w:w="4819"/>
      </w:tblGrid>
      <w:tr w:rsidR="00302FC1" w:rsidRPr="00AB26B3" w14:paraId="3A1B7009" w14:textId="77777777">
        <w:trPr>
          <w:trHeight w:val="648"/>
          <w:tblHeader/>
          <w:jc w:val="center"/>
        </w:trPr>
        <w:tc>
          <w:tcPr>
            <w:tcW w:w="5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CA3F07" w14:textId="44561D94"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E0CAF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D6E38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4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5E4B48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EE4EC5" w14:textId="1458A6C4"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716"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0E50D088" w14:textId="58C18D5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673"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4D5CB9A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4A7FF2" w14:textId="4526E23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8D64FBE" w14:textId="77777777">
        <w:trPr>
          <w:trHeight w:val="562"/>
          <w:tblHeader/>
          <w:jc w:val="center"/>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49A5CC5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789CA22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2C05CB1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14:paraId="754D4D9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31A61C4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5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C96BC4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DC1173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80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3A4F17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4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9CF996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8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C3CC8F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22F7006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22E1B82B" w14:textId="77777777">
        <w:trPr>
          <w:trHeight w:val="313"/>
          <w:jc w:val="center"/>
        </w:trPr>
        <w:tc>
          <w:tcPr>
            <w:tcW w:w="542" w:type="dxa"/>
            <w:tcBorders>
              <w:top w:val="single" w:sz="4" w:space="0" w:color="auto"/>
              <w:left w:val="single" w:sz="4" w:space="0" w:color="auto"/>
              <w:bottom w:val="single" w:sz="4" w:space="0" w:color="auto"/>
              <w:right w:val="single" w:sz="4" w:space="0" w:color="auto"/>
            </w:tcBorders>
            <w:shd w:val="clear" w:color="auto" w:fill="C6EFCE"/>
            <w:noWrap/>
          </w:tcPr>
          <w:p w14:paraId="50BE294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205</w:t>
            </w:r>
          </w:p>
        </w:tc>
        <w:tc>
          <w:tcPr>
            <w:tcW w:w="2038" w:type="dxa"/>
            <w:tcBorders>
              <w:top w:val="single" w:sz="4" w:space="0" w:color="auto"/>
              <w:left w:val="nil"/>
              <w:bottom w:val="single" w:sz="4" w:space="0" w:color="auto"/>
              <w:right w:val="single" w:sz="4" w:space="0" w:color="auto"/>
            </w:tcBorders>
            <w:shd w:val="clear" w:color="auto" w:fill="C6EFCE"/>
            <w:noWrap/>
          </w:tcPr>
          <w:p w14:paraId="2A4363CA" w14:textId="3BBF080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16972_Reforma verejnej správy</w:t>
            </w:r>
          </w:p>
        </w:tc>
        <w:tc>
          <w:tcPr>
            <w:tcW w:w="1107" w:type="dxa"/>
            <w:tcBorders>
              <w:top w:val="single" w:sz="4" w:space="0" w:color="auto"/>
              <w:left w:val="nil"/>
              <w:bottom w:val="single" w:sz="4" w:space="0" w:color="auto"/>
              <w:right w:val="single" w:sz="4" w:space="0" w:color="auto"/>
            </w:tcBorders>
            <w:shd w:val="clear" w:color="auto" w:fill="C6EFCE"/>
            <w:noWrap/>
          </w:tcPr>
          <w:p w14:paraId="7657F6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82" w:type="dxa"/>
            <w:tcBorders>
              <w:top w:val="single" w:sz="4" w:space="0" w:color="auto"/>
              <w:left w:val="nil"/>
              <w:bottom w:val="single" w:sz="4" w:space="0" w:color="auto"/>
              <w:right w:val="single" w:sz="4" w:space="0" w:color="auto"/>
            </w:tcBorders>
            <w:shd w:val="clear" w:color="auto" w:fill="C6EFCE"/>
            <w:noWrap/>
          </w:tcPr>
          <w:p w14:paraId="279F30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Verejná správa – spustenie systému odmeňovania podľa výkonnosti</w:t>
            </w:r>
          </w:p>
          <w:p w14:paraId="2120F0B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520" w:type="dxa"/>
            <w:tcBorders>
              <w:top w:val="single" w:sz="4" w:space="0" w:color="auto"/>
              <w:left w:val="nil"/>
              <w:bottom w:val="single" w:sz="4" w:space="0" w:color="auto"/>
              <w:right w:val="single" w:sz="4" w:space="0" w:color="auto"/>
            </w:tcBorders>
            <w:shd w:val="clear" w:color="auto" w:fill="C6EFCE"/>
            <w:noWrap/>
          </w:tcPr>
          <w:p w14:paraId="07C02D3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primárnych právnych predpisov, ktorými sa zriaďuje pilotný systém odmeňovania. </w:t>
            </w:r>
          </w:p>
        </w:tc>
        <w:tc>
          <w:tcPr>
            <w:tcW w:w="1054" w:type="dxa"/>
            <w:tcBorders>
              <w:top w:val="single" w:sz="4" w:space="0" w:color="auto"/>
              <w:left w:val="nil"/>
              <w:bottom w:val="single" w:sz="4" w:space="0" w:color="auto"/>
              <w:right w:val="single" w:sz="4" w:space="0" w:color="auto"/>
            </w:tcBorders>
            <w:shd w:val="clear" w:color="auto" w:fill="C6EFCE"/>
            <w:noWrap/>
          </w:tcPr>
          <w:p w14:paraId="72939DC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2418AC5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tcBorders>
              <w:top w:val="single" w:sz="4" w:space="0" w:color="auto"/>
              <w:left w:val="nil"/>
              <w:bottom w:val="single" w:sz="4" w:space="0" w:color="auto"/>
              <w:right w:val="single" w:sz="4" w:space="0" w:color="auto"/>
            </w:tcBorders>
            <w:shd w:val="clear" w:color="auto" w:fill="C6EFCE"/>
            <w:noWrap/>
          </w:tcPr>
          <w:p w14:paraId="61995A4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532A391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27" w:type="dxa"/>
            <w:tcBorders>
              <w:top w:val="single" w:sz="4" w:space="0" w:color="auto"/>
              <w:left w:val="nil"/>
              <w:bottom w:val="single" w:sz="4" w:space="0" w:color="auto"/>
              <w:right w:val="single" w:sz="4" w:space="0" w:color="auto"/>
            </w:tcBorders>
            <w:shd w:val="clear" w:color="auto" w:fill="C6EFCE"/>
            <w:noWrap/>
          </w:tcPr>
          <w:p w14:paraId="15DD815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819" w:type="dxa"/>
            <w:tcBorders>
              <w:top w:val="single" w:sz="4" w:space="0" w:color="auto"/>
              <w:left w:val="nil"/>
              <w:bottom w:val="single" w:sz="4" w:space="0" w:color="auto"/>
              <w:right w:val="single" w:sz="4" w:space="0" w:color="auto"/>
            </w:tcBorders>
            <w:shd w:val="clear" w:color="auto" w:fill="C6EFCE"/>
            <w:noWrap/>
          </w:tcPr>
          <w:p w14:paraId="6DB70FB0" w14:textId="7FEC7B8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 právnych predpisov na spustenie systému výkonnostných odmien pre stanovený počet pilotných subjektov</w:t>
            </w:r>
            <w:r w:rsidR="00AB26B3" w:rsidRPr="00AB26B3">
              <w:rPr>
                <w:noProof/>
                <w:spacing w:val="-6"/>
                <w:lang w:val="sk-SK"/>
              </w:rPr>
              <w:t xml:space="preserve"> a </w:t>
            </w:r>
            <w:r w:rsidRPr="00AB26B3">
              <w:rPr>
                <w:noProof/>
                <w:spacing w:val="-6"/>
                <w:lang w:val="sk-SK"/>
              </w:rPr>
              <w:t>až 6000 štátnych zamestnancov, ktoré sa premietnu do širšej reformy, ktorou sa zavádza systém riadenia stanovovania cieľov (pozri míľnik vo 4. štvrťroku 2023). Pilotný projekt sa vzťahuje na štátnych zamestnancov zapojených do vykonávania plánu obnovy</w:t>
            </w:r>
            <w:r w:rsidR="00AB26B3" w:rsidRPr="00AB26B3">
              <w:rPr>
                <w:noProof/>
                <w:spacing w:val="-6"/>
                <w:lang w:val="sk-SK"/>
              </w:rPr>
              <w:t xml:space="preserve"> a </w:t>
            </w:r>
            <w:r w:rsidRPr="00AB26B3">
              <w:rPr>
                <w:noProof/>
                <w:spacing w:val="-6"/>
                <w:lang w:val="sk-SK"/>
              </w:rPr>
              <w:t>odolnosti. Kľúčové prvky systému musia byť</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 xml:space="preserve">jednotnou mzdovou tabuľkou (zákon </w:t>
            </w:r>
            <w:r w:rsidR="00AB26B3" w:rsidRPr="00AB26B3">
              <w:rPr>
                <w:noProof/>
                <w:spacing w:val="-6"/>
                <w:lang w:val="sk-SK"/>
              </w:rPr>
              <w:t>č. </w:t>
            </w:r>
            <w:r w:rsidRPr="00AB26B3">
              <w:rPr>
                <w:noProof/>
                <w:spacing w:val="-6"/>
                <w:lang w:val="sk-SK"/>
              </w:rPr>
              <w:t>4354/2015).</w:t>
            </w:r>
          </w:p>
        </w:tc>
      </w:tr>
      <w:tr w:rsidR="00302FC1" w:rsidRPr="00AB26B3" w14:paraId="0BCA1FB7" w14:textId="77777777">
        <w:trPr>
          <w:trHeight w:val="313"/>
          <w:jc w:val="center"/>
        </w:trPr>
        <w:tc>
          <w:tcPr>
            <w:tcW w:w="542" w:type="dxa"/>
            <w:tcBorders>
              <w:top w:val="nil"/>
              <w:left w:val="single" w:sz="4" w:space="0" w:color="auto"/>
              <w:bottom w:val="single" w:sz="4" w:space="0" w:color="auto"/>
              <w:right w:val="single" w:sz="4" w:space="0" w:color="auto"/>
            </w:tcBorders>
            <w:shd w:val="clear" w:color="auto" w:fill="C6EFCE"/>
            <w:noWrap/>
          </w:tcPr>
          <w:p w14:paraId="48630C6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206</w:t>
            </w:r>
          </w:p>
        </w:tc>
        <w:tc>
          <w:tcPr>
            <w:tcW w:w="2038" w:type="dxa"/>
            <w:tcBorders>
              <w:top w:val="nil"/>
              <w:left w:val="nil"/>
              <w:bottom w:val="single" w:sz="4" w:space="0" w:color="auto"/>
              <w:right w:val="single" w:sz="4" w:space="0" w:color="auto"/>
            </w:tcBorders>
            <w:shd w:val="clear" w:color="auto" w:fill="C6EFCE"/>
            <w:noWrap/>
          </w:tcPr>
          <w:p w14:paraId="1ADEDF60" w14:textId="470E0C0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16972_Reforma verejnej správy</w:t>
            </w:r>
          </w:p>
        </w:tc>
        <w:tc>
          <w:tcPr>
            <w:tcW w:w="1107" w:type="dxa"/>
            <w:tcBorders>
              <w:top w:val="nil"/>
              <w:left w:val="nil"/>
              <w:bottom w:val="single" w:sz="4" w:space="0" w:color="auto"/>
              <w:right w:val="single" w:sz="4" w:space="0" w:color="auto"/>
            </w:tcBorders>
            <w:shd w:val="clear" w:color="auto" w:fill="C6EFCE"/>
            <w:noWrap/>
          </w:tcPr>
          <w:p w14:paraId="732C1C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82" w:type="dxa"/>
            <w:tcBorders>
              <w:top w:val="nil"/>
              <w:left w:val="nil"/>
              <w:bottom w:val="single" w:sz="4" w:space="0" w:color="auto"/>
              <w:right w:val="single" w:sz="4" w:space="0" w:color="auto"/>
            </w:tcBorders>
            <w:shd w:val="clear" w:color="auto" w:fill="C6EFCE"/>
            <w:noWrap/>
          </w:tcPr>
          <w:p w14:paraId="7E429E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Verejná správa – legislatívny rámec na objasnenie mandátov</w:t>
            </w:r>
          </w:p>
        </w:tc>
        <w:tc>
          <w:tcPr>
            <w:tcW w:w="1520" w:type="dxa"/>
            <w:tcBorders>
              <w:top w:val="nil"/>
              <w:left w:val="nil"/>
              <w:bottom w:val="single" w:sz="4" w:space="0" w:color="auto"/>
              <w:right w:val="single" w:sz="4" w:space="0" w:color="auto"/>
            </w:tcBorders>
            <w:shd w:val="clear" w:color="auto" w:fill="C6EFCE"/>
            <w:noWrap/>
          </w:tcPr>
          <w:p w14:paraId="5CC59E62" w14:textId="07A8E7A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ustanovení, ktorými sa mení legislatívny rámec subjektov verejnej správy na ústrednej, regionálnej</w:t>
            </w:r>
            <w:r w:rsidR="00AB26B3" w:rsidRPr="00AB26B3">
              <w:rPr>
                <w:noProof/>
                <w:spacing w:val="-6"/>
                <w:lang w:val="sk-SK"/>
              </w:rPr>
              <w:t xml:space="preserve"> a </w:t>
            </w:r>
            <w:r w:rsidRPr="00AB26B3">
              <w:rPr>
                <w:noProof/>
                <w:spacing w:val="-6"/>
                <w:lang w:val="sk-SK"/>
              </w:rPr>
              <w:t xml:space="preserve">miestnej úrovni. </w:t>
            </w:r>
          </w:p>
        </w:tc>
        <w:tc>
          <w:tcPr>
            <w:tcW w:w="1054" w:type="dxa"/>
            <w:tcBorders>
              <w:top w:val="nil"/>
              <w:left w:val="nil"/>
              <w:bottom w:val="single" w:sz="4" w:space="0" w:color="auto"/>
              <w:right w:val="single" w:sz="4" w:space="0" w:color="auto"/>
            </w:tcBorders>
            <w:shd w:val="clear" w:color="auto" w:fill="C6EFCE"/>
            <w:noWrap/>
          </w:tcPr>
          <w:p w14:paraId="2459F22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29AB0F1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tcBorders>
              <w:top w:val="nil"/>
              <w:left w:val="nil"/>
              <w:bottom w:val="single" w:sz="4" w:space="0" w:color="auto"/>
              <w:right w:val="single" w:sz="4" w:space="0" w:color="auto"/>
            </w:tcBorders>
            <w:shd w:val="clear" w:color="auto" w:fill="C6EFCE"/>
            <w:noWrap/>
          </w:tcPr>
          <w:p w14:paraId="226DDDA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6BDD781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827" w:type="dxa"/>
            <w:tcBorders>
              <w:top w:val="nil"/>
              <w:left w:val="nil"/>
              <w:bottom w:val="single" w:sz="4" w:space="0" w:color="auto"/>
              <w:right w:val="single" w:sz="4" w:space="0" w:color="auto"/>
            </w:tcBorders>
            <w:shd w:val="clear" w:color="auto" w:fill="C6EFCE"/>
            <w:noWrap/>
          </w:tcPr>
          <w:p w14:paraId="2A558A3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819" w:type="dxa"/>
            <w:tcBorders>
              <w:top w:val="nil"/>
              <w:left w:val="nil"/>
              <w:bottom w:val="single" w:sz="4" w:space="0" w:color="auto"/>
              <w:right w:val="single" w:sz="4" w:space="0" w:color="auto"/>
            </w:tcBorders>
            <w:shd w:val="clear" w:color="auto" w:fill="C6EFCE"/>
            <w:noWrap/>
          </w:tcPr>
          <w:p w14:paraId="2EA50553" w14:textId="0A3989F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revidovaných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s </w:t>
            </w:r>
            <w:r w:rsidRPr="00AB26B3">
              <w:rPr>
                <w:noProof/>
                <w:spacing w:val="-6"/>
                <w:lang w:val="sk-SK"/>
              </w:rPr>
              <w:t>cieľom vytvoriť systém prideľovania viacúrovňového riadenia zameraný na objasnenie zodpovedností medzi všetkými úrovňami verejnej správy</w:t>
            </w:r>
            <w:r w:rsidR="00AB26B3" w:rsidRPr="00AB26B3">
              <w:rPr>
                <w:noProof/>
                <w:spacing w:val="-6"/>
                <w:lang w:val="sk-SK"/>
              </w:rPr>
              <w:t xml:space="preserve"> a </w:t>
            </w:r>
            <w:r w:rsidRPr="00AB26B3">
              <w:rPr>
                <w:noProof/>
                <w:spacing w:val="-6"/>
                <w:lang w:val="sk-SK"/>
              </w:rPr>
              <w:t>riešenie prekrývania.</w:t>
            </w:r>
            <w:r w:rsidR="00AB26B3" w:rsidRPr="00AB26B3">
              <w:rPr>
                <w:noProof/>
                <w:spacing w:val="-6"/>
                <w:lang w:val="sk-SK"/>
              </w:rPr>
              <w:t xml:space="preserve"> V </w:t>
            </w:r>
            <w:r w:rsidRPr="00AB26B3">
              <w:rPr>
                <w:noProof/>
                <w:spacing w:val="-6"/>
                <w:lang w:val="sk-SK"/>
              </w:rPr>
              <w:t>revidovanom právnom rámci sa stanovia oblasti zodpovednosti každého subjektu týkajúce sa plánovania</w:t>
            </w:r>
            <w:r w:rsidR="00AB26B3" w:rsidRPr="00AB26B3">
              <w:rPr>
                <w:noProof/>
                <w:spacing w:val="-6"/>
                <w:lang w:val="sk-SK"/>
              </w:rPr>
              <w:t xml:space="preserve"> a </w:t>
            </w:r>
            <w:r w:rsidRPr="00AB26B3">
              <w:rPr>
                <w:noProof/>
                <w:spacing w:val="-6"/>
                <w:lang w:val="sk-SK"/>
              </w:rPr>
              <w:t>vykonávania vrátane funkcií, ako je zabezpečenie zdrojov</w:t>
            </w:r>
            <w:r w:rsidR="00AB26B3" w:rsidRPr="00AB26B3">
              <w:rPr>
                <w:noProof/>
                <w:spacing w:val="-6"/>
                <w:lang w:val="sk-SK"/>
              </w:rPr>
              <w:t xml:space="preserve"> a </w:t>
            </w:r>
            <w:r w:rsidRPr="00AB26B3">
              <w:rPr>
                <w:noProof/>
                <w:spacing w:val="-6"/>
                <w:lang w:val="sk-SK"/>
              </w:rPr>
              <w:t>zodpovednosti za monitorovanie</w:t>
            </w:r>
            <w:r w:rsidR="00AB26B3" w:rsidRPr="00AB26B3">
              <w:rPr>
                <w:noProof/>
                <w:spacing w:val="-6"/>
                <w:lang w:val="sk-SK"/>
              </w:rPr>
              <w:t xml:space="preserve"> a </w:t>
            </w:r>
            <w:r w:rsidRPr="00AB26B3">
              <w:rPr>
                <w:noProof/>
                <w:spacing w:val="-6"/>
                <w:lang w:val="sk-SK"/>
              </w:rPr>
              <w:t>hodnotenie.</w:t>
            </w:r>
          </w:p>
        </w:tc>
      </w:tr>
      <w:tr w:rsidR="00302FC1" w:rsidRPr="00AB26B3" w14:paraId="5917550B" w14:textId="77777777">
        <w:trPr>
          <w:trHeight w:val="313"/>
          <w:jc w:val="center"/>
        </w:trPr>
        <w:tc>
          <w:tcPr>
            <w:tcW w:w="542" w:type="dxa"/>
            <w:tcBorders>
              <w:top w:val="nil"/>
              <w:left w:val="single" w:sz="4" w:space="0" w:color="auto"/>
              <w:bottom w:val="single" w:sz="4" w:space="0" w:color="auto"/>
              <w:right w:val="single" w:sz="4" w:space="0" w:color="auto"/>
            </w:tcBorders>
            <w:shd w:val="clear" w:color="auto" w:fill="C6EFCE"/>
            <w:noWrap/>
          </w:tcPr>
          <w:p w14:paraId="642F6BC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207</w:t>
            </w:r>
          </w:p>
        </w:tc>
        <w:tc>
          <w:tcPr>
            <w:tcW w:w="2038" w:type="dxa"/>
            <w:tcBorders>
              <w:top w:val="nil"/>
              <w:left w:val="nil"/>
              <w:bottom w:val="single" w:sz="4" w:space="0" w:color="auto"/>
              <w:right w:val="single" w:sz="4" w:space="0" w:color="auto"/>
            </w:tcBorders>
            <w:shd w:val="clear" w:color="auto" w:fill="C6EFCE"/>
            <w:noWrap/>
          </w:tcPr>
          <w:p w14:paraId="0A47536B" w14:textId="71996BD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16972_Reforma verejnej správy</w:t>
            </w:r>
          </w:p>
        </w:tc>
        <w:tc>
          <w:tcPr>
            <w:tcW w:w="1107" w:type="dxa"/>
            <w:tcBorders>
              <w:top w:val="nil"/>
              <w:left w:val="nil"/>
              <w:bottom w:val="single" w:sz="4" w:space="0" w:color="auto"/>
              <w:right w:val="single" w:sz="4" w:space="0" w:color="auto"/>
            </w:tcBorders>
            <w:shd w:val="clear" w:color="auto" w:fill="C6EFCE"/>
            <w:noWrap/>
          </w:tcPr>
          <w:p w14:paraId="6D57EF5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82" w:type="dxa"/>
            <w:tcBorders>
              <w:top w:val="nil"/>
              <w:left w:val="nil"/>
              <w:bottom w:val="single" w:sz="4" w:space="0" w:color="auto"/>
              <w:right w:val="single" w:sz="4" w:space="0" w:color="auto"/>
            </w:tcBorders>
            <w:shd w:val="clear" w:color="auto" w:fill="C6EFCE"/>
            <w:noWrap/>
          </w:tcPr>
          <w:p w14:paraId="61858A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Verejná správa – nový systém odmeňovania</w:t>
            </w:r>
          </w:p>
        </w:tc>
        <w:tc>
          <w:tcPr>
            <w:tcW w:w="1520" w:type="dxa"/>
            <w:tcBorders>
              <w:top w:val="nil"/>
              <w:left w:val="nil"/>
              <w:bottom w:val="single" w:sz="4" w:space="0" w:color="auto"/>
              <w:right w:val="single" w:sz="4" w:space="0" w:color="auto"/>
            </w:tcBorders>
            <w:shd w:val="clear" w:color="auto" w:fill="C6EFCE"/>
            <w:noWrap/>
          </w:tcPr>
          <w:p w14:paraId="5B17F16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 právnych predpisov, ktorými sa zriaďuje systém odmeňovania.</w:t>
            </w:r>
          </w:p>
        </w:tc>
        <w:tc>
          <w:tcPr>
            <w:tcW w:w="1054" w:type="dxa"/>
            <w:tcBorders>
              <w:top w:val="nil"/>
              <w:left w:val="nil"/>
              <w:bottom w:val="single" w:sz="4" w:space="0" w:color="auto"/>
              <w:right w:val="single" w:sz="4" w:space="0" w:color="auto"/>
            </w:tcBorders>
            <w:shd w:val="clear" w:color="auto" w:fill="C6EFCE"/>
            <w:noWrap/>
          </w:tcPr>
          <w:p w14:paraId="4095148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3241282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tcBorders>
              <w:top w:val="nil"/>
              <w:left w:val="nil"/>
              <w:bottom w:val="single" w:sz="4" w:space="0" w:color="auto"/>
              <w:right w:val="single" w:sz="4" w:space="0" w:color="auto"/>
            </w:tcBorders>
            <w:shd w:val="clear" w:color="auto" w:fill="C6EFCE"/>
            <w:noWrap/>
          </w:tcPr>
          <w:p w14:paraId="08AF3BD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4597536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27" w:type="dxa"/>
            <w:tcBorders>
              <w:top w:val="nil"/>
              <w:left w:val="nil"/>
              <w:bottom w:val="single" w:sz="4" w:space="0" w:color="auto"/>
              <w:right w:val="single" w:sz="4" w:space="0" w:color="auto"/>
            </w:tcBorders>
            <w:shd w:val="clear" w:color="auto" w:fill="C6EFCE"/>
            <w:noWrap/>
          </w:tcPr>
          <w:p w14:paraId="5966E43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19" w:type="dxa"/>
            <w:tcBorders>
              <w:top w:val="nil"/>
              <w:left w:val="nil"/>
              <w:bottom w:val="single" w:sz="4" w:space="0" w:color="auto"/>
              <w:right w:val="single" w:sz="4" w:space="0" w:color="auto"/>
            </w:tcBorders>
            <w:shd w:val="clear" w:color="auto" w:fill="C6EFCE"/>
            <w:noWrap/>
          </w:tcPr>
          <w:p w14:paraId="5B4DF75B" w14:textId="12E4441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 právnych predpisov, ktorými sa zavádza systém riadenia stanovovania cieľov zameraný na odmeňovanie verejných organizácií spravodlivo</w:t>
            </w:r>
            <w:r w:rsidR="00AB26B3" w:rsidRPr="00AB26B3">
              <w:rPr>
                <w:noProof/>
                <w:spacing w:val="-6"/>
                <w:lang w:val="sk-SK"/>
              </w:rPr>
              <w:t xml:space="preserve"> a </w:t>
            </w:r>
            <w:r w:rsidRPr="00AB26B3">
              <w:rPr>
                <w:noProof/>
                <w:spacing w:val="-6"/>
                <w:lang w:val="sk-SK"/>
              </w:rPr>
              <w:t>konzistentne po dosiahnutí vopred stanovených cieľov. Kľúčové prvky systému musia byť</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 xml:space="preserve">jednotnou mzdovou tabuľkou (zákon </w:t>
            </w:r>
            <w:r w:rsidR="00AB26B3" w:rsidRPr="00AB26B3">
              <w:rPr>
                <w:noProof/>
                <w:spacing w:val="-6"/>
                <w:lang w:val="sk-SK"/>
              </w:rPr>
              <w:t>č. </w:t>
            </w:r>
            <w:r w:rsidRPr="00AB26B3">
              <w:rPr>
                <w:noProof/>
                <w:spacing w:val="-6"/>
                <w:lang w:val="sk-SK"/>
              </w:rPr>
              <w:t>4354/2015).</w:t>
            </w:r>
          </w:p>
        </w:tc>
      </w:tr>
      <w:tr w:rsidR="00302FC1" w:rsidRPr="00AB26B3" w14:paraId="483B45D1" w14:textId="77777777">
        <w:trPr>
          <w:trHeight w:val="313"/>
          <w:jc w:val="center"/>
        </w:trPr>
        <w:tc>
          <w:tcPr>
            <w:tcW w:w="542" w:type="dxa"/>
            <w:tcBorders>
              <w:top w:val="nil"/>
              <w:left w:val="single" w:sz="4" w:space="0" w:color="auto"/>
              <w:bottom w:val="single" w:sz="4" w:space="0" w:color="auto"/>
              <w:right w:val="single" w:sz="4" w:space="0" w:color="auto"/>
            </w:tcBorders>
            <w:shd w:val="clear" w:color="auto" w:fill="C6EFCE"/>
            <w:noWrap/>
          </w:tcPr>
          <w:p w14:paraId="6F2671E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208</w:t>
            </w:r>
          </w:p>
        </w:tc>
        <w:tc>
          <w:tcPr>
            <w:tcW w:w="2038" w:type="dxa"/>
            <w:tcBorders>
              <w:top w:val="nil"/>
              <w:left w:val="nil"/>
              <w:bottom w:val="single" w:sz="4" w:space="0" w:color="auto"/>
              <w:right w:val="single" w:sz="4" w:space="0" w:color="auto"/>
            </w:tcBorders>
            <w:shd w:val="clear" w:color="auto" w:fill="C6EFCE"/>
            <w:noWrap/>
          </w:tcPr>
          <w:p w14:paraId="30ED25EE" w14:textId="293CF1D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16972_Reforma verejnej správy</w:t>
            </w:r>
          </w:p>
        </w:tc>
        <w:tc>
          <w:tcPr>
            <w:tcW w:w="1107" w:type="dxa"/>
            <w:tcBorders>
              <w:top w:val="nil"/>
              <w:left w:val="nil"/>
              <w:bottom w:val="single" w:sz="4" w:space="0" w:color="auto"/>
              <w:right w:val="single" w:sz="4" w:space="0" w:color="auto"/>
            </w:tcBorders>
            <w:shd w:val="clear" w:color="auto" w:fill="C6EFCE"/>
            <w:noWrap/>
          </w:tcPr>
          <w:p w14:paraId="14D4E2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482" w:type="dxa"/>
            <w:tcBorders>
              <w:top w:val="nil"/>
              <w:left w:val="nil"/>
              <w:bottom w:val="single" w:sz="4" w:space="0" w:color="auto"/>
              <w:right w:val="single" w:sz="4" w:space="0" w:color="auto"/>
            </w:tcBorders>
            <w:shd w:val="clear" w:color="auto" w:fill="C6EFCE"/>
            <w:noWrap/>
          </w:tcPr>
          <w:p w14:paraId="069A3F79" w14:textId="6499F251" w:rsidR="00302FC1" w:rsidRPr="00AB26B3" w:rsidRDefault="00D64F26">
            <w:pPr>
              <w:pStyle w:val="P68B1DB1-Normal24"/>
              <w:spacing w:after="0" w:line="240" w:lineRule="auto"/>
              <w:rPr>
                <w:noProof/>
                <w:spacing w:val="-6"/>
                <w:lang w:val="sk-SK"/>
              </w:rPr>
            </w:pPr>
            <w:r w:rsidRPr="00AB26B3">
              <w:rPr>
                <w:noProof/>
                <w:spacing w:val="-6"/>
                <w:lang w:val="sk-SK"/>
              </w:rPr>
              <w:t>Školenia pre štátnych zamestnancov,</w:t>
            </w:r>
          </w:p>
          <w:p w14:paraId="6681B00A" w14:textId="20DEBFE1" w:rsidR="00302FC1" w:rsidRPr="00AB26B3" w:rsidRDefault="00D64F26">
            <w:pPr>
              <w:pStyle w:val="P68B1DB1-Normal24"/>
              <w:spacing w:after="0" w:line="240" w:lineRule="auto"/>
              <w:rPr>
                <w:noProof/>
                <w:spacing w:val="-6"/>
                <w:lang w:val="sk-SK"/>
              </w:rPr>
            </w:pPr>
            <w:r w:rsidRPr="00AB26B3">
              <w:rPr>
                <w:noProof/>
                <w:spacing w:val="-6"/>
                <w:lang w:val="sk-SK"/>
              </w:rPr>
              <w:t>nadobudnutie účinnosti právnych aktov,</w:t>
            </w:r>
          </w:p>
          <w:p w14:paraId="1C20FA33" w14:textId="2569BB3C" w:rsidR="00302FC1" w:rsidRPr="00AB26B3" w:rsidRDefault="00D64F26">
            <w:pPr>
              <w:pStyle w:val="P68B1DB1-Normal24"/>
              <w:spacing w:after="0" w:line="240" w:lineRule="auto"/>
              <w:rPr>
                <w:noProof/>
                <w:spacing w:val="-6"/>
                <w:lang w:val="sk-SK"/>
              </w:rPr>
            </w:pPr>
            <w:r w:rsidRPr="00AB26B3">
              <w:rPr>
                <w:noProof/>
                <w:spacing w:val="-6"/>
                <w:lang w:val="sk-SK"/>
              </w:rPr>
              <w:t>uvedenie informačných systémov do prevádzky </w:t>
            </w:r>
          </w:p>
        </w:tc>
        <w:tc>
          <w:tcPr>
            <w:tcW w:w="1520" w:type="dxa"/>
            <w:tcBorders>
              <w:top w:val="nil"/>
              <w:left w:val="nil"/>
              <w:bottom w:val="single" w:sz="4" w:space="0" w:color="auto"/>
              <w:right w:val="single" w:sz="4" w:space="0" w:color="auto"/>
            </w:tcBorders>
            <w:shd w:val="clear" w:color="auto" w:fill="C6EFCE"/>
            <w:noWrap/>
          </w:tcPr>
          <w:p w14:paraId="382B2F19" w14:textId="0E73B877" w:rsidR="00302FC1" w:rsidRPr="00AB26B3" w:rsidRDefault="00D64F26">
            <w:pPr>
              <w:pStyle w:val="P68B1DB1-Normal24"/>
              <w:spacing w:after="0" w:line="240" w:lineRule="auto"/>
              <w:rPr>
                <w:noProof/>
                <w:spacing w:val="-6"/>
                <w:lang w:val="sk-SK"/>
              </w:rPr>
            </w:pPr>
            <w:r w:rsidRPr="00AB26B3">
              <w:rPr>
                <w:noProof/>
                <w:spacing w:val="-6"/>
                <w:lang w:val="sk-SK"/>
              </w:rPr>
              <w:t>Školenia pre štátnych zamestnancov,</w:t>
            </w:r>
          </w:p>
          <w:p w14:paraId="6BBAB13D" w14:textId="22A6FD2F" w:rsidR="00302FC1" w:rsidRPr="00AB26B3" w:rsidRDefault="00D64F26">
            <w:pPr>
              <w:pStyle w:val="P68B1DB1-Normal24"/>
              <w:spacing w:after="0" w:line="240" w:lineRule="auto"/>
              <w:rPr>
                <w:noProof/>
                <w:spacing w:val="-6"/>
                <w:lang w:val="sk-SK"/>
              </w:rPr>
            </w:pPr>
            <w:r w:rsidRPr="00AB26B3">
              <w:rPr>
                <w:noProof/>
                <w:spacing w:val="-6"/>
                <w:lang w:val="sk-SK"/>
              </w:rPr>
              <w:t>nadobudnutie účinnosti právnych aktov</w:t>
            </w:r>
          </w:p>
          <w:p w14:paraId="59017F46" w14:textId="77777777" w:rsidR="00AB26B3" w:rsidRPr="00AB26B3" w:rsidRDefault="00D64F26">
            <w:pPr>
              <w:pStyle w:val="P68B1DB1-Normal24"/>
              <w:spacing w:after="0" w:line="240" w:lineRule="auto"/>
              <w:rPr>
                <w:noProof/>
                <w:spacing w:val="-6"/>
                <w:lang w:val="sk-SK"/>
              </w:rPr>
            </w:pPr>
            <w:r w:rsidRPr="00AB26B3">
              <w:rPr>
                <w:noProof/>
                <w:spacing w:val="-6"/>
                <w:lang w:val="sk-SK"/>
              </w:rPr>
              <w:t>uvedenie informačných systémov do prevádzky</w:t>
            </w:r>
          </w:p>
          <w:p w14:paraId="32EE237C" w14:textId="36D65ED9"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4" w:type="dxa"/>
            <w:tcBorders>
              <w:top w:val="nil"/>
              <w:left w:val="nil"/>
              <w:bottom w:val="single" w:sz="4" w:space="0" w:color="auto"/>
              <w:right w:val="single" w:sz="4" w:space="0" w:color="auto"/>
            </w:tcBorders>
            <w:shd w:val="clear" w:color="auto" w:fill="C6EFCE"/>
            <w:noWrap/>
          </w:tcPr>
          <w:p w14:paraId="74D4158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074BA35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05" w:type="dxa"/>
            <w:tcBorders>
              <w:top w:val="nil"/>
              <w:left w:val="nil"/>
              <w:bottom w:val="single" w:sz="4" w:space="0" w:color="auto"/>
              <w:right w:val="single" w:sz="4" w:space="0" w:color="auto"/>
            </w:tcBorders>
            <w:shd w:val="clear" w:color="auto" w:fill="C6EFCE"/>
            <w:noWrap/>
          </w:tcPr>
          <w:p w14:paraId="7BC5B6F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6B0804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27" w:type="dxa"/>
            <w:tcBorders>
              <w:top w:val="nil"/>
              <w:left w:val="nil"/>
              <w:bottom w:val="single" w:sz="4" w:space="0" w:color="auto"/>
              <w:right w:val="single" w:sz="4" w:space="0" w:color="auto"/>
            </w:tcBorders>
            <w:shd w:val="clear" w:color="auto" w:fill="C6EFCE"/>
            <w:noWrap/>
          </w:tcPr>
          <w:p w14:paraId="2DAE2B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819" w:type="dxa"/>
            <w:tcBorders>
              <w:top w:val="nil"/>
              <w:left w:val="nil"/>
              <w:bottom w:val="single" w:sz="4" w:space="0" w:color="auto"/>
              <w:right w:val="single" w:sz="4" w:space="0" w:color="auto"/>
            </w:tcBorders>
            <w:shd w:val="clear" w:color="auto" w:fill="C6EFCE"/>
            <w:noWrap/>
          </w:tcPr>
          <w:p w14:paraId="62FDF79B" w14:textId="77777777" w:rsidR="00AB26B3" w:rsidRPr="00AB26B3" w:rsidRDefault="00D64F26">
            <w:pPr>
              <w:pStyle w:val="P68B1DB1-Normal12"/>
              <w:spacing w:after="0" w:line="240" w:lineRule="auto"/>
              <w:rPr>
                <w:noProof/>
                <w:spacing w:val="-6"/>
                <w:lang w:val="sk-SK"/>
              </w:rPr>
            </w:pPr>
            <w:r w:rsidRPr="00AB26B3">
              <w:rPr>
                <w:noProof/>
                <w:spacing w:val="-6"/>
                <w:lang w:val="sk-SK"/>
              </w:rPr>
              <w:t>I) Poskytnutie 225,000 certifikovaných školení pre štátnych zamestnancov</w:t>
            </w:r>
            <w:r w:rsidR="00AB26B3" w:rsidRPr="00AB26B3">
              <w:rPr>
                <w:noProof/>
                <w:spacing w:val="-6"/>
                <w:lang w:val="sk-SK"/>
              </w:rPr>
              <w:t>.</w:t>
            </w:r>
          </w:p>
          <w:p w14:paraId="3D0E1F16" w14:textId="7D4F3700" w:rsidR="00302FC1" w:rsidRPr="00AB26B3" w:rsidRDefault="00D64F26">
            <w:pPr>
              <w:pStyle w:val="P68B1DB1-Normal12"/>
              <w:spacing w:after="0" w:line="240" w:lineRule="auto"/>
              <w:rPr>
                <w:noProof/>
                <w:spacing w:val="-6"/>
                <w:lang w:val="sk-SK"/>
              </w:rPr>
            </w:pPr>
            <w:r w:rsidRPr="00AB26B3">
              <w:rPr>
                <w:noProof/>
                <w:spacing w:val="-6"/>
                <w:lang w:val="sk-SK"/>
              </w:rPr>
              <w:t>II) Nadobudnutie účinnosti právnych aktov na urýchlenie postupov prijímania zamestnancov vo verejnom sektore.</w:t>
            </w:r>
          </w:p>
          <w:p w14:paraId="059D797B" w14:textId="77777777" w:rsidR="00AB26B3" w:rsidRPr="00AB26B3" w:rsidRDefault="00D64F26">
            <w:pPr>
              <w:pStyle w:val="P68B1DB1-Normal12"/>
              <w:spacing w:after="0" w:line="240" w:lineRule="auto"/>
              <w:rPr>
                <w:noProof/>
                <w:spacing w:val="-6"/>
                <w:lang w:val="sk-SK"/>
              </w:rPr>
            </w:pPr>
            <w:r w:rsidRPr="00AB26B3">
              <w:rPr>
                <w:noProof/>
                <w:spacing w:val="-6"/>
                <w:lang w:val="sk-SK"/>
              </w:rPr>
              <w:t>III) Uvedenie do prevádzky informačného systému Najvyššej rady pre výber civilných zamestnancov (ASEP)</w:t>
            </w:r>
            <w:r w:rsidR="00AB26B3" w:rsidRPr="00AB26B3">
              <w:rPr>
                <w:noProof/>
                <w:spacing w:val="-6"/>
                <w:lang w:val="sk-SK"/>
              </w:rPr>
              <w:t>;</w:t>
            </w:r>
          </w:p>
          <w:p w14:paraId="5475DA0F" w14:textId="1011528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IV) Uvedenie do prevádzky informačného systému, ktorý podporuje strategický rámec plánovania pracovnej sily</w:t>
            </w:r>
            <w:r w:rsidR="00AB26B3" w:rsidRPr="00AB26B3">
              <w:rPr>
                <w:noProof/>
                <w:spacing w:val="-6"/>
                <w:lang w:val="sk-SK"/>
              </w:rPr>
              <w:t xml:space="preserve"> s </w:t>
            </w:r>
            <w:r w:rsidRPr="00AB26B3">
              <w:rPr>
                <w:noProof/>
                <w:spacing w:val="-6"/>
                <w:lang w:val="sk-SK"/>
              </w:rPr>
              <w:t>využitím umelej inteligencie.</w:t>
            </w:r>
          </w:p>
        </w:tc>
      </w:tr>
    </w:tbl>
    <w:p w14:paraId="24F250FF" w14:textId="77777777" w:rsidR="00302FC1" w:rsidRPr="00AB26B3" w:rsidRDefault="00302FC1">
      <w:pPr>
        <w:spacing w:before="120" w:after="120" w:line="240" w:lineRule="auto"/>
        <w:jc w:val="both"/>
        <w:rPr>
          <w:rFonts w:ascii="Times New Roman" w:hAnsi="Times New Roman" w:cs="Times New Roman"/>
          <w:noProof/>
          <w:spacing w:val="-6"/>
          <w:sz w:val="24"/>
          <w:szCs w:val="24"/>
          <w:lang w:val="sk-SK"/>
        </w:rPr>
      </w:pPr>
    </w:p>
    <w:p w14:paraId="18AE4F32"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sectPr w:rsidR="00302FC1" w:rsidRPr="00AB26B3" w:rsidSect="00315FC0">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720" w:right="720" w:bottom="720" w:left="720" w:header="709" w:footer="0" w:gutter="0"/>
          <w:cols w:space="720"/>
          <w:docGrid w:linePitch="360"/>
        </w:sectPr>
      </w:pPr>
    </w:p>
    <w:p w14:paraId="7F1A19F4" w14:textId="775AB674"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19: Boj proti praniu špinavých peňazí</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korupcii</w:t>
      </w:r>
    </w:p>
    <w:p w14:paraId="2762A53F" w14:textId="6DB15F75"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Posilnenie rámca boja proti praniu špinavých peňazí</w:t>
      </w:r>
      <w:r w:rsidR="00AB26B3" w:rsidRPr="00AB26B3">
        <w:rPr>
          <w:noProof/>
          <w:spacing w:val="-6"/>
          <w:lang w:val="sk-SK"/>
        </w:rPr>
        <w:t xml:space="preserve"> a </w:t>
      </w:r>
      <w:r w:rsidRPr="00AB26B3">
        <w:rPr>
          <w:noProof/>
          <w:spacing w:val="-6"/>
          <w:lang w:val="sk-SK"/>
        </w:rPr>
        <w:t>financovaniu terorizmu (ID: 16702)</w:t>
      </w:r>
    </w:p>
    <w:p w14:paraId="0E6A2241" w14:textId="7123B884"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Boj proti nezákonnému obchodu</w:t>
      </w:r>
      <w:r w:rsidR="00AB26B3" w:rsidRPr="00AB26B3">
        <w:rPr>
          <w:noProof/>
          <w:spacing w:val="-6"/>
          <w:lang w:val="sk-SK"/>
        </w:rPr>
        <w:t xml:space="preserve"> a </w:t>
      </w:r>
      <w:r w:rsidRPr="00AB26B3">
        <w:rPr>
          <w:noProof/>
          <w:spacing w:val="-6"/>
          <w:lang w:val="sk-SK"/>
        </w:rPr>
        <w:t>ochrana duševného vlastníctva (ID: 16703)</w:t>
      </w:r>
    </w:p>
    <w:p w14:paraId="18B0CC37" w14:textId="77777777"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Posilnenie národného protikorupčného rámca (ID: 16952)</w:t>
      </w:r>
    </w:p>
    <w:p w14:paraId="19B8DE18" w14:textId="17CE92C5" w:rsidR="00302FC1" w:rsidRPr="00AB26B3" w:rsidRDefault="00D64F26">
      <w:pPr>
        <w:pStyle w:val="P68B1DB1-Normal5"/>
        <w:numPr>
          <w:ilvl w:val="0"/>
          <w:numId w:val="39"/>
        </w:numPr>
        <w:spacing w:before="120" w:after="120" w:line="240" w:lineRule="auto"/>
        <w:jc w:val="both"/>
        <w:rPr>
          <w:rFonts w:cs="Times New Roman"/>
          <w:noProof/>
          <w:spacing w:val="-6"/>
          <w:szCs w:val="24"/>
          <w:lang w:val="sk-SK"/>
        </w:rPr>
      </w:pPr>
      <w:r w:rsidRPr="00AB26B3">
        <w:rPr>
          <w:noProof/>
          <w:spacing w:val="-6"/>
          <w:lang w:val="sk-SK"/>
        </w:rPr>
        <w:t>Účinný boj proti korupcii (ID: 16978)</w:t>
      </w:r>
    </w:p>
    <w:tbl>
      <w:tblPr>
        <w:tblW w:w="15878" w:type="dxa"/>
        <w:jc w:val="center"/>
        <w:tblLook w:val="04A0" w:firstRow="1" w:lastRow="0" w:firstColumn="1" w:lastColumn="0" w:noHBand="0" w:noVBand="1"/>
      </w:tblPr>
      <w:tblGrid>
        <w:gridCol w:w="666"/>
        <w:gridCol w:w="1974"/>
        <w:gridCol w:w="1150"/>
        <w:gridCol w:w="1477"/>
        <w:gridCol w:w="1534"/>
        <w:gridCol w:w="933"/>
        <w:gridCol w:w="909"/>
        <w:gridCol w:w="702"/>
        <w:gridCol w:w="1119"/>
        <w:gridCol w:w="708"/>
        <w:gridCol w:w="5110"/>
      </w:tblGrid>
      <w:tr w:rsidR="00302FC1" w:rsidRPr="00AB26B3" w14:paraId="01DE2727" w14:textId="77777777">
        <w:trPr>
          <w:trHeight w:val="774"/>
          <w:tblHeader/>
          <w:jc w:val="center"/>
        </w:trPr>
        <w:tc>
          <w:tcPr>
            <w:tcW w:w="6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42CFC02" w14:textId="3E09EA62"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CCC8E5"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Súvisiace opatrenie (reforma alebo investícia)</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43CFCF"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Míľnik/cieľ</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F881124"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Názov</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2065CDB" w14:textId="5B879582"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Kvalitatívne ukazovatele (pre míľniky)</w:t>
            </w:r>
          </w:p>
        </w:tc>
        <w:tc>
          <w:tcPr>
            <w:tcW w:w="249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9252209" w14:textId="55E20932"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Kvantitatívne ukazovatele (pre ciele)</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14:paraId="2097A370"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 xml:space="preserve">Orientačný harmonogram dokončenia </w:t>
            </w:r>
          </w:p>
        </w:tc>
        <w:tc>
          <w:tcPr>
            <w:tcW w:w="51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65D660" w14:textId="4E94DB74"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66F4B9B9" w14:textId="77777777">
        <w:trPr>
          <w:trHeight w:val="532"/>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4290A37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1DBCAB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7FCF86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2ED2F93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6EAF6C5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33" w:type="dxa"/>
            <w:tcBorders>
              <w:top w:val="nil"/>
              <w:left w:val="single" w:sz="4" w:space="0" w:color="auto"/>
              <w:bottom w:val="single" w:sz="4" w:space="0" w:color="auto"/>
              <w:right w:val="single" w:sz="4" w:space="0" w:color="auto"/>
            </w:tcBorders>
            <w:shd w:val="clear" w:color="auto" w:fill="BDD7EE"/>
            <w:vAlign w:val="center"/>
            <w:hideMark/>
          </w:tcPr>
          <w:p w14:paraId="5ADD7DF5"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Merná jednotka</w:t>
            </w:r>
          </w:p>
        </w:tc>
        <w:tc>
          <w:tcPr>
            <w:tcW w:w="857" w:type="dxa"/>
            <w:tcBorders>
              <w:top w:val="nil"/>
              <w:left w:val="nil"/>
              <w:bottom w:val="single" w:sz="4" w:space="0" w:color="auto"/>
              <w:right w:val="single" w:sz="4" w:space="0" w:color="auto"/>
            </w:tcBorders>
            <w:shd w:val="clear" w:color="auto" w:fill="BDD7EE"/>
            <w:vAlign w:val="center"/>
            <w:hideMark/>
          </w:tcPr>
          <w:p w14:paraId="7E360D2C"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 xml:space="preserve">Základná </w:t>
            </w:r>
          </w:p>
        </w:tc>
        <w:tc>
          <w:tcPr>
            <w:tcW w:w="702" w:type="dxa"/>
            <w:tcBorders>
              <w:top w:val="nil"/>
              <w:left w:val="nil"/>
              <w:bottom w:val="single" w:sz="4" w:space="0" w:color="auto"/>
              <w:right w:val="single" w:sz="4" w:space="0" w:color="auto"/>
            </w:tcBorders>
            <w:shd w:val="clear" w:color="auto" w:fill="BDD7EE"/>
            <w:vAlign w:val="center"/>
            <w:hideMark/>
          </w:tcPr>
          <w:p w14:paraId="7AA443C5"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 xml:space="preserve">Cieľ </w:t>
            </w:r>
          </w:p>
        </w:tc>
        <w:tc>
          <w:tcPr>
            <w:tcW w:w="851" w:type="dxa"/>
            <w:tcBorders>
              <w:top w:val="nil"/>
              <w:left w:val="nil"/>
              <w:bottom w:val="single" w:sz="4" w:space="0" w:color="auto"/>
              <w:right w:val="single" w:sz="4" w:space="0" w:color="auto"/>
            </w:tcBorders>
            <w:shd w:val="clear" w:color="auto" w:fill="BDD7EE"/>
            <w:vAlign w:val="center"/>
            <w:hideMark/>
          </w:tcPr>
          <w:p w14:paraId="0AC8E743"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Štvrtina</w:t>
            </w:r>
          </w:p>
        </w:tc>
        <w:tc>
          <w:tcPr>
            <w:tcW w:w="708" w:type="dxa"/>
            <w:tcBorders>
              <w:top w:val="nil"/>
              <w:left w:val="nil"/>
              <w:bottom w:val="single" w:sz="4" w:space="0" w:color="auto"/>
              <w:right w:val="single" w:sz="4" w:space="0" w:color="auto"/>
            </w:tcBorders>
            <w:shd w:val="clear" w:color="auto" w:fill="BDD7EE"/>
            <w:vAlign w:val="center"/>
            <w:hideMark/>
          </w:tcPr>
          <w:p w14:paraId="585CB135" w14:textId="77777777" w:rsidR="00302FC1" w:rsidRPr="00AB26B3" w:rsidRDefault="00D64F26">
            <w:pPr>
              <w:pStyle w:val="P68B1DB1-Normal40"/>
              <w:spacing w:after="0" w:line="240" w:lineRule="auto"/>
              <w:jc w:val="center"/>
              <w:rPr>
                <w:rFonts w:eastAsia="Times New Roman" w:cs="Times New Roman"/>
                <w:bCs/>
                <w:noProof/>
                <w:spacing w:val="-6"/>
                <w:lang w:val="sk-SK"/>
              </w:rPr>
            </w:pPr>
            <w:r w:rsidRPr="00AB26B3">
              <w:rPr>
                <w:noProof/>
                <w:spacing w:val="-6"/>
                <w:lang w:val="sk-SK"/>
              </w:rPr>
              <w:t>Rok</w:t>
            </w:r>
          </w:p>
        </w:tc>
        <w:tc>
          <w:tcPr>
            <w:tcW w:w="5110" w:type="dxa"/>
            <w:vMerge/>
            <w:tcBorders>
              <w:top w:val="single" w:sz="4" w:space="0" w:color="auto"/>
              <w:bottom w:val="single" w:sz="4" w:space="0" w:color="auto"/>
              <w:right w:val="single" w:sz="4" w:space="0" w:color="auto"/>
            </w:tcBorders>
            <w:vAlign w:val="center"/>
            <w:hideMark/>
          </w:tcPr>
          <w:p w14:paraId="77071D1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14E557E6" w14:textId="77777777">
        <w:trPr>
          <w:trHeight w:val="313"/>
          <w:jc w:val="center"/>
        </w:trPr>
        <w:tc>
          <w:tcPr>
            <w:tcW w:w="666" w:type="dxa"/>
            <w:tcBorders>
              <w:top w:val="single" w:sz="4" w:space="0" w:color="auto"/>
              <w:left w:val="single" w:sz="4" w:space="0" w:color="auto"/>
              <w:bottom w:val="single" w:sz="4" w:space="0" w:color="auto"/>
              <w:right w:val="single" w:sz="4" w:space="0" w:color="auto"/>
            </w:tcBorders>
            <w:shd w:val="clear" w:color="auto" w:fill="C6EFCE"/>
            <w:noWrap/>
          </w:tcPr>
          <w:p w14:paraId="5585E67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209</w:t>
            </w:r>
          </w:p>
        </w:tc>
        <w:tc>
          <w:tcPr>
            <w:tcW w:w="1974" w:type="dxa"/>
            <w:tcBorders>
              <w:top w:val="single" w:sz="4" w:space="0" w:color="auto"/>
              <w:left w:val="nil"/>
              <w:bottom w:val="single" w:sz="4" w:space="0" w:color="auto"/>
              <w:right w:val="single" w:sz="4" w:space="0" w:color="auto"/>
            </w:tcBorders>
            <w:shd w:val="clear" w:color="auto" w:fill="C6EFCE"/>
            <w:noWrap/>
          </w:tcPr>
          <w:p w14:paraId="0CE75187" w14:textId="0E8FD9B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16978_Účinný boj proti korupcii</w:t>
            </w:r>
          </w:p>
        </w:tc>
        <w:tc>
          <w:tcPr>
            <w:tcW w:w="1150" w:type="dxa"/>
            <w:tcBorders>
              <w:top w:val="single" w:sz="4" w:space="0" w:color="auto"/>
              <w:left w:val="nil"/>
              <w:bottom w:val="single" w:sz="4" w:space="0" w:color="auto"/>
              <w:right w:val="single" w:sz="4" w:space="0" w:color="auto"/>
            </w:tcBorders>
            <w:shd w:val="clear" w:color="auto" w:fill="C6EFCE"/>
            <w:noWrap/>
          </w:tcPr>
          <w:p w14:paraId="212F69E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3" w:type="dxa"/>
            <w:tcBorders>
              <w:top w:val="single" w:sz="4" w:space="0" w:color="auto"/>
              <w:left w:val="nil"/>
              <w:bottom w:val="single" w:sz="4" w:space="0" w:color="auto"/>
              <w:right w:val="single" w:sz="4" w:space="0" w:color="auto"/>
            </w:tcBorders>
            <w:shd w:val="clear" w:color="auto" w:fill="C6EFCE"/>
            <w:noWrap/>
          </w:tcPr>
          <w:p w14:paraId="32FEB629" w14:textId="4EF0948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Majetkové priznania</w:t>
            </w:r>
            <w:r w:rsidR="00AB26B3" w:rsidRPr="00AB26B3">
              <w:rPr>
                <w:noProof/>
                <w:spacing w:val="-6"/>
                <w:lang w:val="sk-SK"/>
              </w:rPr>
              <w:t xml:space="preserve"> a </w:t>
            </w:r>
            <w:r w:rsidRPr="00AB26B3">
              <w:rPr>
                <w:noProof/>
                <w:spacing w:val="-6"/>
                <w:lang w:val="sk-SK"/>
              </w:rPr>
              <w:t>politické strany</w:t>
            </w:r>
          </w:p>
        </w:tc>
        <w:tc>
          <w:tcPr>
            <w:tcW w:w="1534" w:type="dxa"/>
            <w:tcBorders>
              <w:top w:val="single" w:sz="4" w:space="0" w:color="auto"/>
              <w:left w:val="nil"/>
              <w:bottom w:val="single" w:sz="4" w:space="0" w:color="auto"/>
              <w:right w:val="single" w:sz="4" w:space="0" w:color="auto"/>
            </w:tcBorders>
            <w:shd w:val="clear" w:color="auto" w:fill="C6EFCE"/>
            <w:noWrap/>
          </w:tcPr>
          <w:p w14:paraId="709F044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nových právnych predpisov</w:t>
            </w:r>
          </w:p>
        </w:tc>
        <w:tc>
          <w:tcPr>
            <w:tcW w:w="933" w:type="dxa"/>
            <w:tcBorders>
              <w:top w:val="nil"/>
              <w:left w:val="nil"/>
              <w:bottom w:val="single" w:sz="4" w:space="0" w:color="auto"/>
              <w:right w:val="single" w:sz="4" w:space="0" w:color="auto"/>
            </w:tcBorders>
            <w:shd w:val="clear" w:color="auto" w:fill="C6EFCE"/>
            <w:noWrap/>
          </w:tcPr>
          <w:p w14:paraId="1F75142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6992102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2" w:type="dxa"/>
            <w:tcBorders>
              <w:top w:val="nil"/>
              <w:left w:val="nil"/>
              <w:bottom w:val="single" w:sz="4" w:space="0" w:color="auto"/>
              <w:right w:val="single" w:sz="4" w:space="0" w:color="auto"/>
            </w:tcBorders>
            <w:shd w:val="clear" w:color="auto" w:fill="C6EFCE"/>
            <w:noWrap/>
          </w:tcPr>
          <w:p w14:paraId="2381892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nil"/>
              <w:left w:val="nil"/>
              <w:bottom w:val="single" w:sz="4" w:space="0" w:color="auto"/>
              <w:right w:val="single" w:sz="4" w:space="0" w:color="auto"/>
            </w:tcBorders>
            <w:shd w:val="clear" w:color="auto" w:fill="C6EFCE"/>
            <w:noWrap/>
          </w:tcPr>
          <w:p w14:paraId="3B7825E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8" w:type="dxa"/>
            <w:tcBorders>
              <w:top w:val="nil"/>
              <w:left w:val="nil"/>
              <w:bottom w:val="single" w:sz="4" w:space="0" w:color="auto"/>
              <w:right w:val="single" w:sz="4" w:space="0" w:color="auto"/>
            </w:tcBorders>
            <w:shd w:val="clear" w:color="auto" w:fill="C6EFCE"/>
            <w:noWrap/>
          </w:tcPr>
          <w:p w14:paraId="0B526B8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5110" w:type="dxa"/>
            <w:tcBorders>
              <w:top w:val="single" w:sz="4" w:space="0" w:color="auto"/>
              <w:left w:val="nil"/>
              <w:bottom w:val="single" w:sz="4" w:space="0" w:color="auto"/>
              <w:right w:val="single" w:sz="4" w:space="0" w:color="auto"/>
            </w:tcBorders>
            <w:shd w:val="clear" w:color="auto" w:fill="C6EFCE"/>
            <w:noWrap/>
          </w:tcPr>
          <w:p w14:paraId="73F4E440" w14:textId="03CF11A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nových právnych predpisov týkajúcich sa: I) vyhlásenia</w:t>
            </w:r>
            <w:r w:rsidR="00AB26B3" w:rsidRPr="00AB26B3">
              <w:rPr>
                <w:noProof/>
                <w:spacing w:val="-6"/>
                <w:lang w:val="sk-SK"/>
              </w:rPr>
              <w:t xml:space="preserve"> o </w:t>
            </w:r>
            <w:r w:rsidRPr="00AB26B3">
              <w:rPr>
                <w:noProof/>
                <w:spacing w:val="-6"/>
                <w:lang w:val="sk-SK"/>
              </w:rPr>
              <w:t>majetku; II)</w:t>
            </w:r>
            <w:r w:rsidR="00AB26B3" w:rsidRPr="00AB26B3">
              <w:rPr>
                <w:noProof/>
                <w:spacing w:val="-6"/>
                <w:lang w:val="sk-SK"/>
              </w:rPr>
              <w:t xml:space="preserve"> a </w:t>
            </w:r>
            <w:r w:rsidRPr="00AB26B3">
              <w:rPr>
                <w:noProof/>
                <w:spacing w:val="-6"/>
                <w:lang w:val="sk-SK"/>
              </w:rPr>
              <w:t>kodifikácia právnych predpisov</w:t>
            </w:r>
            <w:r w:rsidR="00AB26B3" w:rsidRPr="00AB26B3">
              <w:rPr>
                <w:noProof/>
                <w:spacing w:val="-6"/>
                <w:lang w:val="sk-SK"/>
              </w:rPr>
              <w:t xml:space="preserve"> o </w:t>
            </w:r>
            <w:r w:rsidRPr="00AB26B3">
              <w:rPr>
                <w:noProof/>
                <w:spacing w:val="-6"/>
                <w:lang w:val="sk-SK"/>
              </w:rPr>
              <w:t xml:space="preserve">politických stranách. </w:t>
            </w:r>
          </w:p>
        </w:tc>
      </w:tr>
      <w:tr w:rsidR="00302FC1" w:rsidRPr="00AB26B3" w14:paraId="1EEAA410" w14:textId="77777777">
        <w:trPr>
          <w:trHeight w:val="313"/>
          <w:jc w:val="center"/>
        </w:trPr>
        <w:tc>
          <w:tcPr>
            <w:tcW w:w="666" w:type="dxa"/>
            <w:tcBorders>
              <w:top w:val="nil"/>
              <w:left w:val="single" w:sz="4" w:space="0" w:color="auto"/>
              <w:bottom w:val="single" w:sz="4" w:space="0" w:color="auto"/>
              <w:right w:val="single" w:sz="4" w:space="0" w:color="auto"/>
            </w:tcBorders>
            <w:shd w:val="clear" w:color="auto" w:fill="C6EFCE"/>
            <w:noWrap/>
          </w:tcPr>
          <w:p w14:paraId="3D69D4B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210</w:t>
            </w:r>
          </w:p>
        </w:tc>
        <w:tc>
          <w:tcPr>
            <w:tcW w:w="1974" w:type="dxa"/>
            <w:tcBorders>
              <w:top w:val="nil"/>
              <w:left w:val="nil"/>
              <w:bottom w:val="single" w:sz="4" w:space="0" w:color="auto"/>
              <w:right w:val="single" w:sz="4" w:space="0" w:color="auto"/>
            </w:tcBorders>
            <w:shd w:val="clear" w:color="auto" w:fill="C6EFCE"/>
            <w:noWrap/>
          </w:tcPr>
          <w:p w14:paraId="2012593C" w14:textId="0AD13A6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16952_Posilnenie národného protikorupčného rámca prostredníctvom cielených intervencií</w:t>
            </w:r>
            <w:r w:rsidR="00AB26B3" w:rsidRPr="00AB26B3">
              <w:rPr>
                <w:noProof/>
                <w:spacing w:val="-6"/>
                <w:lang w:val="sk-SK"/>
              </w:rPr>
              <w:t xml:space="preserve"> v </w:t>
            </w:r>
            <w:r w:rsidRPr="00AB26B3">
              <w:rPr>
                <w:noProof/>
                <w:spacing w:val="-6"/>
                <w:lang w:val="sk-SK"/>
              </w:rPr>
              <w:t>oblasti odhaľovania, prevencie</w:t>
            </w:r>
            <w:r w:rsidR="00AB26B3" w:rsidRPr="00AB26B3">
              <w:rPr>
                <w:noProof/>
                <w:spacing w:val="-6"/>
                <w:lang w:val="sk-SK"/>
              </w:rPr>
              <w:t xml:space="preserve"> a </w:t>
            </w:r>
            <w:r w:rsidRPr="00AB26B3">
              <w:rPr>
                <w:noProof/>
                <w:spacing w:val="-6"/>
                <w:lang w:val="sk-SK"/>
              </w:rPr>
              <w:t>zvyšovania informovanosti</w:t>
            </w:r>
          </w:p>
        </w:tc>
        <w:tc>
          <w:tcPr>
            <w:tcW w:w="1150" w:type="dxa"/>
            <w:tcBorders>
              <w:top w:val="nil"/>
              <w:left w:val="nil"/>
              <w:bottom w:val="single" w:sz="4" w:space="0" w:color="auto"/>
              <w:right w:val="single" w:sz="4" w:space="0" w:color="auto"/>
            </w:tcBorders>
            <w:shd w:val="clear" w:color="auto" w:fill="C6EFCE"/>
            <w:noWrap/>
          </w:tcPr>
          <w:p w14:paraId="7AF603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3" w:type="dxa"/>
            <w:tcBorders>
              <w:top w:val="nil"/>
              <w:left w:val="nil"/>
              <w:bottom w:val="single" w:sz="4" w:space="0" w:color="auto"/>
              <w:right w:val="single" w:sz="4" w:space="0" w:color="auto"/>
            </w:tcBorders>
            <w:shd w:val="clear" w:color="auto" w:fill="C6EFCE"/>
            <w:noWrap/>
          </w:tcPr>
          <w:p w14:paraId="4AF9C18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Národný protikorupčný akčný plán</w:t>
            </w:r>
          </w:p>
        </w:tc>
        <w:tc>
          <w:tcPr>
            <w:tcW w:w="1534" w:type="dxa"/>
            <w:tcBorders>
              <w:top w:val="nil"/>
              <w:left w:val="nil"/>
              <w:bottom w:val="single" w:sz="4" w:space="0" w:color="auto"/>
              <w:right w:val="single" w:sz="4" w:space="0" w:color="auto"/>
            </w:tcBorders>
            <w:shd w:val="clear" w:color="auto" w:fill="C6EFCE"/>
            <w:noWrap/>
          </w:tcPr>
          <w:p w14:paraId="6A8117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národného akčného plánu boja proti korupcii na obdobie 2022 – 2025 Národným orgánom pre transparentnosť</w:t>
            </w:r>
          </w:p>
        </w:tc>
        <w:tc>
          <w:tcPr>
            <w:tcW w:w="933" w:type="dxa"/>
            <w:tcBorders>
              <w:top w:val="nil"/>
              <w:left w:val="nil"/>
              <w:bottom w:val="single" w:sz="4" w:space="0" w:color="auto"/>
              <w:right w:val="single" w:sz="4" w:space="0" w:color="auto"/>
            </w:tcBorders>
            <w:shd w:val="clear" w:color="auto" w:fill="C6EFCE"/>
            <w:noWrap/>
          </w:tcPr>
          <w:p w14:paraId="7571641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1A18FD4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2" w:type="dxa"/>
            <w:tcBorders>
              <w:top w:val="nil"/>
              <w:left w:val="nil"/>
              <w:bottom w:val="single" w:sz="4" w:space="0" w:color="auto"/>
              <w:right w:val="single" w:sz="4" w:space="0" w:color="auto"/>
            </w:tcBorders>
            <w:shd w:val="clear" w:color="auto" w:fill="C6EFCE"/>
            <w:noWrap/>
          </w:tcPr>
          <w:p w14:paraId="4BBA491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nil"/>
              <w:left w:val="nil"/>
              <w:bottom w:val="single" w:sz="4" w:space="0" w:color="auto"/>
              <w:right w:val="single" w:sz="4" w:space="0" w:color="auto"/>
            </w:tcBorders>
            <w:shd w:val="clear" w:color="auto" w:fill="C6EFCE"/>
            <w:noWrap/>
          </w:tcPr>
          <w:p w14:paraId="4491DFB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8" w:type="dxa"/>
            <w:tcBorders>
              <w:top w:val="nil"/>
              <w:left w:val="nil"/>
              <w:bottom w:val="single" w:sz="4" w:space="0" w:color="auto"/>
              <w:right w:val="single" w:sz="4" w:space="0" w:color="auto"/>
            </w:tcBorders>
            <w:shd w:val="clear" w:color="auto" w:fill="C6EFCE"/>
            <w:noWrap/>
          </w:tcPr>
          <w:p w14:paraId="2B3FBDA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5110" w:type="dxa"/>
            <w:tcBorders>
              <w:top w:val="nil"/>
              <w:left w:val="nil"/>
              <w:bottom w:val="single" w:sz="4" w:space="0" w:color="auto"/>
              <w:right w:val="single" w:sz="4" w:space="0" w:color="auto"/>
            </w:tcBorders>
            <w:shd w:val="clear" w:color="auto" w:fill="C6EFCE"/>
            <w:noWrap/>
          </w:tcPr>
          <w:p w14:paraId="475B9186" w14:textId="282017A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národného protikorupčného akčného plánu na obdobie 2022 – 2025 národným orgánom pre transparentnosť vrátane špecifikácie: I) opatrenia na zvýšenie transparentnosti</w:t>
            </w:r>
            <w:r w:rsidR="00AB26B3" w:rsidRPr="00AB26B3">
              <w:rPr>
                <w:noProof/>
                <w:spacing w:val="-6"/>
                <w:lang w:val="sk-SK"/>
              </w:rPr>
              <w:t xml:space="preserve"> a </w:t>
            </w:r>
            <w:r w:rsidRPr="00AB26B3">
              <w:rPr>
                <w:noProof/>
                <w:spacing w:val="-6"/>
                <w:lang w:val="sk-SK"/>
              </w:rPr>
              <w:t>zodpovednosti</w:t>
            </w:r>
            <w:r w:rsidR="00AB26B3" w:rsidRPr="00AB26B3">
              <w:rPr>
                <w:noProof/>
                <w:spacing w:val="-6"/>
                <w:lang w:val="sk-SK"/>
              </w:rPr>
              <w:t xml:space="preserve"> v </w:t>
            </w:r>
            <w:r w:rsidRPr="00AB26B3">
              <w:rPr>
                <w:noProof/>
                <w:spacing w:val="-6"/>
                <w:lang w:val="sk-SK"/>
              </w:rPr>
              <w:t>celej verejnej správe; II) cielené intervencie na odhaľovanie korupcie</w:t>
            </w:r>
            <w:r w:rsidR="00AB26B3" w:rsidRPr="00AB26B3">
              <w:rPr>
                <w:noProof/>
                <w:spacing w:val="-6"/>
                <w:lang w:val="sk-SK"/>
              </w:rPr>
              <w:t xml:space="preserve"> a </w:t>
            </w:r>
            <w:r w:rsidRPr="00AB26B3">
              <w:rPr>
                <w:noProof/>
                <w:spacing w:val="-6"/>
                <w:lang w:val="sk-SK"/>
              </w:rPr>
              <w:t>predchádzanie korupcii vo vysokorizikových oblastiach (vrátane napríklad zdravotníctva, verejných financií, investícií); III) potrebné regulačné zásahy vo vybraných oblastiach politiky.</w:t>
            </w:r>
          </w:p>
        </w:tc>
      </w:tr>
      <w:tr w:rsidR="00302FC1" w:rsidRPr="00AB26B3" w14:paraId="0F183C0E" w14:textId="77777777">
        <w:trPr>
          <w:trHeight w:val="313"/>
          <w:jc w:val="center"/>
        </w:trPr>
        <w:tc>
          <w:tcPr>
            <w:tcW w:w="666" w:type="dxa"/>
            <w:tcBorders>
              <w:top w:val="nil"/>
              <w:left w:val="single" w:sz="4" w:space="0" w:color="auto"/>
              <w:bottom w:val="single" w:sz="4" w:space="0" w:color="auto"/>
              <w:right w:val="single" w:sz="4" w:space="0" w:color="auto"/>
            </w:tcBorders>
            <w:shd w:val="clear" w:color="auto" w:fill="C6EFCE"/>
            <w:noWrap/>
          </w:tcPr>
          <w:p w14:paraId="2AA4C03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211</w:t>
            </w:r>
          </w:p>
        </w:tc>
        <w:tc>
          <w:tcPr>
            <w:tcW w:w="1974" w:type="dxa"/>
            <w:tcBorders>
              <w:top w:val="nil"/>
              <w:left w:val="nil"/>
              <w:bottom w:val="single" w:sz="4" w:space="0" w:color="auto"/>
              <w:right w:val="single" w:sz="4" w:space="0" w:color="auto"/>
            </w:tcBorders>
            <w:shd w:val="clear" w:color="auto" w:fill="C6EFCE"/>
            <w:noWrap/>
          </w:tcPr>
          <w:p w14:paraId="0D7000D7" w14:textId="2C04AB2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16952_Posilnenie národného protikorupčného rámca prostredníctvom cielených intervencií</w:t>
            </w:r>
            <w:r w:rsidR="00AB26B3" w:rsidRPr="00AB26B3">
              <w:rPr>
                <w:noProof/>
                <w:spacing w:val="-6"/>
                <w:lang w:val="sk-SK"/>
              </w:rPr>
              <w:t xml:space="preserve"> v </w:t>
            </w:r>
            <w:r w:rsidRPr="00AB26B3">
              <w:rPr>
                <w:noProof/>
                <w:spacing w:val="-6"/>
                <w:lang w:val="sk-SK"/>
              </w:rPr>
              <w:t>oblasti odhaľovania, prevencie</w:t>
            </w:r>
            <w:r w:rsidR="00AB26B3" w:rsidRPr="00AB26B3">
              <w:rPr>
                <w:noProof/>
                <w:spacing w:val="-6"/>
                <w:lang w:val="sk-SK"/>
              </w:rPr>
              <w:t xml:space="preserve"> a </w:t>
            </w:r>
            <w:r w:rsidRPr="00AB26B3">
              <w:rPr>
                <w:noProof/>
                <w:spacing w:val="-6"/>
                <w:lang w:val="sk-SK"/>
              </w:rPr>
              <w:t>zvyšovania informovanosti</w:t>
            </w:r>
          </w:p>
        </w:tc>
        <w:tc>
          <w:tcPr>
            <w:tcW w:w="1150" w:type="dxa"/>
            <w:tcBorders>
              <w:top w:val="nil"/>
              <w:left w:val="nil"/>
              <w:bottom w:val="single" w:sz="4" w:space="0" w:color="auto"/>
              <w:right w:val="single" w:sz="4" w:space="0" w:color="auto"/>
            </w:tcBorders>
            <w:shd w:val="clear" w:color="auto" w:fill="C6EFCE"/>
            <w:noWrap/>
          </w:tcPr>
          <w:p w14:paraId="1CDCE45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3" w:type="dxa"/>
            <w:tcBorders>
              <w:top w:val="nil"/>
              <w:left w:val="nil"/>
              <w:bottom w:val="single" w:sz="4" w:space="0" w:color="auto"/>
              <w:right w:val="single" w:sz="4" w:space="0" w:color="auto"/>
            </w:tcBorders>
            <w:shd w:val="clear" w:color="auto" w:fill="C6EFCE"/>
            <w:noWrap/>
          </w:tcPr>
          <w:p w14:paraId="612FB158" w14:textId="25A0240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právnych predpisov</w:t>
            </w:r>
            <w:r w:rsidR="00AB26B3" w:rsidRPr="00AB26B3">
              <w:rPr>
                <w:noProof/>
                <w:spacing w:val="-6"/>
                <w:lang w:val="sk-SK"/>
              </w:rPr>
              <w:t xml:space="preserve"> o </w:t>
            </w:r>
            <w:r w:rsidRPr="00AB26B3">
              <w:rPr>
                <w:noProof/>
                <w:spacing w:val="-6"/>
                <w:lang w:val="sk-SK"/>
              </w:rPr>
              <w:t>vnútornej kontrole</w:t>
            </w:r>
          </w:p>
        </w:tc>
        <w:tc>
          <w:tcPr>
            <w:tcW w:w="1534" w:type="dxa"/>
            <w:tcBorders>
              <w:top w:val="nil"/>
              <w:left w:val="nil"/>
              <w:bottom w:val="single" w:sz="4" w:space="0" w:color="auto"/>
              <w:right w:val="single" w:sz="4" w:space="0" w:color="auto"/>
            </w:tcBorders>
            <w:shd w:val="clear" w:color="auto" w:fill="C6EFCE"/>
            <w:noWrap/>
          </w:tcPr>
          <w:p w14:paraId="7DB36677" w14:textId="0DAB0D7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národného orgánu pre transparentnosť</w:t>
            </w:r>
            <w:r w:rsidR="00AB26B3" w:rsidRPr="00AB26B3">
              <w:rPr>
                <w:noProof/>
                <w:spacing w:val="-6"/>
                <w:lang w:val="sk-SK"/>
              </w:rPr>
              <w:t xml:space="preserve"> o </w:t>
            </w:r>
            <w:r w:rsidRPr="00AB26B3">
              <w:rPr>
                <w:noProof/>
                <w:spacing w:val="-6"/>
                <w:lang w:val="sk-SK"/>
              </w:rPr>
              <w:t>zavedených systémoch vnútornej kontroly</w:t>
            </w:r>
          </w:p>
          <w:p w14:paraId="666ED9D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Vydané regulačné akty</w:t>
            </w:r>
          </w:p>
          <w:p w14:paraId="45A7FBA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Vydané spoločné ministerské rozhodnutie </w:t>
            </w:r>
          </w:p>
        </w:tc>
        <w:tc>
          <w:tcPr>
            <w:tcW w:w="933" w:type="dxa"/>
            <w:tcBorders>
              <w:top w:val="nil"/>
              <w:left w:val="nil"/>
              <w:bottom w:val="single" w:sz="4" w:space="0" w:color="auto"/>
              <w:right w:val="single" w:sz="4" w:space="0" w:color="auto"/>
            </w:tcBorders>
            <w:shd w:val="clear" w:color="auto" w:fill="C6EFCE"/>
            <w:noWrap/>
          </w:tcPr>
          <w:p w14:paraId="586CFFE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68A1B4B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2" w:type="dxa"/>
            <w:tcBorders>
              <w:top w:val="nil"/>
              <w:left w:val="nil"/>
              <w:bottom w:val="single" w:sz="4" w:space="0" w:color="auto"/>
              <w:right w:val="single" w:sz="4" w:space="0" w:color="auto"/>
            </w:tcBorders>
            <w:shd w:val="clear" w:color="auto" w:fill="C6EFCE"/>
            <w:noWrap/>
          </w:tcPr>
          <w:p w14:paraId="1E9E464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nil"/>
              <w:left w:val="nil"/>
              <w:bottom w:val="single" w:sz="4" w:space="0" w:color="auto"/>
              <w:right w:val="single" w:sz="4" w:space="0" w:color="auto"/>
            </w:tcBorders>
            <w:shd w:val="clear" w:color="auto" w:fill="C6EFCE"/>
            <w:noWrap/>
          </w:tcPr>
          <w:p w14:paraId="38FB6A1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8" w:type="dxa"/>
            <w:tcBorders>
              <w:top w:val="nil"/>
              <w:left w:val="nil"/>
              <w:bottom w:val="single" w:sz="4" w:space="0" w:color="auto"/>
              <w:right w:val="single" w:sz="4" w:space="0" w:color="auto"/>
            </w:tcBorders>
            <w:shd w:val="clear" w:color="auto" w:fill="C6EFCE"/>
            <w:noWrap/>
          </w:tcPr>
          <w:p w14:paraId="20229D3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5110" w:type="dxa"/>
            <w:tcBorders>
              <w:top w:val="nil"/>
              <w:left w:val="nil"/>
              <w:bottom w:val="single" w:sz="4" w:space="0" w:color="auto"/>
              <w:right w:val="single" w:sz="4" w:space="0" w:color="auto"/>
            </w:tcBorders>
            <w:shd w:val="clear" w:color="auto" w:fill="C6EFCE"/>
            <w:noWrap/>
          </w:tcPr>
          <w:p w14:paraId="6AF66082" w14:textId="34AC4B1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nového zákona</w:t>
            </w:r>
            <w:r w:rsidR="00AB26B3" w:rsidRPr="00AB26B3">
              <w:rPr>
                <w:noProof/>
                <w:spacing w:val="-6"/>
                <w:lang w:val="sk-SK"/>
              </w:rPr>
              <w:t xml:space="preserve"> o </w:t>
            </w:r>
            <w:r w:rsidRPr="00AB26B3">
              <w:rPr>
                <w:noProof/>
                <w:spacing w:val="-6"/>
                <w:lang w:val="sk-SK"/>
              </w:rPr>
              <w:t>vnútornej kontrole vo verejnej správe vrátane: I) zriadenie oddelení vnútorného auditu na príslušných ministerstvách; II) vydávanie regulačných aktov na zriadenie útvarov vnútorného auditu</w:t>
            </w:r>
            <w:r w:rsidR="00AB26B3" w:rsidRPr="00AB26B3">
              <w:rPr>
                <w:noProof/>
                <w:spacing w:val="-6"/>
                <w:lang w:val="sk-SK"/>
              </w:rPr>
              <w:t xml:space="preserve"> a </w:t>
            </w:r>
            <w:r w:rsidRPr="00AB26B3">
              <w:rPr>
                <w:noProof/>
                <w:spacing w:val="-6"/>
                <w:lang w:val="sk-SK"/>
              </w:rPr>
              <w:t>výborov pre audit</w:t>
            </w:r>
            <w:r w:rsidR="00AB26B3" w:rsidRPr="00AB26B3">
              <w:rPr>
                <w:noProof/>
                <w:spacing w:val="-6"/>
                <w:lang w:val="sk-SK"/>
              </w:rPr>
              <w:t xml:space="preserve"> v </w:t>
            </w:r>
            <w:r w:rsidRPr="00AB26B3">
              <w:rPr>
                <w:noProof/>
                <w:spacing w:val="-6"/>
                <w:lang w:val="sk-SK"/>
              </w:rPr>
              <w:t>subjektoch miestnej samosprávy (štvrtý a</w:t>
            </w:r>
            <w:r w:rsidRPr="00AB26B3">
              <w:rPr>
                <w:noProof/>
                <w:spacing w:val="-6"/>
                <w:vertAlign w:val="superscript"/>
                <w:lang w:val="sk-SK"/>
              </w:rPr>
              <w:t>druhý</w:t>
            </w:r>
            <w:r w:rsidRPr="00AB26B3">
              <w:rPr>
                <w:noProof/>
                <w:spacing w:val="-6"/>
                <w:lang w:val="sk-SK"/>
              </w:rPr>
              <w:t xml:space="preserve"> </w:t>
            </w:r>
            <w:r w:rsidRPr="00AB26B3">
              <w:rPr>
                <w:noProof/>
                <w:spacing w:val="-6"/>
                <w:vertAlign w:val="superscript"/>
                <w:lang w:val="sk-SK"/>
              </w:rPr>
              <w:t>stupeň</w:t>
            </w:r>
            <w:r w:rsidRPr="00AB26B3">
              <w:rPr>
                <w:noProof/>
                <w:spacing w:val="-6"/>
                <w:lang w:val="sk-SK"/>
              </w:rPr>
              <w:t>), na univerzitách,</w:t>
            </w:r>
            <w:r w:rsidR="00AB26B3" w:rsidRPr="00AB26B3">
              <w:rPr>
                <w:noProof/>
                <w:spacing w:val="-6"/>
                <w:lang w:val="sk-SK"/>
              </w:rPr>
              <w:t xml:space="preserve"> v </w:t>
            </w:r>
            <w:r w:rsidRPr="00AB26B3">
              <w:rPr>
                <w:noProof/>
                <w:spacing w:val="-6"/>
                <w:lang w:val="sk-SK"/>
              </w:rPr>
              <w:t>nemocniciach – zdravotníckych jednotkách, nezávislých orgánoch</w:t>
            </w:r>
            <w:r w:rsidR="00AB26B3" w:rsidRPr="00AB26B3">
              <w:rPr>
                <w:noProof/>
                <w:spacing w:val="-6"/>
                <w:lang w:val="sk-SK"/>
              </w:rPr>
              <w:t xml:space="preserve"> a </w:t>
            </w:r>
            <w:r w:rsidRPr="00AB26B3">
              <w:rPr>
                <w:noProof/>
                <w:spacing w:val="-6"/>
                <w:lang w:val="sk-SK"/>
              </w:rPr>
              <w:t>právnych subjektoch subjektov miestnej samosprávy; III) vydanie spoločného ministerského rozhodnutia, ktorým sa stanovia kritériá spolupráce útvarov vnútorného auditu</w:t>
            </w:r>
            <w:r w:rsidR="00AB26B3" w:rsidRPr="00AB26B3">
              <w:rPr>
                <w:noProof/>
                <w:spacing w:val="-6"/>
                <w:lang w:val="sk-SK"/>
              </w:rPr>
              <w:t xml:space="preserve"> s </w:t>
            </w:r>
            <w:r w:rsidRPr="00AB26B3">
              <w:rPr>
                <w:noProof/>
                <w:spacing w:val="-6"/>
                <w:lang w:val="sk-SK"/>
              </w:rPr>
              <w:t>externými odborníkmi.</w:t>
            </w:r>
          </w:p>
          <w:p w14:paraId="08E13C0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3C8F2D2" w14:textId="5227FA7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Národný orgán pre transparentnosť</w:t>
            </w:r>
            <w:r w:rsidR="00AB26B3" w:rsidRPr="00AB26B3">
              <w:rPr>
                <w:noProof/>
                <w:spacing w:val="-6"/>
                <w:lang w:val="sk-SK"/>
              </w:rPr>
              <w:t xml:space="preserve"> v </w:t>
            </w:r>
            <w:r w:rsidRPr="00AB26B3">
              <w:rPr>
                <w:noProof/>
                <w:spacing w:val="-6"/>
                <w:lang w:val="sk-SK"/>
              </w:rPr>
              <w:t>spolupráci</w:t>
            </w:r>
            <w:r w:rsidR="00AB26B3" w:rsidRPr="00AB26B3">
              <w:rPr>
                <w:noProof/>
                <w:spacing w:val="-6"/>
                <w:lang w:val="sk-SK"/>
              </w:rPr>
              <w:t xml:space="preserve"> s </w:t>
            </w:r>
            <w:r w:rsidRPr="00AB26B3">
              <w:rPr>
                <w:noProof/>
                <w:spacing w:val="-6"/>
                <w:lang w:val="sk-SK"/>
              </w:rPr>
              <w:t>ministerstvom vnútra poskytuje dohľad</w:t>
            </w:r>
            <w:r w:rsidR="00AB26B3" w:rsidRPr="00AB26B3">
              <w:rPr>
                <w:noProof/>
                <w:spacing w:val="-6"/>
                <w:lang w:val="sk-SK"/>
              </w:rPr>
              <w:t xml:space="preserve"> a </w:t>
            </w:r>
            <w:r w:rsidRPr="00AB26B3">
              <w:rPr>
                <w:noProof/>
                <w:spacing w:val="-6"/>
                <w:lang w:val="sk-SK"/>
              </w:rPr>
              <w:t>usmernenia subjektom verejnej správy</w:t>
            </w:r>
            <w:r w:rsidR="00AB26B3" w:rsidRPr="00AB26B3">
              <w:rPr>
                <w:noProof/>
                <w:spacing w:val="-6"/>
                <w:lang w:val="sk-SK"/>
              </w:rPr>
              <w:t xml:space="preserve"> s </w:t>
            </w:r>
            <w:r w:rsidRPr="00AB26B3">
              <w:rPr>
                <w:noProof/>
                <w:spacing w:val="-6"/>
                <w:lang w:val="sk-SK"/>
              </w:rPr>
              <w:t>cieľom zaviesť súdržný</w:t>
            </w:r>
            <w:r w:rsidR="00AB26B3" w:rsidRPr="00AB26B3">
              <w:rPr>
                <w:noProof/>
                <w:spacing w:val="-6"/>
                <w:lang w:val="sk-SK"/>
              </w:rPr>
              <w:t xml:space="preserve"> a </w:t>
            </w:r>
            <w:r w:rsidRPr="00AB26B3">
              <w:rPr>
                <w:noProof/>
                <w:spacing w:val="-6"/>
                <w:lang w:val="sk-SK"/>
              </w:rPr>
              <w:t>fungujúci systém vnútornej kontroly. Národný orgán pre transparentnosť uľahčí pilotné sebahodnotenie týkajúce sa základných prvkov systému vnútornej kontroly. Grécky dvor audítorov zahrnul do svojho ročného pracovného plánu audity na posúdenie mechanizmov vnútornej kontroly</w:t>
            </w:r>
            <w:r w:rsidR="00AB26B3" w:rsidRPr="00AB26B3">
              <w:rPr>
                <w:noProof/>
                <w:spacing w:val="-6"/>
                <w:lang w:val="sk-SK"/>
              </w:rPr>
              <w:t xml:space="preserve"> v </w:t>
            </w:r>
            <w:r w:rsidRPr="00AB26B3">
              <w:rPr>
                <w:noProof/>
                <w:spacing w:val="-6"/>
                <w:lang w:val="sk-SK"/>
              </w:rPr>
              <w:t xml:space="preserve">rámci subjektov verejnej správy. </w:t>
            </w:r>
          </w:p>
        </w:tc>
      </w:tr>
      <w:tr w:rsidR="00302FC1" w:rsidRPr="00AB26B3" w14:paraId="1D1C8885" w14:textId="77777777">
        <w:trPr>
          <w:trHeight w:val="313"/>
          <w:jc w:val="center"/>
        </w:trPr>
        <w:tc>
          <w:tcPr>
            <w:tcW w:w="666" w:type="dxa"/>
            <w:tcBorders>
              <w:top w:val="nil"/>
              <w:left w:val="single" w:sz="4" w:space="0" w:color="auto"/>
              <w:bottom w:val="single" w:sz="4" w:space="0" w:color="auto"/>
              <w:right w:val="single" w:sz="4" w:space="0" w:color="auto"/>
            </w:tcBorders>
            <w:shd w:val="clear" w:color="auto" w:fill="C6EFCE"/>
            <w:noWrap/>
          </w:tcPr>
          <w:p w14:paraId="2FC4AFCA" w14:textId="77777777" w:rsidR="00302FC1" w:rsidRPr="00AB26B3" w:rsidRDefault="00D64F26">
            <w:pPr>
              <w:pStyle w:val="P68B1DB1-Normal12"/>
              <w:spacing w:after="0" w:line="240" w:lineRule="auto"/>
              <w:rPr>
                <w:noProof/>
                <w:spacing w:val="-6"/>
                <w:lang w:val="sk-SK"/>
              </w:rPr>
            </w:pPr>
            <w:r w:rsidRPr="00AB26B3">
              <w:rPr>
                <w:noProof/>
                <w:spacing w:val="-6"/>
                <w:lang w:val="sk-SK"/>
              </w:rPr>
              <w:t>211a</w:t>
            </w:r>
          </w:p>
        </w:tc>
        <w:tc>
          <w:tcPr>
            <w:tcW w:w="1974" w:type="dxa"/>
            <w:tcBorders>
              <w:top w:val="nil"/>
              <w:left w:val="nil"/>
              <w:bottom w:val="single" w:sz="4" w:space="0" w:color="auto"/>
              <w:right w:val="single" w:sz="4" w:space="0" w:color="auto"/>
            </w:tcBorders>
            <w:shd w:val="clear" w:color="auto" w:fill="C6EFCE"/>
            <w:noWrap/>
          </w:tcPr>
          <w:p w14:paraId="2798B5E5" w14:textId="66E43108" w:rsidR="00302FC1" w:rsidRPr="00AB26B3" w:rsidRDefault="00D64F26">
            <w:pPr>
              <w:pStyle w:val="P68B1DB1-Normal12"/>
              <w:spacing w:after="0" w:line="240" w:lineRule="auto"/>
              <w:rPr>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16952_Posilnenie národného protikorupčného rámca prostredníctvom cielených intervencií</w:t>
            </w:r>
            <w:r w:rsidR="00AB26B3" w:rsidRPr="00AB26B3">
              <w:rPr>
                <w:noProof/>
                <w:spacing w:val="-6"/>
                <w:lang w:val="sk-SK"/>
              </w:rPr>
              <w:t xml:space="preserve"> v </w:t>
            </w:r>
            <w:r w:rsidRPr="00AB26B3">
              <w:rPr>
                <w:noProof/>
                <w:spacing w:val="-6"/>
                <w:lang w:val="sk-SK"/>
              </w:rPr>
              <w:t>oblasti odhaľovania, prevencie</w:t>
            </w:r>
            <w:r w:rsidR="00AB26B3" w:rsidRPr="00AB26B3">
              <w:rPr>
                <w:noProof/>
                <w:spacing w:val="-6"/>
                <w:lang w:val="sk-SK"/>
              </w:rPr>
              <w:t xml:space="preserve"> a </w:t>
            </w:r>
            <w:r w:rsidRPr="00AB26B3">
              <w:rPr>
                <w:noProof/>
                <w:spacing w:val="-6"/>
                <w:lang w:val="sk-SK"/>
              </w:rPr>
              <w:t>zvyšovania informovanosti</w:t>
            </w:r>
          </w:p>
        </w:tc>
        <w:tc>
          <w:tcPr>
            <w:tcW w:w="1150" w:type="dxa"/>
            <w:tcBorders>
              <w:top w:val="nil"/>
              <w:left w:val="nil"/>
              <w:bottom w:val="single" w:sz="4" w:space="0" w:color="auto"/>
              <w:right w:val="single" w:sz="4" w:space="0" w:color="auto"/>
            </w:tcBorders>
            <w:shd w:val="clear" w:color="auto" w:fill="C6EFCE"/>
            <w:noWrap/>
          </w:tcPr>
          <w:p w14:paraId="2886E00B"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393" w:type="dxa"/>
            <w:tcBorders>
              <w:top w:val="nil"/>
              <w:left w:val="nil"/>
              <w:bottom w:val="single" w:sz="4" w:space="0" w:color="auto"/>
              <w:right w:val="single" w:sz="4" w:space="0" w:color="auto"/>
            </w:tcBorders>
            <w:shd w:val="clear" w:color="auto" w:fill="C6EFCE"/>
            <w:noWrap/>
          </w:tcPr>
          <w:p w14:paraId="594DD545" w14:textId="5751AFD0" w:rsidR="00302FC1" w:rsidRPr="00AB26B3" w:rsidRDefault="00D64F26">
            <w:pPr>
              <w:pStyle w:val="P68B1DB1-Normal12"/>
              <w:spacing w:after="0" w:line="240" w:lineRule="auto"/>
              <w:rPr>
                <w:noProof/>
                <w:spacing w:val="-6"/>
                <w:lang w:val="sk-SK"/>
              </w:rPr>
            </w:pPr>
            <w:r w:rsidRPr="00AB26B3">
              <w:rPr>
                <w:noProof/>
                <w:spacing w:val="-6"/>
                <w:lang w:val="sk-SK"/>
              </w:rPr>
              <w:t>Realizácia investičných projektov na podporu digitálnych</w:t>
            </w:r>
            <w:r w:rsidR="00AB26B3" w:rsidRPr="00AB26B3">
              <w:rPr>
                <w:noProof/>
                <w:spacing w:val="-6"/>
                <w:lang w:val="sk-SK"/>
              </w:rPr>
              <w:t xml:space="preserve"> a </w:t>
            </w:r>
            <w:r w:rsidRPr="00AB26B3">
              <w:rPr>
                <w:noProof/>
                <w:spacing w:val="-6"/>
                <w:lang w:val="sk-SK"/>
              </w:rPr>
              <w:t>infraštruktúrnych kapacít národného orgánu pre transparentnosť</w:t>
            </w:r>
          </w:p>
        </w:tc>
        <w:tc>
          <w:tcPr>
            <w:tcW w:w="1534" w:type="dxa"/>
            <w:tcBorders>
              <w:top w:val="nil"/>
              <w:left w:val="nil"/>
              <w:bottom w:val="single" w:sz="4" w:space="0" w:color="auto"/>
              <w:right w:val="single" w:sz="4" w:space="0" w:color="auto"/>
            </w:tcBorders>
            <w:shd w:val="clear" w:color="auto" w:fill="C6EFCE"/>
            <w:noWrap/>
          </w:tcPr>
          <w:p w14:paraId="19FB98A7" w14:textId="741E9734" w:rsidR="00302FC1" w:rsidRPr="00AB26B3" w:rsidRDefault="00D64F26">
            <w:pPr>
              <w:pStyle w:val="P68B1DB1-Normal12"/>
              <w:spacing w:after="0" w:line="240" w:lineRule="auto"/>
              <w:rPr>
                <w:noProof/>
                <w:spacing w:val="-6"/>
                <w:lang w:val="sk-SK"/>
              </w:rPr>
            </w:pPr>
            <w:r w:rsidRPr="00AB26B3">
              <w:rPr>
                <w:noProof/>
                <w:spacing w:val="-6"/>
                <w:lang w:val="sk-SK"/>
              </w:rPr>
              <w:t>Realizácia investičných projektov na podporu digitálnych</w:t>
            </w:r>
            <w:r w:rsidR="00AB26B3" w:rsidRPr="00AB26B3">
              <w:rPr>
                <w:noProof/>
                <w:spacing w:val="-6"/>
                <w:lang w:val="sk-SK"/>
              </w:rPr>
              <w:t xml:space="preserve"> a </w:t>
            </w:r>
            <w:r w:rsidRPr="00AB26B3">
              <w:rPr>
                <w:noProof/>
                <w:spacing w:val="-6"/>
                <w:lang w:val="sk-SK"/>
              </w:rPr>
              <w:t>infraštruktúrnych kapacít národného orgánu pre transparentnosť</w:t>
            </w:r>
          </w:p>
        </w:tc>
        <w:tc>
          <w:tcPr>
            <w:tcW w:w="933" w:type="dxa"/>
            <w:tcBorders>
              <w:top w:val="nil"/>
              <w:left w:val="nil"/>
              <w:bottom w:val="single" w:sz="4" w:space="0" w:color="auto"/>
              <w:right w:val="single" w:sz="4" w:space="0" w:color="auto"/>
            </w:tcBorders>
            <w:shd w:val="clear" w:color="auto" w:fill="C6EFCE"/>
            <w:noWrap/>
          </w:tcPr>
          <w:p w14:paraId="641BF75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1FEB9E3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2" w:type="dxa"/>
            <w:tcBorders>
              <w:top w:val="nil"/>
              <w:left w:val="nil"/>
              <w:bottom w:val="single" w:sz="4" w:space="0" w:color="auto"/>
              <w:right w:val="single" w:sz="4" w:space="0" w:color="auto"/>
            </w:tcBorders>
            <w:shd w:val="clear" w:color="auto" w:fill="C6EFCE"/>
            <w:noWrap/>
          </w:tcPr>
          <w:p w14:paraId="2D20876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nil"/>
              <w:left w:val="nil"/>
              <w:bottom w:val="single" w:sz="4" w:space="0" w:color="auto"/>
              <w:right w:val="single" w:sz="4" w:space="0" w:color="auto"/>
            </w:tcBorders>
            <w:shd w:val="clear" w:color="auto" w:fill="C6EFCE"/>
            <w:noWrap/>
          </w:tcPr>
          <w:p w14:paraId="53F67C50"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08" w:type="dxa"/>
            <w:tcBorders>
              <w:top w:val="nil"/>
              <w:left w:val="nil"/>
              <w:bottom w:val="single" w:sz="4" w:space="0" w:color="auto"/>
              <w:right w:val="single" w:sz="4" w:space="0" w:color="auto"/>
            </w:tcBorders>
            <w:shd w:val="clear" w:color="auto" w:fill="C6EFCE"/>
            <w:noWrap/>
          </w:tcPr>
          <w:p w14:paraId="320BEE5E"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5110" w:type="dxa"/>
            <w:tcBorders>
              <w:top w:val="nil"/>
              <w:left w:val="nil"/>
              <w:bottom w:val="single" w:sz="4" w:space="0" w:color="auto"/>
              <w:right w:val="single" w:sz="4" w:space="0" w:color="auto"/>
            </w:tcBorders>
            <w:shd w:val="clear" w:color="auto" w:fill="C6EFCE"/>
            <w:noWrap/>
          </w:tcPr>
          <w:p w14:paraId="0EC455CE" w14:textId="7159C2CF" w:rsidR="00302FC1" w:rsidRPr="00AB26B3" w:rsidRDefault="00D64F26">
            <w:pPr>
              <w:pStyle w:val="P68B1DB1-Normal12"/>
              <w:spacing w:after="0" w:line="240" w:lineRule="auto"/>
              <w:rPr>
                <w:noProof/>
                <w:spacing w:val="-6"/>
                <w:lang w:val="sk-SK"/>
              </w:rPr>
            </w:pPr>
            <w:r w:rsidRPr="00AB26B3">
              <w:rPr>
                <w:noProof/>
                <w:spacing w:val="-6"/>
                <w:lang w:val="sk-SK"/>
              </w:rPr>
              <w:t>Realizácia investičných projektov na podporu digitálnych</w:t>
            </w:r>
            <w:r w:rsidR="00AB26B3" w:rsidRPr="00AB26B3">
              <w:rPr>
                <w:noProof/>
                <w:spacing w:val="-6"/>
                <w:lang w:val="sk-SK"/>
              </w:rPr>
              <w:t xml:space="preserve"> a </w:t>
            </w:r>
            <w:r w:rsidRPr="00AB26B3">
              <w:rPr>
                <w:noProof/>
                <w:spacing w:val="-6"/>
                <w:lang w:val="sk-SK"/>
              </w:rPr>
              <w:t>infraštruktúrnych kapacít národného orgánu pre transparentnosť.</w:t>
            </w:r>
          </w:p>
        </w:tc>
      </w:tr>
      <w:tr w:rsidR="00302FC1" w:rsidRPr="00AB26B3" w14:paraId="27964A15" w14:textId="77777777">
        <w:trPr>
          <w:trHeight w:val="313"/>
          <w:jc w:val="center"/>
        </w:trPr>
        <w:tc>
          <w:tcPr>
            <w:tcW w:w="666" w:type="dxa"/>
            <w:tcBorders>
              <w:top w:val="nil"/>
              <w:left w:val="single" w:sz="4" w:space="0" w:color="auto"/>
              <w:bottom w:val="single" w:sz="4" w:space="0" w:color="auto"/>
              <w:right w:val="single" w:sz="4" w:space="0" w:color="auto"/>
            </w:tcBorders>
            <w:shd w:val="clear" w:color="auto" w:fill="C6EFCE"/>
            <w:noWrap/>
          </w:tcPr>
          <w:p w14:paraId="6AAE112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212</w:t>
            </w:r>
          </w:p>
        </w:tc>
        <w:tc>
          <w:tcPr>
            <w:tcW w:w="1974" w:type="dxa"/>
            <w:tcBorders>
              <w:top w:val="nil"/>
              <w:left w:val="nil"/>
              <w:bottom w:val="single" w:sz="4" w:space="0" w:color="auto"/>
              <w:right w:val="single" w:sz="4" w:space="0" w:color="auto"/>
            </w:tcBorders>
            <w:shd w:val="clear" w:color="auto" w:fill="C6EFCE"/>
            <w:noWrap/>
          </w:tcPr>
          <w:p w14:paraId="32D435BF" w14:textId="4DD912B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16702_Posilnenie rámca boja proti praniu špinavých peňazí</w:t>
            </w:r>
            <w:r w:rsidR="00AB26B3" w:rsidRPr="00AB26B3">
              <w:rPr>
                <w:noProof/>
                <w:spacing w:val="-6"/>
                <w:lang w:val="sk-SK"/>
              </w:rPr>
              <w:t xml:space="preserve"> a </w:t>
            </w:r>
            <w:r w:rsidRPr="00AB26B3">
              <w:rPr>
                <w:noProof/>
                <w:spacing w:val="-6"/>
                <w:lang w:val="sk-SK"/>
              </w:rPr>
              <w:t>financovaniu terorizmu</w:t>
            </w:r>
          </w:p>
        </w:tc>
        <w:tc>
          <w:tcPr>
            <w:tcW w:w="1150" w:type="dxa"/>
            <w:tcBorders>
              <w:top w:val="nil"/>
              <w:left w:val="nil"/>
              <w:bottom w:val="single" w:sz="4" w:space="0" w:color="auto"/>
              <w:right w:val="single" w:sz="4" w:space="0" w:color="auto"/>
            </w:tcBorders>
            <w:shd w:val="clear" w:color="auto" w:fill="C6EFCE"/>
            <w:noWrap/>
          </w:tcPr>
          <w:p w14:paraId="121EA58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3" w:type="dxa"/>
            <w:tcBorders>
              <w:top w:val="nil"/>
              <w:left w:val="nil"/>
              <w:bottom w:val="single" w:sz="4" w:space="0" w:color="auto"/>
              <w:right w:val="single" w:sz="4" w:space="0" w:color="auto"/>
            </w:tcBorders>
            <w:shd w:val="clear" w:color="auto" w:fill="C6EFCE"/>
            <w:noWrap/>
          </w:tcPr>
          <w:p w14:paraId="3CC1B870" w14:textId="441F5CB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Posilnený rámec boja proti praniu špinavých peňazí</w:t>
            </w:r>
            <w:r w:rsidR="00AB26B3" w:rsidRPr="00AB26B3">
              <w:rPr>
                <w:noProof/>
                <w:spacing w:val="-6"/>
                <w:lang w:val="sk-SK"/>
              </w:rPr>
              <w:t xml:space="preserve"> a </w:t>
            </w:r>
            <w:r w:rsidRPr="00AB26B3">
              <w:rPr>
                <w:noProof/>
                <w:spacing w:val="-6"/>
                <w:lang w:val="sk-SK"/>
              </w:rPr>
              <w:t>financovaniu terorizmu</w:t>
            </w:r>
          </w:p>
        </w:tc>
        <w:tc>
          <w:tcPr>
            <w:tcW w:w="1534" w:type="dxa"/>
            <w:tcBorders>
              <w:top w:val="nil"/>
              <w:left w:val="nil"/>
              <w:bottom w:val="single" w:sz="4" w:space="0" w:color="auto"/>
              <w:right w:val="single" w:sz="4" w:space="0" w:color="auto"/>
            </w:tcBorders>
            <w:shd w:val="clear" w:color="auto" w:fill="C6EFCE"/>
            <w:noWrap/>
          </w:tcPr>
          <w:p w14:paraId="6ECD6C96" w14:textId="1EB833A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Spustená platforma na zber štatistických údajov; dokončené zlepšenia</w:t>
            </w:r>
            <w:r w:rsidR="00AB26B3" w:rsidRPr="00AB26B3">
              <w:rPr>
                <w:noProof/>
                <w:spacing w:val="-6"/>
                <w:lang w:val="sk-SK"/>
              </w:rPr>
              <w:t xml:space="preserve"> v </w:t>
            </w:r>
            <w:r w:rsidRPr="00AB26B3">
              <w:rPr>
                <w:noProof/>
                <w:spacing w:val="-6"/>
                <w:lang w:val="sk-SK"/>
              </w:rPr>
              <w:t>osobitnom registri konečných užívateľov výhod</w:t>
            </w:r>
          </w:p>
        </w:tc>
        <w:tc>
          <w:tcPr>
            <w:tcW w:w="933" w:type="dxa"/>
            <w:tcBorders>
              <w:top w:val="nil"/>
              <w:left w:val="nil"/>
              <w:bottom w:val="single" w:sz="4" w:space="0" w:color="auto"/>
              <w:right w:val="single" w:sz="4" w:space="0" w:color="auto"/>
            </w:tcBorders>
            <w:shd w:val="clear" w:color="auto" w:fill="C6EFCE"/>
            <w:noWrap/>
          </w:tcPr>
          <w:p w14:paraId="59CBB6C5" w14:textId="77777777" w:rsidR="00302FC1" w:rsidRPr="00AB26B3" w:rsidRDefault="00D64F26">
            <w:pPr>
              <w:pStyle w:val="P68B1DB1-Normal15"/>
              <w:spacing w:after="0" w:line="240" w:lineRule="auto"/>
              <w:rPr>
                <w:rFonts w:eastAsia="Times New Roman"/>
                <w:noProof/>
                <w:color w:val="006100"/>
                <w:spacing w:val="-6"/>
                <w:lang w:val="sk-SK"/>
              </w:rPr>
            </w:pPr>
            <w:r w:rsidRPr="00AB26B3">
              <w:rPr>
                <w:noProof/>
                <w:spacing w:val="-6"/>
                <w:lang w:val="sk-SK"/>
              </w:rPr>
              <w:t xml:space="preserve"> </w:t>
            </w:r>
          </w:p>
        </w:tc>
        <w:tc>
          <w:tcPr>
            <w:tcW w:w="857" w:type="dxa"/>
            <w:tcBorders>
              <w:top w:val="nil"/>
              <w:left w:val="nil"/>
              <w:bottom w:val="single" w:sz="4" w:space="0" w:color="auto"/>
              <w:right w:val="single" w:sz="4" w:space="0" w:color="auto"/>
            </w:tcBorders>
            <w:shd w:val="clear" w:color="auto" w:fill="C6EFCE"/>
            <w:noWrap/>
          </w:tcPr>
          <w:p w14:paraId="772F7C34" w14:textId="77777777" w:rsidR="00302FC1" w:rsidRPr="00AB26B3" w:rsidRDefault="00D64F26">
            <w:pPr>
              <w:pStyle w:val="P68B1DB1-Normal15"/>
              <w:spacing w:after="0" w:line="240" w:lineRule="auto"/>
              <w:rPr>
                <w:rFonts w:eastAsia="Times New Roman"/>
                <w:noProof/>
                <w:color w:val="006100"/>
                <w:spacing w:val="-6"/>
                <w:lang w:val="sk-SK"/>
              </w:rPr>
            </w:pPr>
            <w:r w:rsidRPr="00AB26B3">
              <w:rPr>
                <w:noProof/>
                <w:spacing w:val="-6"/>
                <w:lang w:val="sk-SK"/>
              </w:rPr>
              <w:t xml:space="preserve"> </w:t>
            </w:r>
          </w:p>
        </w:tc>
        <w:tc>
          <w:tcPr>
            <w:tcW w:w="702" w:type="dxa"/>
            <w:tcBorders>
              <w:top w:val="nil"/>
              <w:left w:val="nil"/>
              <w:bottom w:val="single" w:sz="4" w:space="0" w:color="auto"/>
              <w:right w:val="single" w:sz="4" w:space="0" w:color="auto"/>
            </w:tcBorders>
            <w:shd w:val="clear" w:color="auto" w:fill="C6EFCE"/>
            <w:noWrap/>
          </w:tcPr>
          <w:p w14:paraId="73BCD28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nil"/>
              <w:left w:val="nil"/>
              <w:bottom w:val="single" w:sz="4" w:space="0" w:color="auto"/>
              <w:right w:val="single" w:sz="4" w:space="0" w:color="auto"/>
            </w:tcBorders>
            <w:shd w:val="clear" w:color="auto" w:fill="C6EFCE"/>
            <w:noWrap/>
          </w:tcPr>
          <w:p w14:paraId="2DE52D6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nil"/>
              <w:left w:val="nil"/>
              <w:bottom w:val="single" w:sz="4" w:space="0" w:color="auto"/>
              <w:right w:val="single" w:sz="4" w:space="0" w:color="auto"/>
            </w:tcBorders>
            <w:shd w:val="clear" w:color="auto" w:fill="C6EFCE"/>
            <w:noWrap/>
          </w:tcPr>
          <w:p w14:paraId="4C0CAB3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5110" w:type="dxa"/>
            <w:tcBorders>
              <w:top w:val="nil"/>
              <w:left w:val="nil"/>
              <w:bottom w:val="single" w:sz="4" w:space="0" w:color="auto"/>
              <w:right w:val="single" w:sz="4" w:space="0" w:color="auto"/>
            </w:tcBorders>
            <w:shd w:val="clear" w:color="auto" w:fill="C6EFCE"/>
            <w:noWrap/>
          </w:tcPr>
          <w:p w14:paraId="1D10C65B" w14:textId="3EEE145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 Spustenie platformy na zber štatistických údajov, ktoré majú</w:t>
            </w:r>
            <w:r w:rsidR="00AB26B3" w:rsidRPr="00AB26B3">
              <w:rPr>
                <w:noProof/>
                <w:spacing w:val="-6"/>
                <w:lang w:val="sk-SK"/>
              </w:rPr>
              <w:t xml:space="preserve"> k </w:t>
            </w:r>
            <w:r w:rsidRPr="00AB26B3">
              <w:rPr>
                <w:noProof/>
                <w:spacing w:val="-6"/>
                <w:lang w:val="sk-SK"/>
              </w:rPr>
              <w:t>dispozícii príslušné vnútroštátne orgány (t. j. justičné orgány, orgány dohľadu</w:t>
            </w:r>
            <w:r w:rsidR="00AB26B3" w:rsidRPr="00AB26B3">
              <w:rPr>
                <w:noProof/>
                <w:spacing w:val="-6"/>
                <w:lang w:val="sk-SK"/>
              </w:rPr>
              <w:t xml:space="preserve"> a </w:t>
            </w:r>
            <w:r w:rsidRPr="00AB26B3">
              <w:rPr>
                <w:noProof/>
                <w:spacing w:val="-6"/>
                <w:lang w:val="sk-SK"/>
              </w:rPr>
              <w:t>orgány presadzovania práva); II) zlepšenie centrálneho registra konečných užívateľov výhod</w:t>
            </w:r>
            <w:r w:rsidR="00AB26B3" w:rsidRPr="00AB26B3">
              <w:rPr>
                <w:noProof/>
                <w:spacing w:val="-6"/>
                <w:lang w:val="sk-SK"/>
              </w:rPr>
              <w:t xml:space="preserve"> s </w:t>
            </w:r>
            <w:r w:rsidRPr="00AB26B3">
              <w:rPr>
                <w:noProof/>
                <w:spacing w:val="-6"/>
                <w:lang w:val="sk-SK"/>
              </w:rPr>
              <w:t>cieľom uľahčiť príslušným orgánom priamy prístup</w:t>
            </w:r>
            <w:r w:rsidR="00AB26B3" w:rsidRPr="00AB26B3">
              <w:rPr>
                <w:noProof/>
                <w:spacing w:val="-6"/>
                <w:lang w:val="sk-SK"/>
              </w:rPr>
              <w:t xml:space="preserve"> k </w:t>
            </w:r>
            <w:r w:rsidRPr="00AB26B3">
              <w:rPr>
                <w:noProof/>
                <w:spacing w:val="-6"/>
                <w:lang w:val="sk-SK"/>
              </w:rPr>
              <w:t>takýmto informáciám; III) prepojenie centrálneho registra konečných užívateľov výhod</w:t>
            </w:r>
            <w:r w:rsidR="00AB26B3" w:rsidRPr="00AB26B3">
              <w:rPr>
                <w:noProof/>
                <w:spacing w:val="-6"/>
                <w:lang w:val="sk-SK"/>
              </w:rPr>
              <w:t xml:space="preserve"> s </w:t>
            </w:r>
            <w:r w:rsidRPr="00AB26B3">
              <w:rPr>
                <w:noProof/>
                <w:spacing w:val="-6"/>
                <w:lang w:val="sk-SK"/>
              </w:rPr>
              <w:t>príslušnými registrami členských štátov EÚ prostredníctvom príslušnej platformy EÚ.</w:t>
            </w:r>
          </w:p>
        </w:tc>
      </w:tr>
      <w:tr w:rsidR="00302FC1" w:rsidRPr="00AB26B3" w14:paraId="5228F66F" w14:textId="77777777">
        <w:trPr>
          <w:trHeight w:val="313"/>
          <w:jc w:val="center"/>
        </w:trPr>
        <w:tc>
          <w:tcPr>
            <w:tcW w:w="666" w:type="dxa"/>
            <w:tcBorders>
              <w:top w:val="nil"/>
              <w:left w:val="single" w:sz="4" w:space="0" w:color="auto"/>
              <w:bottom w:val="single" w:sz="4" w:space="0" w:color="auto"/>
              <w:right w:val="single" w:sz="4" w:space="0" w:color="auto"/>
            </w:tcBorders>
            <w:shd w:val="clear" w:color="auto" w:fill="C6EFCE"/>
            <w:noWrap/>
          </w:tcPr>
          <w:p w14:paraId="4BA4C3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213</w:t>
            </w:r>
          </w:p>
        </w:tc>
        <w:tc>
          <w:tcPr>
            <w:tcW w:w="1974" w:type="dxa"/>
            <w:tcBorders>
              <w:top w:val="nil"/>
              <w:left w:val="nil"/>
              <w:bottom w:val="single" w:sz="4" w:space="0" w:color="auto"/>
              <w:right w:val="single" w:sz="4" w:space="0" w:color="auto"/>
            </w:tcBorders>
            <w:shd w:val="clear" w:color="auto" w:fill="C6EFCE"/>
            <w:noWrap/>
          </w:tcPr>
          <w:p w14:paraId="0AFB1D5A" w14:textId="7471113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16703_Boj proti nezákonnému obchodu</w:t>
            </w:r>
            <w:r w:rsidR="00AB26B3" w:rsidRPr="00AB26B3">
              <w:rPr>
                <w:noProof/>
                <w:spacing w:val="-6"/>
                <w:lang w:val="sk-SK"/>
              </w:rPr>
              <w:t xml:space="preserve"> a </w:t>
            </w:r>
            <w:r w:rsidRPr="00AB26B3">
              <w:rPr>
                <w:noProof/>
                <w:spacing w:val="-6"/>
                <w:lang w:val="sk-SK"/>
              </w:rPr>
              <w:t>ochrana duševného vlastníctva</w:t>
            </w:r>
          </w:p>
        </w:tc>
        <w:tc>
          <w:tcPr>
            <w:tcW w:w="1150" w:type="dxa"/>
            <w:tcBorders>
              <w:top w:val="nil"/>
              <w:left w:val="nil"/>
              <w:bottom w:val="single" w:sz="4" w:space="0" w:color="auto"/>
              <w:right w:val="single" w:sz="4" w:space="0" w:color="auto"/>
            </w:tcBorders>
            <w:shd w:val="clear" w:color="auto" w:fill="C6EFCE"/>
            <w:noWrap/>
          </w:tcPr>
          <w:p w14:paraId="5EA1C9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3" w:type="dxa"/>
            <w:tcBorders>
              <w:top w:val="nil"/>
              <w:left w:val="nil"/>
              <w:bottom w:val="single" w:sz="4" w:space="0" w:color="auto"/>
              <w:right w:val="single" w:sz="4" w:space="0" w:color="auto"/>
            </w:tcBorders>
            <w:shd w:val="clear" w:color="auto" w:fill="C6EFCE"/>
            <w:noWrap/>
          </w:tcPr>
          <w:p w14:paraId="7FB3A2D9" w14:textId="050BAB7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informačného systému</w:t>
            </w:r>
            <w:r w:rsidR="00AB26B3" w:rsidRPr="00AB26B3">
              <w:rPr>
                <w:noProof/>
                <w:spacing w:val="-6"/>
                <w:lang w:val="sk-SK"/>
              </w:rPr>
              <w:t xml:space="preserve"> a </w:t>
            </w:r>
            <w:r w:rsidRPr="00AB26B3">
              <w:rPr>
                <w:noProof/>
                <w:spacing w:val="-6"/>
                <w:lang w:val="sk-SK"/>
              </w:rPr>
              <w:t>zabezpečenie kontrolných staníc</w:t>
            </w:r>
            <w:r w:rsidR="00AB26B3" w:rsidRPr="00AB26B3">
              <w:rPr>
                <w:noProof/>
                <w:spacing w:val="-6"/>
                <w:lang w:val="sk-SK"/>
              </w:rPr>
              <w:t xml:space="preserve"> a </w:t>
            </w:r>
            <w:r w:rsidRPr="00AB26B3">
              <w:rPr>
                <w:noProof/>
                <w:spacing w:val="-6"/>
                <w:lang w:val="sk-SK"/>
              </w:rPr>
              <w:t>odbornej prípravy na boj proti nezákonnému obchodu</w:t>
            </w:r>
          </w:p>
        </w:tc>
        <w:tc>
          <w:tcPr>
            <w:tcW w:w="1534" w:type="dxa"/>
            <w:tcBorders>
              <w:top w:val="nil"/>
              <w:left w:val="nil"/>
              <w:bottom w:val="single" w:sz="4" w:space="0" w:color="auto"/>
              <w:right w:val="single" w:sz="4" w:space="0" w:color="auto"/>
            </w:tcBorders>
            <w:shd w:val="clear" w:color="auto" w:fill="C6EFCE"/>
            <w:noWrap/>
          </w:tcPr>
          <w:p w14:paraId="297B5AEA" w14:textId="0031E91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informačného systému</w:t>
            </w:r>
            <w:r w:rsidR="00AB26B3" w:rsidRPr="00AB26B3">
              <w:rPr>
                <w:noProof/>
                <w:spacing w:val="-6"/>
                <w:lang w:val="sk-SK"/>
              </w:rPr>
              <w:t xml:space="preserve"> a </w:t>
            </w:r>
            <w:r w:rsidRPr="00AB26B3">
              <w:rPr>
                <w:noProof/>
                <w:spacing w:val="-6"/>
                <w:lang w:val="sk-SK"/>
              </w:rPr>
              <w:t>zabezpečenie kontrolných staníc</w:t>
            </w:r>
            <w:r w:rsidR="00AB26B3" w:rsidRPr="00AB26B3">
              <w:rPr>
                <w:noProof/>
                <w:spacing w:val="-6"/>
                <w:lang w:val="sk-SK"/>
              </w:rPr>
              <w:t xml:space="preserve"> a </w:t>
            </w:r>
            <w:r w:rsidRPr="00AB26B3">
              <w:rPr>
                <w:noProof/>
                <w:spacing w:val="-6"/>
                <w:lang w:val="sk-SK"/>
              </w:rPr>
              <w:t>odbornej prípravy na boj proti nezákonnému obchodu</w:t>
            </w:r>
          </w:p>
        </w:tc>
        <w:tc>
          <w:tcPr>
            <w:tcW w:w="933" w:type="dxa"/>
            <w:tcBorders>
              <w:top w:val="nil"/>
              <w:left w:val="nil"/>
              <w:bottom w:val="single" w:sz="4" w:space="0" w:color="auto"/>
              <w:right w:val="single" w:sz="4" w:space="0" w:color="auto"/>
            </w:tcBorders>
            <w:shd w:val="clear" w:color="auto" w:fill="C6EFCE"/>
            <w:noWrap/>
          </w:tcPr>
          <w:p w14:paraId="7C5B950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60720FF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2" w:type="dxa"/>
            <w:tcBorders>
              <w:top w:val="nil"/>
              <w:left w:val="nil"/>
              <w:bottom w:val="single" w:sz="4" w:space="0" w:color="auto"/>
              <w:right w:val="single" w:sz="4" w:space="0" w:color="auto"/>
            </w:tcBorders>
            <w:shd w:val="clear" w:color="auto" w:fill="C6EFCE"/>
            <w:noWrap/>
          </w:tcPr>
          <w:p w14:paraId="12DAE3C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nil"/>
              <w:left w:val="nil"/>
              <w:bottom w:val="single" w:sz="4" w:space="0" w:color="auto"/>
              <w:right w:val="single" w:sz="4" w:space="0" w:color="auto"/>
            </w:tcBorders>
            <w:shd w:val="clear" w:color="auto" w:fill="C6EFCE"/>
            <w:noWrap/>
          </w:tcPr>
          <w:p w14:paraId="7260FE7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8" w:type="dxa"/>
            <w:tcBorders>
              <w:top w:val="nil"/>
              <w:left w:val="nil"/>
              <w:bottom w:val="single" w:sz="4" w:space="0" w:color="auto"/>
              <w:right w:val="single" w:sz="4" w:space="0" w:color="auto"/>
            </w:tcBorders>
            <w:shd w:val="clear" w:color="auto" w:fill="C6EFCE"/>
            <w:noWrap/>
          </w:tcPr>
          <w:p w14:paraId="0E10004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5110" w:type="dxa"/>
            <w:tcBorders>
              <w:top w:val="nil"/>
              <w:left w:val="nil"/>
              <w:bottom w:val="single" w:sz="4" w:space="0" w:color="auto"/>
              <w:right w:val="single" w:sz="4" w:space="0" w:color="auto"/>
            </w:tcBorders>
            <w:shd w:val="clear" w:color="auto" w:fill="C6EFCE"/>
            <w:noWrap/>
          </w:tcPr>
          <w:p w14:paraId="16E6F81D" w14:textId="5F8875D3" w:rsidR="00302FC1" w:rsidRPr="00AB26B3" w:rsidRDefault="00D64F26">
            <w:pPr>
              <w:pStyle w:val="P68B1DB1-Normal12"/>
              <w:spacing w:after="0" w:line="240" w:lineRule="auto"/>
              <w:rPr>
                <w:noProof/>
                <w:spacing w:val="-6"/>
                <w:lang w:val="sk-SK"/>
              </w:rPr>
            </w:pPr>
            <w:r w:rsidRPr="00AB26B3">
              <w:rPr>
                <w:noProof/>
                <w:spacing w:val="-6"/>
                <w:lang w:val="sk-SK"/>
              </w:rPr>
              <w:t>— Vytvorenie informačného systému pre kontroly na boj proti nezákonnému obchodu</w:t>
            </w:r>
            <w:r w:rsidR="00AB26B3" w:rsidRPr="00AB26B3">
              <w:rPr>
                <w:noProof/>
                <w:spacing w:val="-6"/>
                <w:lang w:val="sk-SK"/>
              </w:rPr>
              <w:t xml:space="preserve"> a </w:t>
            </w:r>
            <w:r w:rsidRPr="00AB26B3">
              <w:rPr>
                <w:noProof/>
                <w:spacing w:val="-6"/>
                <w:lang w:val="sk-SK"/>
              </w:rPr>
              <w:t>kontrolu pohybu tovaru</w:t>
            </w:r>
            <w:r w:rsidR="00AB26B3" w:rsidRPr="00AB26B3">
              <w:rPr>
                <w:noProof/>
                <w:spacing w:val="-6"/>
                <w:lang w:val="sk-SK"/>
              </w:rPr>
              <w:t xml:space="preserve"> a </w:t>
            </w:r>
            <w:r w:rsidRPr="00AB26B3">
              <w:rPr>
                <w:noProof/>
                <w:spacing w:val="-6"/>
                <w:lang w:val="sk-SK"/>
              </w:rPr>
              <w:t>služieb.</w:t>
            </w:r>
          </w:p>
          <w:p w14:paraId="35C927FC" w14:textId="69512FB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Dodávka riadiacich staníc (10 prefabrikovaných budov ISOBOX).</w:t>
            </w:r>
          </w:p>
          <w:p w14:paraId="010FB1E9" w14:textId="21395DE0"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Poskytovanie odbornej prípravy pre zamestnancov auditu</w:t>
            </w:r>
            <w:r w:rsidR="00AB26B3" w:rsidRPr="00AB26B3">
              <w:rPr>
                <w:noProof/>
                <w:color w:val="006100"/>
                <w:spacing w:val="-6"/>
                <w:lang w:val="sk-SK"/>
              </w:rPr>
              <w:t xml:space="preserve"> a </w:t>
            </w:r>
            <w:r w:rsidRPr="00AB26B3">
              <w:rPr>
                <w:noProof/>
                <w:color w:val="006100"/>
                <w:spacing w:val="-6"/>
                <w:lang w:val="sk-SK"/>
              </w:rPr>
              <w:t>občanov.</w:t>
            </w:r>
          </w:p>
        </w:tc>
      </w:tr>
    </w:tbl>
    <w:p w14:paraId="0882E269" w14:textId="77777777" w:rsidR="00302FC1" w:rsidRPr="00AB26B3" w:rsidRDefault="00302FC1">
      <w:pPr>
        <w:spacing w:before="120" w:after="120" w:line="240" w:lineRule="auto"/>
        <w:jc w:val="both"/>
        <w:rPr>
          <w:rFonts w:ascii="Times New Roman" w:hAnsi="Times New Roman" w:cs="Times New Roman"/>
          <w:noProof/>
          <w:spacing w:val="-6"/>
          <w:sz w:val="24"/>
          <w:szCs w:val="24"/>
          <w:lang w:val="sk-SK"/>
        </w:rPr>
      </w:pPr>
    </w:p>
    <w:p w14:paraId="2855E014"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sectPr w:rsidR="00302FC1" w:rsidRPr="00AB26B3" w:rsidSect="00315FC0">
          <w:headerReference w:type="default" r:id="rId234"/>
          <w:footerReference w:type="default" r:id="rId235"/>
          <w:pgSz w:w="16839" w:h="11907" w:orient="landscape"/>
          <w:pgMar w:top="720" w:right="720" w:bottom="720" w:left="720" w:header="709" w:footer="0" w:gutter="0"/>
          <w:cols w:space="720"/>
          <w:docGrid w:linePitch="360"/>
        </w:sectPr>
      </w:pPr>
    </w:p>
    <w:p w14:paraId="20348C2C" w14:textId="77777777"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20: Posilnenie verejnej správy</w:t>
      </w:r>
    </w:p>
    <w:p w14:paraId="1AF2260A" w14:textId="138E3D52"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govERP (ID: 16705)</w:t>
      </w:r>
    </w:p>
    <w:p w14:paraId="56AA0DFF" w14:textId="77777777"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Reforma účtovníctva (ID: 16974)</w:t>
      </w:r>
    </w:p>
    <w:p w14:paraId="54E7CA99" w14:textId="77777777"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Moderný inštitucionálny rámec pre štátom vlastnené podniky (ID: 16657)</w:t>
      </w:r>
    </w:p>
    <w:p w14:paraId="5B543D0D" w14:textId="77777777"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Posilniť sieť štátnej pomoci (ID: 16701)</w:t>
      </w:r>
    </w:p>
    <w:p w14:paraId="49B70406" w14:textId="2F2E2EAF"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Modernizovať Helénsky fond pre zálohové vklady</w:t>
      </w:r>
      <w:r w:rsidR="00AB26B3" w:rsidRPr="00AB26B3">
        <w:rPr>
          <w:noProof/>
          <w:spacing w:val="-6"/>
          <w:lang w:val="sk-SK"/>
        </w:rPr>
        <w:t xml:space="preserve"> a </w:t>
      </w:r>
      <w:r w:rsidRPr="00AB26B3">
        <w:rPr>
          <w:noProof/>
          <w:spacing w:val="-6"/>
          <w:lang w:val="sk-SK"/>
        </w:rPr>
        <w:t>úvery (ID: 16940)</w:t>
      </w:r>
    </w:p>
    <w:p w14:paraId="0D222E07" w14:textId="77777777" w:rsidR="00302FC1" w:rsidRPr="00AB26B3" w:rsidRDefault="00D64F26">
      <w:pPr>
        <w:pStyle w:val="P68B1DB1-Normal5"/>
        <w:numPr>
          <w:ilvl w:val="0"/>
          <w:numId w:val="39"/>
        </w:numPr>
        <w:spacing w:before="120" w:after="0" w:line="240" w:lineRule="auto"/>
        <w:jc w:val="both"/>
        <w:rPr>
          <w:rFonts w:cs="Times New Roman"/>
          <w:noProof/>
          <w:spacing w:val="-6"/>
          <w:lang w:val="sk-SK"/>
        </w:rPr>
      </w:pPr>
      <w:r w:rsidRPr="00AB26B3">
        <w:rPr>
          <w:noProof/>
          <w:spacing w:val="-6"/>
          <w:lang w:val="sk-SK"/>
        </w:rPr>
        <w:t>Profesionalizácia oblasti verejného obstarávania (ID: 16711)</w:t>
      </w:r>
    </w:p>
    <w:p w14:paraId="69DA4C5C" w14:textId="772B61F4" w:rsidR="00302FC1" w:rsidRPr="00AB26B3" w:rsidRDefault="00D64F26">
      <w:pPr>
        <w:pStyle w:val="P68B1DB1-Normal7"/>
        <w:numPr>
          <w:ilvl w:val="0"/>
          <w:numId w:val="39"/>
        </w:numPr>
        <w:spacing w:before="120" w:after="0" w:line="240" w:lineRule="auto"/>
        <w:jc w:val="both"/>
        <w:rPr>
          <w:rFonts w:cs="Times New Roman"/>
          <w:noProof/>
          <w:spacing w:val="-6"/>
          <w:lang w:val="sk-SK"/>
        </w:rPr>
      </w:pPr>
      <w:r w:rsidRPr="00AB26B3">
        <w:rPr>
          <w:noProof/>
          <w:spacing w:val="-6"/>
          <w:lang w:val="sk-SK"/>
        </w:rPr>
        <w:t>Dokončenie národného katastra (ID: 16986)</w:t>
      </w:r>
    </w:p>
    <w:tbl>
      <w:tblPr>
        <w:tblW w:w="16385" w:type="dxa"/>
        <w:jc w:val="center"/>
        <w:tblLook w:val="04A0" w:firstRow="1" w:lastRow="0" w:firstColumn="1" w:lastColumn="0" w:noHBand="0" w:noVBand="1"/>
      </w:tblPr>
      <w:tblGrid>
        <w:gridCol w:w="613"/>
        <w:gridCol w:w="2560"/>
        <w:gridCol w:w="1063"/>
        <w:gridCol w:w="2034"/>
        <w:gridCol w:w="1975"/>
        <w:gridCol w:w="1777"/>
        <w:gridCol w:w="1003"/>
        <w:gridCol w:w="876"/>
        <w:gridCol w:w="1119"/>
        <w:gridCol w:w="673"/>
        <w:gridCol w:w="2965"/>
      </w:tblGrid>
      <w:tr w:rsidR="00302FC1" w:rsidRPr="00AB26B3" w14:paraId="08A1E37E" w14:textId="77777777">
        <w:trPr>
          <w:trHeight w:val="640"/>
          <w:tblHeader/>
          <w:jc w:val="center"/>
        </w:trPr>
        <w:tc>
          <w:tcPr>
            <w:tcW w:w="6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4C2178D" w14:textId="6900B4FE"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50E5C2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2F14B0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D7709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06CA56" w14:textId="7B7F8DF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3656" w:type="dxa"/>
            <w:gridSpan w:val="3"/>
            <w:tcBorders>
              <w:top w:val="single" w:sz="4" w:space="0" w:color="auto"/>
              <w:left w:val="nil"/>
              <w:bottom w:val="single" w:sz="4" w:space="0" w:color="auto"/>
              <w:right w:val="single" w:sz="4" w:space="0" w:color="auto"/>
            </w:tcBorders>
            <w:shd w:val="clear" w:color="auto" w:fill="BDD7EE"/>
            <w:vAlign w:val="center"/>
            <w:hideMark/>
          </w:tcPr>
          <w:p w14:paraId="688D26A6" w14:textId="6776329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519" w:type="dxa"/>
            <w:gridSpan w:val="2"/>
            <w:tcBorders>
              <w:top w:val="single" w:sz="4" w:space="0" w:color="auto"/>
              <w:left w:val="nil"/>
              <w:bottom w:val="single" w:sz="4" w:space="0" w:color="auto"/>
              <w:right w:val="single" w:sz="4" w:space="0" w:color="auto"/>
            </w:tcBorders>
            <w:shd w:val="clear" w:color="auto" w:fill="BDD7EE"/>
            <w:vAlign w:val="center"/>
            <w:hideMark/>
          </w:tcPr>
          <w:p w14:paraId="0A108D3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29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8073C52" w14:textId="371FBE4C"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9A8C95F" w14:textId="77777777">
        <w:trPr>
          <w:trHeight w:val="400"/>
          <w:jc w:val="center"/>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45A11A1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50738CF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7BF4F0E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7ECA6E5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75" w:type="dxa"/>
            <w:vMerge/>
            <w:tcBorders>
              <w:left w:val="single" w:sz="4" w:space="0" w:color="auto"/>
            </w:tcBorders>
            <w:vAlign w:val="center"/>
            <w:hideMark/>
          </w:tcPr>
          <w:p w14:paraId="36F8B24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7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DDC85E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003" w:type="dxa"/>
            <w:tcBorders>
              <w:top w:val="single" w:sz="4" w:space="0" w:color="auto"/>
              <w:left w:val="nil"/>
              <w:bottom w:val="single" w:sz="4" w:space="0" w:color="auto"/>
              <w:right w:val="single" w:sz="4" w:space="0" w:color="auto"/>
            </w:tcBorders>
            <w:shd w:val="clear" w:color="auto" w:fill="BDD7EE"/>
            <w:vAlign w:val="center"/>
            <w:hideMark/>
          </w:tcPr>
          <w:p w14:paraId="100960D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876" w:type="dxa"/>
            <w:tcBorders>
              <w:top w:val="single" w:sz="4" w:space="0" w:color="auto"/>
              <w:left w:val="nil"/>
              <w:bottom w:val="single" w:sz="4" w:space="0" w:color="auto"/>
              <w:right w:val="single" w:sz="4" w:space="0" w:color="auto"/>
            </w:tcBorders>
            <w:shd w:val="clear" w:color="auto" w:fill="BDD7EE"/>
            <w:vAlign w:val="center"/>
            <w:hideMark/>
          </w:tcPr>
          <w:p w14:paraId="52D49F8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14:paraId="41F8B0D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673" w:type="dxa"/>
            <w:tcBorders>
              <w:top w:val="single" w:sz="4" w:space="0" w:color="auto"/>
              <w:left w:val="nil"/>
              <w:bottom w:val="single" w:sz="4" w:space="0" w:color="auto"/>
              <w:right w:val="single" w:sz="4" w:space="0" w:color="auto"/>
            </w:tcBorders>
            <w:shd w:val="clear" w:color="auto" w:fill="BDD7EE"/>
            <w:vAlign w:val="center"/>
            <w:hideMark/>
          </w:tcPr>
          <w:p w14:paraId="7CA52E2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2965" w:type="dxa"/>
            <w:vMerge/>
            <w:tcBorders>
              <w:top w:val="single" w:sz="4" w:space="0" w:color="auto"/>
              <w:bottom w:val="single" w:sz="4" w:space="0" w:color="auto"/>
              <w:right w:val="single" w:sz="4" w:space="0" w:color="auto"/>
            </w:tcBorders>
            <w:vAlign w:val="center"/>
            <w:hideMark/>
          </w:tcPr>
          <w:p w14:paraId="67E8664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6C7CBB39" w14:textId="77777777">
        <w:trPr>
          <w:trHeight w:val="309"/>
          <w:jc w:val="center"/>
        </w:trPr>
        <w:tc>
          <w:tcPr>
            <w:tcW w:w="613" w:type="dxa"/>
            <w:tcBorders>
              <w:top w:val="single" w:sz="4" w:space="0" w:color="auto"/>
              <w:left w:val="single" w:sz="4" w:space="0" w:color="auto"/>
              <w:bottom w:val="single" w:sz="4" w:space="0" w:color="auto"/>
              <w:right w:val="single" w:sz="4" w:space="0" w:color="auto"/>
            </w:tcBorders>
            <w:shd w:val="clear" w:color="auto" w:fill="C6EFCE"/>
            <w:noWrap/>
          </w:tcPr>
          <w:p w14:paraId="3B422C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214</w:t>
            </w:r>
          </w:p>
        </w:tc>
        <w:tc>
          <w:tcPr>
            <w:tcW w:w="2560" w:type="dxa"/>
            <w:tcBorders>
              <w:top w:val="single" w:sz="4" w:space="0" w:color="auto"/>
              <w:left w:val="nil"/>
              <w:bottom w:val="single" w:sz="4" w:space="0" w:color="auto"/>
              <w:right w:val="single" w:sz="4" w:space="0" w:color="auto"/>
            </w:tcBorders>
            <w:shd w:val="clear" w:color="auto" w:fill="C6EFCE"/>
            <w:noWrap/>
          </w:tcPr>
          <w:p w14:paraId="74C39EF9" w14:textId="2B1441F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16701_Posilnenie siete štátnej pomoci</w:t>
            </w:r>
          </w:p>
        </w:tc>
        <w:tc>
          <w:tcPr>
            <w:tcW w:w="1063" w:type="dxa"/>
            <w:tcBorders>
              <w:top w:val="single" w:sz="4" w:space="0" w:color="auto"/>
              <w:left w:val="nil"/>
              <w:bottom w:val="single" w:sz="4" w:space="0" w:color="auto"/>
              <w:right w:val="single" w:sz="4" w:space="0" w:color="auto"/>
            </w:tcBorders>
            <w:shd w:val="clear" w:color="auto" w:fill="C6EFCE"/>
            <w:noWrap/>
          </w:tcPr>
          <w:p w14:paraId="0FB6ACD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34" w:type="dxa"/>
            <w:tcBorders>
              <w:top w:val="single" w:sz="4" w:space="0" w:color="auto"/>
              <w:left w:val="nil"/>
              <w:bottom w:val="single" w:sz="4" w:space="0" w:color="auto"/>
              <w:right w:val="single" w:sz="4" w:space="0" w:color="auto"/>
            </w:tcBorders>
            <w:shd w:val="clear" w:color="auto" w:fill="C6EFCE"/>
            <w:noWrap/>
          </w:tcPr>
          <w:p w14:paraId="6E11B4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Posilnená sieť štátnej pomoci</w:t>
            </w:r>
          </w:p>
        </w:tc>
        <w:tc>
          <w:tcPr>
            <w:tcW w:w="1975" w:type="dxa"/>
            <w:tcBorders>
              <w:top w:val="single" w:sz="4" w:space="0" w:color="auto"/>
              <w:left w:val="nil"/>
              <w:bottom w:val="single" w:sz="4" w:space="0" w:color="auto"/>
              <w:right w:val="single" w:sz="4" w:space="0" w:color="auto"/>
            </w:tcBorders>
            <w:shd w:val="clear" w:color="auto" w:fill="C6EFCE"/>
            <w:noWrap/>
          </w:tcPr>
          <w:p w14:paraId="38338CE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posilneného rámca štátnej pomoci</w:t>
            </w:r>
          </w:p>
        </w:tc>
        <w:tc>
          <w:tcPr>
            <w:tcW w:w="1777" w:type="dxa"/>
            <w:tcBorders>
              <w:top w:val="single" w:sz="4" w:space="0" w:color="auto"/>
              <w:left w:val="nil"/>
              <w:bottom w:val="single" w:sz="4" w:space="0" w:color="auto"/>
              <w:right w:val="single" w:sz="4" w:space="0" w:color="auto"/>
            </w:tcBorders>
            <w:shd w:val="clear" w:color="auto" w:fill="C6EFCE"/>
            <w:noWrap/>
          </w:tcPr>
          <w:p w14:paraId="2CB0CA7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03" w:type="dxa"/>
            <w:tcBorders>
              <w:top w:val="single" w:sz="4" w:space="0" w:color="auto"/>
              <w:left w:val="nil"/>
              <w:bottom w:val="single" w:sz="4" w:space="0" w:color="auto"/>
              <w:right w:val="single" w:sz="4" w:space="0" w:color="auto"/>
            </w:tcBorders>
            <w:shd w:val="clear" w:color="auto" w:fill="C6EFCE"/>
            <w:noWrap/>
          </w:tcPr>
          <w:p w14:paraId="1554F81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6" w:type="dxa"/>
            <w:tcBorders>
              <w:top w:val="single" w:sz="4" w:space="0" w:color="auto"/>
              <w:left w:val="nil"/>
              <w:bottom w:val="single" w:sz="4" w:space="0" w:color="auto"/>
              <w:right w:val="single" w:sz="4" w:space="0" w:color="auto"/>
            </w:tcBorders>
            <w:shd w:val="clear" w:color="auto" w:fill="C6EFCE"/>
            <w:noWrap/>
          </w:tcPr>
          <w:p w14:paraId="77BDC27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45DB7AE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single" w:sz="4" w:space="0" w:color="auto"/>
              <w:left w:val="nil"/>
              <w:bottom w:val="single" w:sz="4" w:space="0" w:color="auto"/>
              <w:right w:val="single" w:sz="4" w:space="0" w:color="auto"/>
            </w:tcBorders>
            <w:shd w:val="clear" w:color="auto" w:fill="C6EFCE"/>
            <w:noWrap/>
          </w:tcPr>
          <w:p w14:paraId="1007821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2965" w:type="dxa"/>
            <w:tcBorders>
              <w:top w:val="single" w:sz="4" w:space="0" w:color="auto"/>
              <w:left w:val="nil"/>
              <w:bottom w:val="single" w:sz="4" w:space="0" w:color="auto"/>
              <w:right w:val="single" w:sz="4" w:space="0" w:color="auto"/>
            </w:tcBorders>
            <w:shd w:val="clear" w:color="auto" w:fill="C6EFCE"/>
            <w:noWrap/>
          </w:tcPr>
          <w:p w14:paraId="0B162B03" w14:textId="4C6A8C2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zmien právneho rámca štátnej pomoci na prevádzku Centrálnej siete štátnej pomoci (CESANET)</w:t>
            </w:r>
            <w:r w:rsidR="00AB26B3" w:rsidRPr="00AB26B3">
              <w:rPr>
                <w:noProof/>
                <w:spacing w:val="-6"/>
                <w:lang w:val="sk-SK"/>
              </w:rPr>
              <w:t xml:space="preserve"> s </w:t>
            </w:r>
            <w:r w:rsidRPr="00AB26B3">
              <w:rPr>
                <w:noProof/>
                <w:spacing w:val="-6"/>
                <w:lang w:val="sk-SK"/>
              </w:rPr>
              <w:t>cieľom posilniť právomoci Centrálnej jednotky štátnej pomoci</w:t>
            </w:r>
            <w:r w:rsidR="00AB26B3" w:rsidRPr="00AB26B3">
              <w:rPr>
                <w:noProof/>
                <w:spacing w:val="-6"/>
                <w:lang w:val="sk-SK"/>
              </w:rPr>
              <w:t xml:space="preserve"> a </w:t>
            </w:r>
            <w:r w:rsidRPr="00AB26B3">
              <w:rPr>
                <w:noProof/>
                <w:spacing w:val="-6"/>
                <w:lang w:val="sk-SK"/>
              </w:rPr>
              <w:t>decentralizovaných jednotiek štátnej pomoci</w:t>
            </w:r>
          </w:p>
        </w:tc>
      </w:tr>
      <w:tr w:rsidR="00302FC1" w:rsidRPr="00AB26B3" w14:paraId="073932F9" w14:textId="77777777">
        <w:trPr>
          <w:trHeight w:val="309"/>
          <w:jc w:val="center"/>
        </w:trPr>
        <w:tc>
          <w:tcPr>
            <w:tcW w:w="613" w:type="dxa"/>
            <w:tcBorders>
              <w:top w:val="nil"/>
              <w:left w:val="single" w:sz="4" w:space="0" w:color="auto"/>
              <w:bottom w:val="single" w:sz="4" w:space="0" w:color="auto"/>
              <w:right w:val="single" w:sz="4" w:space="0" w:color="auto"/>
            </w:tcBorders>
            <w:shd w:val="clear" w:color="auto" w:fill="C6EFCE"/>
            <w:noWrap/>
          </w:tcPr>
          <w:p w14:paraId="08276F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215</w:t>
            </w:r>
          </w:p>
        </w:tc>
        <w:tc>
          <w:tcPr>
            <w:tcW w:w="2560" w:type="dxa"/>
            <w:tcBorders>
              <w:top w:val="nil"/>
              <w:left w:val="nil"/>
              <w:bottom w:val="single" w:sz="4" w:space="0" w:color="auto"/>
              <w:right w:val="single" w:sz="4" w:space="0" w:color="auto"/>
            </w:tcBorders>
            <w:shd w:val="clear" w:color="auto" w:fill="C6EFCE"/>
            <w:noWrap/>
          </w:tcPr>
          <w:p w14:paraId="6BE1A3CF" w14:textId="05F7F54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16981_Zlepšenie plánovania</w:t>
            </w:r>
            <w:r w:rsidR="00AB26B3" w:rsidRPr="00AB26B3">
              <w:rPr>
                <w:noProof/>
                <w:spacing w:val="-6"/>
                <w:lang w:val="sk-SK"/>
              </w:rPr>
              <w:t xml:space="preserve"> a </w:t>
            </w:r>
            <w:r w:rsidRPr="00AB26B3">
              <w:rPr>
                <w:noProof/>
                <w:spacing w:val="-6"/>
                <w:lang w:val="sk-SK"/>
              </w:rPr>
              <w:t>koordinácie politík</w:t>
            </w:r>
          </w:p>
        </w:tc>
        <w:tc>
          <w:tcPr>
            <w:tcW w:w="1063" w:type="dxa"/>
            <w:tcBorders>
              <w:top w:val="nil"/>
              <w:left w:val="nil"/>
              <w:bottom w:val="single" w:sz="4" w:space="0" w:color="auto"/>
              <w:right w:val="single" w:sz="4" w:space="0" w:color="auto"/>
            </w:tcBorders>
            <w:shd w:val="clear" w:color="auto" w:fill="C6EFCE"/>
            <w:noWrap/>
          </w:tcPr>
          <w:p w14:paraId="4A5623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34" w:type="dxa"/>
            <w:tcBorders>
              <w:top w:val="nil"/>
              <w:left w:val="nil"/>
              <w:bottom w:val="single" w:sz="4" w:space="0" w:color="auto"/>
              <w:right w:val="single" w:sz="4" w:space="0" w:color="auto"/>
            </w:tcBorders>
            <w:shd w:val="clear" w:color="auto" w:fill="C6EFCE"/>
            <w:noWrap/>
          </w:tcPr>
          <w:p w14:paraId="659AD84E" w14:textId="4D57BE8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Plánovanie</w:t>
            </w:r>
            <w:r w:rsidR="00AB26B3" w:rsidRPr="00AB26B3">
              <w:rPr>
                <w:noProof/>
                <w:spacing w:val="-6"/>
                <w:lang w:val="sk-SK"/>
              </w:rPr>
              <w:t xml:space="preserve"> a </w:t>
            </w:r>
            <w:r w:rsidRPr="00AB26B3">
              <w:rPr>
                <w:noProof/>
                <w:spacing w:val="-6"/>
                <w:lang w:val="sk-SK"/>
              </w:rPr>
              <w:t>koordinácia politík – posúdenie vplyvu</w:t>
            </w:r>
          </w:p>
        </w:tc>
        <w:tc>
          <w:tcPr>
            <w:tcW w:w="1975" w:type="dxa"/>
            <w:tcBorders>
              <w:top w:val="nil"/>
              <w:left w:val="nil"/>
              <w:bottom w:val="single" w:sz="4" w:space="0" w:color="auto"/>
              <w:right w:val="single" w:sz="4" w:space="0" w:color="auto"/>
            </w:tcBorders>
            <w:shd w:val="clear" w:color="auto" w:fill="C6EFCE"/>
            <w:noWrap/>
          </w:tcPr>
          <w:p w14:paraId="006906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Začal sa program odbornej prípravy, na ktorom sa zúčastnilo 100 štátnych zamestnancov.</w:t>
            </w:r>
          </w:p>
        </w:tc>
        <w:tc>
          <w:tcPr>
            <w:tcW w:w="1777" w:type="dxa"/>
            <w:tcBorders>
              <w:top w:val="nil"/>
              <w:left w:val="nil"/>
              <w:bottom w:val="single" w:sz="4" w:space="0" w:color="auto"/>
              <w:right w:val="single" w:sz="4" w:space="0" w:color="auto"/>
            </w:tcBorders>
            <w:shd w:val="clear" w:color="auto" w:fill="C6EFCE"/>
            <w:noWrap/>
          </w:tcPr>
          <w:p w14:paraId="583A61D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03" w:type="dxa"/>
            <w:tcBorders>
              <w:top w:val="nil"/>
              <w:left w:val="nil"/>
              <w:bottom w:val="single" w:sz="4" w:space="0" w:color="auto"/>
              <w:right w:val="single" w:sz="4" w:space="0" w:color="auto"/>
            </w:tcBorders>
            <w:shd w:val="clear" w:color="auto" w:fill="C6EFCE"/>
            <w:noWrap/>
          </w:tcPr>
          <w:p w14:paraId="52C98A5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6" w:type="dxa"/>
            <w:tcBorders>
              <w:top w:val="nil"/>
              <w:left w:val="nil"/>
              <w:bottom w:val="single" w:sz="4" w:space="0" w:color="auto"/>
              <w:right w:val="single" w:sz="4" w:space="0" w:color="auto"/>
            </w:tcBorders>
            <w:shd w:val="clear" w:color="auto" w:fill="C6EFCE"/>
            <w:noWrap/>
          </w:tcPr>
          <w:p w14:paraId="18CC39A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6DCC17D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nil"/>
              <w:left w:val="nil"/>
              <w:bottom w:val="single" w:sz="4" w:space="0" w:color="auto"/>
              <w:right w:val="single" w:sz="4" w:space="0" w:color="auto"/>
            </w:tcBorders>
            <w:shd w:val="clear" w:color="auto" w:fill="C6EFCE"/>
            <w:noWrap/>
          </w:tcPr>
          <w:p w14:paraId="49BBE6C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2965" w:type="dxa"/>
            <w:tcBorders>
              <w:top w:val="nil"/>
              <w:left w:val="nil"/>
              <w:bottom w:val="single" w:sz="4" w:space="0" w:color="auto"/>
              <w:right w:val="single" w:sz="4" w:space="0" w:color="auto"/>
            </w:tcBorders>
            <w:shd w:val="clear" w:color="auto" w:fill="C6EFCE"/>
            <w:noWrap/>
          </w:tcPr>
          <w:p w14:paraId="48913F60" w14:textId="5769AB4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 spustení elektronickej platformy na posúdenie vplyvu sa začne program odbornej prípravy</w:t>
            </w:r>
            <w:r w:rsidR="00AB26B3" w:rsidRPr="00AB26B3">
              <w:rPr>
                <w:noProof/>
                <w:spacing w:val="-6"/>
                <w:lang w:val="sk-SK"/>
              </w:rPr>
              <w:t xml:space="preserve"> a </w:t>
            </w:r>
            <w:r w:rsidRPr="00AB26B3">
              <w:rPr>
                <w:noProof/>
                <w:spacing w:val="-6"/>
                <w:lang w:val="sk-SK"/>
              </w:rPr>
              <w:t>súvisiaci akreditačný postup</w:t>
            </w:r>
            <w:r w:rsidR="00AB26B3" w:rsidRPr="00AB26B3">
              <w:rPr>
                <w:noProof/>
                <w:spacing w:val="-6"/>
                <w:lang w:val="sk-SK"/>
              </w:rPr>
              <w:t xml:space="preserve"> s </w:t>
            </w:r>
            <w:r w:rsidRPr="00AB26B3">
              <w:rPr>
                <w:noProof/>
                <w:spacing w:val="-6"/>
                <w:lang w:val="sk-SK"/>
              </w:rPr>
              <w:t xml:space="preserve">najmenej 100 zapísanými štátnymi zamestnancami vrátane štátnych zamestnancov vybraných do „výkonných pobočiek“ (zákon </w:t>
            </w:r>
            <w:r w:rsidR="00AB26B3" w:rsidRPr="00AB26B3">
              <w:rPr>
                <w:noProof/>
                <w:spacing w:val="-6"/>
                <w:lang w:val="sk-SK"/>
              </w:rPr>
              <w:t>č. </w:t>
            </w:r>
            <w:r w:rsidRPr="00AB26B3">
              <w:rPr>
                <w:noProof/>
                <w:spacing w:val="-6"/>
                <w:lang w:val="sk-SK"/>
              </w:rPr>
              <w:t>4622/2019, článok 104)</w:t>
            </w:r>
            <w:r w:rsidR="00AB26B3" w:rsidRPr="00AB26B3">
              <w:rPr>
                <w:noProof/>
                <w:spacing w:val="-6"/>
                <w:lang w:val="sk-SK"/>
              </w:rPr>
              <w:t xml:space="preserve"> s </w:t>
            </w:r>
            <w:r w:rsidRPr="00AB26B3">
              <w:rPr>
                <w:noProof/>
                <w:spacing w:val="-6"/>
                <w:lang w:val="sk-SK"/>
              </w:rPr>
              <w:t>cieľom zlepšiť kvalitu vypracovaných posúdení vplyvu</w:t>
            </w:r>
            <w:r w:rsidR="00AB26B3" w:rsidRPr="00AB26B3">
              <w:rPr>
                <w:noProof/>
                <w:spacing w:val="-6"/>
                <w:lang w:val="sk-SK"/>
              </w:rPr>
              <w:t xml:space="preserve"> a </w:t>
            </w:r>
            <w:r w:rsidRPr="00AB26B3">
              <w:rPr>
                <w:noProof/>
                <w:spacing w:val="-6"/>
                <w:lang w:val="sk-SK"/>
              </w:rPr>
              <w:t xml:space="preserve">uľahčiť používanie elektronickej platformy. </w:t>
            </w:r>
          </w:p>
        </w:tc>
      </w:tr>
      <w:tr w:rsidR="00302FC1" w:rsidRPr="00AB26B3" w14:paraId="4F5ECF95" w14:textId="77777777">
        <w:trPr>
          <w:trHeight w:val="309"/>
          <w:jc w:val="center"/>
        </w:trPr>
        <w:tc>
          <w:tcPr>
            <w:tcW w:w="613" w:type="dxa"/>
            <w:tcBorders>
              <w:top w:val="nil"/>
              <w:left w:val="single" w:sz="4" w:space="0" w:color="auto"/>
              <w:bottom w:val="single" w:sz="4" w:space="0" w:color="auto"/>
              <w:right w:val="single" w:sz="4" w:space="0" w:color="auto"/>
            </w:tcBorders>
            <w:shd w:val="clear" w:color="auto" w:fill="C6EFCE"/>
            <w:noWrap/>
          </w:tcPr>
          <w:p w14:paraId="38653FEB"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216a</w:t>
            </w:r>
          </w:p>
        </w:tc>
        <w:tc>
          <w:tcPr>
            <w:tcW w:w="2560" w:type="dxa"/>
            <w:tcBorders>
              <w:top w:val="nil"/>
              <w:left w:val="nil"/>
              <w:bottom w:val="single" w:sz="4" w:space="0" w:color="auto"/>
              <w:right w:val="single" w:sz="4" w:space="0" w:color="auto"/>
            </w:tcBorders>
            <w:shd w:val="clear" w:color="auto" w:fill="C6EFCE"/>
            <w:noWrap/>
          </w:tcPr>
          <w:p w14:paraId="1F51DC76" w14:textId="48C02BA1" w:rsidR="00302FC1" w:rsidRPr="00AB26B3" w:rsidRDefault="00D64F26">
            <w:pPr>
              <w:pStyle w:val="P68B1DB1-Normal12"/>
              <w:spacing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 xml:space="preserve">bojom proti korupcii – 16711_Professionalizácia oblasti verejného obstarávania  </w:t>
            </w:r>
          </w:p>
        </w:tc>
        <w:tc>
          <w:tcPr>
            <w:tcW w:w="1063" w:type="dxa"/>
            <w:tcBorders>
              <w:top w:val="nil"/>
              <w:left w:val="nil"/>
              <w:bottom w:val="single" w:sz="4" w:space="0" w:color="auto"/>
              <w:right w:val="single" w:sz="4" w:space="0" w:color="auto"/>
            </w:tcBorders>
            <w:shd w:val="clear" w:color="auto" w:fill="C6EFCE"/>
            <w:noWrap/>
          </w:tcPr>
          <w:p w14:paraId="2283564A"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Míľnik</w:t>
            </w:r>
          </w:p>
        </w:tc>
        <w:tc>
          <w:tcPr>
            <w:tcW w:w="2034" w:type="dxa"/>
            <w:tcBorders>
              <w:top w:val="nil"/>
              <w:left w:val="nil"/>
              <w:bottom w:val="single" w:sz="4" w:space="0" w:color="auto"/>
              <w:right w:val="single" w:sz="4" w:space="0" w:color="auto"/>
            </w:tcBorders>
            <w:shd w:val="clear" w:color="auto" w:fill="C6EFCE"/>
            <w:noWrap/>
          </w:tcPr>
          <w:p w14:paraId="239209EF"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Zmena národnej stratégie verejného obstarávania na roky 2021 – 2025</w:t>
            </w:r>
          </w:p>
        </w:tc>
        <w:tc>
          <w:tcPr>
            <w:tcW w:w="1975" w:type="dxa"/>
            <w:tcBorders>
              <w:top w:val="nil"/>
              <w:left w:val="nil"/>
              <w:bottom w:val="single" w:sz="4" w:space="0" w:color="auto"/>
              <w:right w:val="single" w:sz="4" w:space="0" w:color="auto"/>
            </w:tcBorders>
            <w:shd w:val="clear" w:color="auto" w:fill="C6EFCE"/>
            <w:noWrap/>
          </w:tcPr>
          <w:p w14:paraId="2813B8D0" w14:textId="7EFCAB2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Zmena národnej stratégie verejného obstarávania nadobúda účinnosť sekundárnym legislatívnym aktom</w:t>
            </w:r>
          </w:p>
        </w:tc>
        <w:tc>
          <w:tcPr>
            <w:tcW w:w="1777" w:type="dxa"/>
            <w:tcBorders>
              <w:top w:val="nil"/>
              <w:left w:val="nil"/>
              <w:bottom w:val="single" w:sz="4" w:space="0" w:color="auto"/>
              <w:right w:val="single" w:sz="4" w:space="0" w:color="auto"/>
            </w:tcBorders>
            <w:shd w:val="clear" w:color="auto" w:fill="C6EFCE"/>
            <w:noWrap/>
          </w:tcPr>
          <w:p w14:paraId="17A5D9A8"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1003" w:type="dxa"/>
            <w:tcBorders>
              <w:top w:val="nil"/>
              <w:left w:val="nil"/>
              <w:bottom w:val="single" w:sz="4" w:space="0" w:color="auto"/>
              <w:right w:val="single" w:sz="4" w:space="0" w:color="auto"/>
            </w:tcBorders>
            <w:shd w:val="clear" w:color="auto" w:fill="C6EFCE"/>
            <w:noWrap/>
          </w:tcPr>
          <w:p w14:paraId="509BD08E"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76" w:type="dxa"/>
            <w:tcBorders>
              <w:top w:val="nil"/>
              <w:left w:val="nil"/>
              <w:bottom w:val="single" w:sz="4" w:space="0" w:color="auto"/>
              <w:right w:val="single" w:sz="4" w:space="0" w:color="auto"/>
            </w:tcBorders>
            <w:shd w:val="clear" w:color="auto" w:fill="C6EFCE"/>
            <w:noWrap/>
          </w:tcPr>
          <w:p w14:paraId="049CBF37"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0C605C7A"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ŠTVRTÝ ŠTVRŤROK</w:t>
            </w:r>
          </w:p>
        </w:tc>
        <w:tc>
          <w:tcPr>
            <w:tcW w:w="673" w:type="dxa"/>
            <w:tcBorders>
              <w:top w:val="nil"/>
              <w:left w:val="nil"/>
              <w:bottom w:val="single" w:sz="4" w:space="0" w:color="auto"/>
              <w:right w:val="single" w:sz="4" w:space="0" w:color="auto"/>
            </w:tcBorders>
            <w:shd w:val="clear" w:color="auto" w:fill="C6EFCE"/>
            <w:noWrap/>
          </w:tcPr>
          <w:p w14:paraId="67C87056"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2023</w:t>
            </w:r>
          </w:p>
        </w:tc>
        <w:tc>
          <w:tcPr>
            <w:tcW w:w="2965" w:type="dxa"/>
            <w:tcBorders>
              <w:top w:val="nil"/>
              <w:left w:val="nil"/>
              <w:bottom w:val="single" w:sz="4" w:space="0" w:color="auto"/>
              <w:right w:val="single" w:sz="4" w:space="0" w:color="auto"/>
            </w:tcBorders>
            <w:shd w:val="clear" w:color="auto" w:fill="C6EFCE"/>
            <w:noWrap/>
          </w:tcPr>
          <w:p w14:paraId="0F8A800B"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Nadobudnutie účinnosti zmenenej národnej stratégie verejného obstarávania na roky 2021 – 2025 prostredníctvom sekundárnych právnych predpisov</w:t>
            </w:r>
          </w:p>
        </w:tc>
      </w:tr>
      <w:tr w:rsidR="00302FC1" w:rsidRPr="00AB26B3" w14:paraId="75CCA5F7" w14:textId="77777777">
        <w:trPr>
          <w:trHeight w:val="309"/>
          <w:jc w:val="center"/>
        </w:trPr>
        <w:tc>
          <w:tcPr>
            <w:tcW w:w="613" w:type="dxa"/>
            <w:tcBorders>
              <w:top w:val="nil"/>
              <w:left w:val="single" w:sz="4" w:space="0" w:color="auto"/>
              <w:bottom w:val="single" w:sz="4" w:space="0" w:color="auto"/>
              <w:right w:val="single" w:sz="4" w:space="0" w:color="auto"/>
            </w:tcBorders>
            <w:shd w:val="clear" w:color="auto" w:fill="C6EFCE"/>
            <w:noWrap/>
            <w:hideMark/>
          </w:tcPr>
          <w:p w14:paraId="034E59B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216</w:t>
            </w:r>
          </w:p>
        </w:tc>
        <w:tc>
          <w:tcPr>
            <w:tcW w:w="2560" w:type="dxa"/>
            <w:tcBorders>
              <w:top w:val="nil"/>
              <w:left w:val="nil"/>
              <w:bottom w:val="single" w:sz="4" w:space="0" w:color="auto"/>
              <w:right w:val="single" w:sz="4" w:space="0" w:color="auto"/>
            </w:tcBorders>
            <w:shd w:val="clear" w:color="auto" w:fill="C6EFCE"/>
            <w:noWrap/>
            <w:hideMark/>
          </w:tcPr>
          <w:p w14:paraId="6FD4084F" w14:textId="76C7A0A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16711_Professionalizácia oblasti verejného obstarávania</w:t>
            </w:r>
          </w:p>
        </w:tc>
        <w:tc>
          <w:tcPr>
            <w:tcW w:w="1063" w:type="dxa"/>
            <w:tcBorders>
              <w:top w:val="nil"/>
              <w:left w:val="nil"/>
              <w:bottom w:val="single" w:sz="4" w:space="0" w:color="auto"/>
              <w:right w:val="single" w:sz="4" w:space="0" w:color="auto"/>
            </w:tcBorders>
            <w:shd w:val="clear" w:color="auto" w:fill="C6EFCE"/>
            <w:noWrap/>
            <w:hideMark/>
          </w:tcPr>
          <w:p w14:paraId="344FA83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34" w:type="dxa"/>
            <w:tcBorders>
              <w:top w:val="nil"/>
              <w:left w:val="nil"/>
              <w:bottom w:val="single" w:sz="4" w:space="0" w:color="auto"/>
              <w:right w:val="single" w:sz="4" w:space="0" w:color="auto"/>
            </w:tcBorders>
            <w:shd w:val="clear" w:color="auto" w:fill="C6EFCE"/>
            <w:noWrap/>
            <w:hideMark/>
          </w:tcPr>
          <w:p w14:paraId="6EF493D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Profesionalizácia oblasti verejného obstarávania – nové právne predpisy</w:t>
            </w:r>
          </w:p>
        </w:tc>
        <w:tc>
          <w:tcPr>
            <w:tcW w:w="1975" w:type="dxa"/>
            <w:tcBorders>
              <w:top w:val="nil"/>
              <w:left w:val="nil"/>
              <w:bottom w:val="single" w:sz="4" w:space="0" w:color="auto"/>
              <w:right w:val="single" w:sz="4" w:space="0" w:color="auto"/>
            </w:tcBorders>
            <w:shd w:val="clear" w:color="auto" w:fill="C6EFCE"/>
            <w:noWrap/>
            <w:hideMark/>
          </w:tcPr>
          <w:p w14:paraId="37D8FE8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Nadobudli účinnosť nové právne predpisy; dokončená hĺbková štúdia</w:t>
            </w:r>
          </w:p>
        </w:tc>
        <w:tc>
          <w:tcPr>
            <w:tcW w:w="1777" w:type="dxa"/>
            <w:tcBorders>
              <w:top w:val="nil"/>
              <w:left w:val="nil"/>
              <w:bottom w:val="single" w:sz="4" w:space="0" w:color="auto"/>
              <w:right w:val="single" w:sz="4" w:space="0" w:color="auto"/>
            </w:tcBorders>
            <w:shd w:val="clear" w:color="auto" w:fill="C6EFCE"/>
            <w:noWrap/>
            <w:hideMark/>
          </w:tcPr>
          <w:p w14:paraId="1AA9E72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1003" w:type="dxa"/>
            <w:tcBorders>
              <w:top w:val="nil"/>
              <w:left w:val="nil"/>
              <w:bottom w:val="single" w:sz="4" w:space="0" w:color="auto"/>
              <w:right w:val="single" w:sz="4" w:space="0" w:color="auto"/>
            </w:tcBorders>
            <w:shd w:val="clear" w:color="auto" w:fill="C6EFCE"/>
            <w:noWrap/>
            <w:hideMark/>
          </w:tcPr>
          <w:p w14:paraId="03156FA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76" w:type="dxa"/>
            <w:tcBorders>
              <w:top w:val="nil"/>
              <w:left w:val="nil"/>
              <w:bottom w:val="single" w:sz="4" w:space="0" w:color="auto"/>
              <w:right w:val="single" w:sz="4" w:space="0" w:color="auto"/>
            </w:tcBorders>
            <w:shd w:val="clear" w:color="auto" w:fill="C6EFCE"/>
            <w:noWrap/>
            <w:hideMark/>
          </w:tcPr>
          <w:p w14:paraId="686A15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46" w:type="dxa"/>
            <w:tcBorders>
              <w:top w:val="nil"/>
              <w:left w:val="nil"/>
              <w:bottom w:val="single" w:sz="4" w:space="0" w:color="auto"/>
              <w:right w:val="single" w:sz="4" w:space="0" w:color="auto"/>
            </w:tcBorders>
            <w:shd w:val="clear" w:color="auto" w:fill="C6EFCE"/>
            <w:noWrap/>
            <w:hideMark/>
          </w:tcPr>
          <w:p w14:paraId="48CD0D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73" w:type="dxa"/>
            <w:tcBorders>
              <w:top w:val="nil"/>
              <w:left w:val="nil"/>
              <w:bottom w:val="single" w:sz="4" w:space="0" w:color="auto"/>
              <w:right w:val="single" w:sz="4" w:space="0" w:color="auto"/>
            </w:tcBorders>
            <w:shd w:val="clear" w:color="auto" w:fill="C6EFCE"/>
            <w:noWrap/>
            <w:hideMark/>
          </w:tcPr>
          <w:p w14:paraId="7D8F68F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2965" w:type="dxa"/>
            <w:tcBorders>
              <w:top w:val="nil"/>
              <w:left w:val="nil"/>
              <w:bottom w:val="single" w:sz="4" w:space="0" w:color="auto"/>
              <w:right w:val="single" w:sz="4" w:space="0" w:color="auto"/>
            </w:tcBorders>
            <w:shd w:val="clear" w:color="auto" w:fill="C6EFCE"/>
            <w:noWrap/>
            <w:hideMark/>
          </w:tcPr>
          <w:p w14:paraId="01BAC964" w14:textId="1AC1EDA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 Nadobudnutie účinnosti nových právnych predpisov, ktorými sa stanovujú profesionálne pracovné okruhy pre zamestnancov zaoberajúcich sa verejným obstarávaním, osobitné skupiny zručností</w:t>
            </w:r>
            <w:r w:rsidR="00AB26B3" w:rsidRPr="00AB26B3">
              <w:rPr>
                <w:noProof/>
                <w:spacing w:val="-6"/>
                <w:lang w:val="sk-SK"/>
              </w:rPr>
              <w:t xml:space="preserve"> a </w:t>
            </w:r>
            <w:r w:rsidRPr="00AB26B3">
              <w:rPr>
                <w:noProof/>
                <w:spacing w:val="-6"/>
                <w:lang w:val="sk-SK"/>
              </w:rPr>
              <w:t>prijatie finančných</w:t>
            </w:r>
            <w:r w:rsidR="00AB26B3" w:rsidRPr="00AB26B3">
              <w:rPr>
                <w:noProof/>
                <w:spacing w:val="-6"/>
                <w:lang w:val="sk-SK"/>
              </w:rPr>
              <w:t xml:space="preserve"> a </w:t>
            </w:r>
            <w:r w:rsidRPr="00AB26B3">
              <w:rPr>
                <w:noProof/>
                <w:spacing w:val="-6"/>
                <w:lang w:val="sk-SK"/>
              </w:rPr>
              <w:t>nefinančných stimulov</w:t>
            </w:r>
            <w:r w:rsidR="00AB26B3" w:rsidRPr="00AB26B3">
              <w:rPr>
                <w:noProof/>
                <w:spacing w:val="-6"/>
                <w:lang w:val="sk-SK"/>
              </w:rPr>
              <w:t xml:space="preserve"> v </w:t>
            </w:r>
            <w:r w:rsidRPr="00AB26B3">
              <w:rPr>
                <w:noProof/>
                <w:spacing w:val="-6"/>
                <w:lang w:val="sk-SK"/>
              </w:rPr>
              <w:t>plnom súlade</w:t>
            </w:r>
            <w:r w:rsidR="00AB26B3" w:rsidRPr="00AB26B3">
              <w:rPr>
                <w:noProof/>
                <w:spacing w:val="-6"/>
                <w:lang w:val="sk-SK"/>
              </w:rPr>
              <w:t xml:space="preserve"> s </w:t>
            </w:r>
            <w:r w:rsidRPr="00AB26B3">
              <w:rPr>
                <w:noProof/>
                <w:spacing w:val="-6"/>
                <w:lang w:val="sk-SK"/>
              </w:rPr>
              <w:t xml:space="preserve">jednotnou mzdovou tabuľkou (zákon </w:t>
            </w:r>
            <w:r w:rsidR="00AB26B3" w:rsidRPr="00AB26B3">
              <w:rPr>
                <w:noProof/>
                <w:spacing w:val="-6"/>
                <w:lang w:val="sk-SK"/>
              </w:rPr>
              <w:t>č. </w:t>
            </w:r>
            <w:r w:rsidRPr="00AB26B3">
              <w:rPr>
                <w:noProof/>
                <w:spacing w:val="-6"/>
                <w:lang w:val="sk-SK"/>
              </w:rPr>
              <w:t>4354/2015) bez stanovenia akejkoľvek výnimky. Prijatie finančných</w:t>
            </w:r>
            <w:r w:rsidR="00AB26B3" w:rsidRPr="00AB26B3">
              <w:rPr>
                <w:noProof/>
                <w:spacing w:val="-6"/>
                <w:lang w:val="sk-SK"/>
              </w:rPr>
              <w:t xml:space="preserve"> a </w:t>
            </w:r>
            <w:r w:rsidRPr="00AB26B3">
              <w:rPr>
                <w:noProof/>
                <w:spacing w:val="-6"/>
                <w:lang w:val="sk-SK"/>
              </w:rPr>
              <w:t>nefinančných stimulov môže mať odložené nadobudnutie účinnosti; II) Dokončenie hĺbkovej štúdie</w:t>
            </w:r>
            <w:r w:rsidR="00AB26B3" w:rsidRPr="00AB26B3">
              <w:rPr>
                <w:noProof/>
                <w:spacing w:val="-6"/>
                <w:lang w:val="sk-SK"/>
              </w:rPr>
              <w:t xml:space="preserve"> s </w:t>
            </w:r>
            <w:r w:rsidRPr="00AB26B3">
              <w:rPr>
                <w:noProof/>
                <w:spacing w:val="-6"/>
                <w:lang w:val="sk-SK"/>
              </w:rPr>
              <w:t>cieľom reorganizovať štruktúru</w:t>
            </w:r>
            <w:r w:rsidR="00AB26B3" w:rsidRPr="00AB26B3">
              <w:rPr>
                <w:noProof/>
                <w:spacing w:val="-6"/>
                <w:lang w:val="sk-SK"/>
              </w:rPr>
              <w:t xml:space="preserve"> a </w:t>
            </w:r>
            <w:r w:rsidRPr="00AB26B3">
              <w:rPr>
                <w:noProof/>
                <w:spacing w:val="-6"/>
                <w:lang w:val="sk-SK"/>
              </w:rPr>
              <w:t>povinnosti Generálneho riaditeľstva pre verejné obstarávanie ministerstva rozvoja zodpovedného za vykonávanie centralizovaných postupov verejného obstarávania na vnútroštátnej úrovni.</w:t>
            </w:r>
          </w:p>
        </w:tc>
      </w:tr>
      <w:tr w:rsidR="00302FC1" w:rsidRPr="00AB26B3" w14:paraId="5318B7D2" w14:textId="77777777">
        <w:trPr>
          <w:trHeight w:val="309"/>
          <w:jc w:val="center"/>
        </w:trPr>
        <w:tc>
          <w:tcPr>
            <w:tcW w:w="613" w:type="dxa"/>
            <w:tcBorders>
              <w:top w:val="nil"/>
              <w:left w:val="single" w:sz="4" w:space="0" w:color="auto"/>
              <w:bottom w:val="single" w:sz="4" w:space="0" w:color="auto"/>
              <w:right w:val="single" w:sz="4" w:space="0" w:color="auto"/>
            </w:tcBorders>
            <w:shd w:val="clear" w:color="auto" w:fill="C6EFCE"/>
            <w:noWrap/>
            <w:hideMark/>
          </w:tcPr>
          <w:p w14:paraId="4707EE1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217</w:t>
            </w:r>
          </w:p>
        </w:tc>
        <w:tc>
          <w:tcPr>
            <w:tcW w:w="2560" w:type="dxa"/>
            <w:tcBorders>
              <w:top w:val="nil"/>
              <w:left w:val="nil"/>
              <w:bottom w:val="single" w:sz="4" w:space="0" w:color="auto"/>
              <w:right w:val="single" w:sz="4" w:space="0" w:color="auto"/>
            </w:tcBorders>
            <w:shd w:val="clear" w:color="auto" w:fill="C6EFCE"/>
            <w:noWrap/>
            <w:hideMark/>
          </w:tcPr>
          <w:p w14:paraId="1646C958" w14:textId="6F468FB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Modernizácia verejnej správy,</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16940_Modernizácia Helénskeho fondu pre zálohové vklady</w:t>
            </w:r>
            <w:r w:rsidR="00AB26B3" w:rsidRPr="00AB26B3">
              <w:rPr>
                <w:noProof/>
                <w:spacing w:val="-6"/>
                <w:lang w:val="sk-SK"/>
              </w:rPr>
              <w:t xml:space="preserve"> a </w:t>
            </w:r>
            <w:r w:rsidRPr="00AB26B3">
              <w:rPr>
                <w:noProof/>
                <w:spacing w:val="-6"/>
                <w:lang w:val="sk-SK"/>
              </w:rPr>
              <w:t>úvery </w:t>
            </w:r>
          </w:p>
        </w:tc>
        <w:tc>
          <w:tcPr>
            <w:tcW w:w="1063" w:type="dxa"/>
            <w:tcBorders>
              <w:top w:val="nil"/>
              <w:left w:val="nil"/>
              <w:bottom w:val="single" w:sz="4" w:space="0" w:color="auto"/>
              <w:right w:val="single" w:sz="4" w:space="0" w:color="auto"/>
            </w:tcBorders>
            <w:shd w:val="clear" w:color="auto" w:fill="C6EFCE"/>
            <w:noWrap/>
            <w:hideMark/>
          </w:tcPr>
          <w:p w14:paraId="34A703A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34" w:type="dxa"/>
            <w:tcBorders>
              <w:top w:val="nil"/>
              <w:left w:val="nil"/>
              <w:bottom w:val="single" w:sz="4" w:space="0" w:color="auto"/>
              <w:right w:val="single" w:sz="4" w:space="0" w:color="auto"/>
            </w:tcBorders>
            <w:shd w:val="clear" w:color="auto" w:fill="C6EFCE"/>
            <w:noWrap/>
            <w:hideMark/>
          </w:tcPr>
          <w:p w14:paraId="0643A025" w14:textId="5B04913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systému digitalizácie archívu</w:t>
            </w:r>
            <w:r w:rsidR="00AB26B3" w:rsidRPr="00AB26B3">
              <w:rPr>
                <w:noProof/>
                <w:spacing w:val="-6"/>
                <w:lang w:val="sk-SK"/>
              </w:rPr>
              <w:t xml:space="preserve"> a </w:t>
            </w:r>
            <w:r w:rsidRPr="00AB26B3">
              <w:rPr>
                <w:noProof/>
                <w:spacing w:val="-6"/>
                <w:lang w:val="sk-SK"/>
              </w:rPr>
              <w:t>správy dokumentov</w:t>
            </w:r>
            <w:r w:rsidR="00AB26B3" w:rsidRPr="00AB26B3">
              <w:rPr>
                <w:noProof/>
                <w:spacing w:val="-6"/>
                <w:lang w:val="sk-SK"/>
              </w:rPr>
              <w:t xml:space="preserve"> a </w:t>
            </w:r>
            <w:r w:rsidRPr="00AB26B3">
              <w:rPr>
                <w:noProof/>
                <w:spacing w:val="-6"/>
                <w:lang w:val="sk-SK"/>
              </w:rPr>
              <w:t>integrovaného informačného systému pre Helénsky fond na zálohovanie zásielok</w:t>
            </w:r>
            <w:r w:rsidR="00AB26B3" w:rsidRPr="00AB26B3">
              <w:rPr>
                <w:noProof/>
                <w:spacing w:val="-6"/>
                <w:lang w:val="sk-SK"/>
              </w:rPr>
              <w:t xml:space="preserve"> a </w:t>
            </w:r>
            <w:r w:rsidRPr="00AB26B3">
              <w:rPr>
                <w:noProof/>
                <w:spacing w:val="-6"/>
                <w:lang w:val="sk-SK"/>
              </w:rPr>
              <w:t>úvery</w:t>
            </w:r>
          </w:p>
        </w:tc>
        <w:tc>
          <w:tcPr>
            <w:tcW w:w="1975" w:type="dxa"/>
            <w:tcBorders>
              <w:top w:val="nil"/>
              <w:left w:val="nil"/>
              <w:bottom w:val="single" w:sz="4" w:space="0" w:color="auto"/>
              <w:right w:val="single" w:sz="4" w:space="0" w:color="auto"/>
            </w:tcBorders>
            <w:shd w:val="clear" w:color="auto" w:fill="C6EFCE"/>
            <w:noWrap/>
            <w:hideMark/>
          </w:tcPr>
          <w:p w14:paraId="6B635EB1" w14:textId="67B00B7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systému digitalizácie archívu</w:t>
            </w:r>
            <w:r w:rsidR="00AB26B3" w:rsidRPr="00AB26B3">
              <w:rPr>
                <w:noProof/>
                <w:spacing w:val="-6"/>
                <w:lang w:val="sk-SK"/>
              </w:rPr>
              <w:t xml:space="preserve"> a </w:t>
            </w:r>
            <w:r w:rsidRPr="00AB26B3">
              <w:rPr>
                <w:noProof/>
                <w:spacing w:val="-6"/>
                <w:lang w:val="sk-SK"/>
              </w:rPr>
              <w:t>správy dokumentov</w:t>
            </w:r>
            <w:r w:rsidR="00AB26B3" w:rsidRPr="00AB26B3">
              <w:rPr>
                <w:noProof/>
                <w:spacing w:val="-6"/>
                <w:lang w:val="sk-SK"/>
              </w:rPr>
              <w:t xml:space="preserve"> a </w:t>
            </w:r>
            <w:r w:rsidRPr="00AB26B3">
              <w:rPr>
                <w:noProof/>
                <w:spacing w:val="-6"/>
                <w:lang w:val="sk-SK"/>
              </w:rPr>
              <w:t>integrovaného informačného systému pre Helénsky fond na zálohovanie zásielok</w:t>
            </w:r>
            <w:r w:rsidR="00AB26B3" w:rsidRPr="00AB26B3">
              <w:rPr>
                <w:noProof/>
                <w:spacing w:val="-6"/>
                <w:lang w:val="sk-SK"/>
              </w:rPr>
              <w:t xml:space="preserve"> a </w:t>
            </w:r>
            <w:r w:rsidRPr="00AB26B3">
              <w:rPr>
                <w:noProof/>
                <w:spacing w:val="-6"/>
                <w:lang w:val="sk-SK"/>
              </w:rPr>
              <w:t>úvery</w:t>
            </w:r>
          </w:p>
        </w:tc>
        <w:tc>
          <w:tcPr>
            <w:tcW w:w="1777" w:type="dxa"/>
            <w:tcBorders>
              <w:top w:val="nil"/>
              <w:left w:val="nil"/>
              <w:bottom w:val="single" w:sz="4" w:space="0" w:color="auto"/>
              <w:right w:val="single" w:sz="4" w:space="0" w:color="auto"/>
            </w:tcBorders>
            <w:shd w:val="clear" w:color="auto" w:fill="C6EFCE"/>
            <w:noWrap/>
            <w:hideMark/>
          </w:tcPr>
          <w:p w14:paraId="5E348F6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03" w:type="dxa"/>
            <w:tcBorders>
              <w:top w:val="nil"/>
              <w:left w:val="nil"/>
              <w:bottom w:val="single" w:sz="4" w:space="0" w:color="auto"/>
              <w:right w:val="single" w:sz="4" w:space="0" w:color="auto"/>
            </w:tcBorders>
            <w:shd w:val="clear" w:color="auto" w:fill="C6EFCE"/>
            <w:noWrap/>
            <w:hideMark/>
          </w:tcPr>
          <w:p w14:paraId="216F54C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76" w:type="dxa"/>
            <w:tcBorders>
              <w:top w:val="nil"/>
              <w:left w:val="nil"/>
              <w:bottom w:val="single" w:sz="4" w:space="0" w:color="auto"/>
              <w:right w:val="single" w:sz="4" w:space="0" w:color="auto"/>
            </w:tcBorders>
            <w:shd w:val="clear" w:color="auto" w:fill="C6EFCE"/>
            <w:noWrap/>
            <w:hideMark/>
          </w:tcPr>
          <w:p w14:paraId="47149D7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hideMark/>
          </w:tcPr>
          <w:p w14:paraId="7CE93D5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73" w:type="dxa"/>
            <w:tcBorders>
              <w:top w:val="nil"/>
              <w:left w:val="nil"/>
              <w:bottom w:val="single" w:sz="4" w:space="0" w:color="auto"/>
              <w:right w:val="single" w:sz="4" w:space="0" w:color="auto"/>
            </w:tcBorders>
            <w:shd w:val="clear" w:color="auto" w:fill="C6EFCE"/>
            <w:noWrap/>
            <w:hideMark/>
          </w:tcPr>
          <w:p w14:paraId="1AE2F00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2965" w:type="dxa"/>
            <w:tcBorders>
              <w:top w:val="nil"/>
              <w:left w:val="nil"/>
              <w:bottom w:val="single" w:sz="4" w:space="0" w:color="auto"/>
              <w:right w:val="single" w:sz="4" w:space="0" w:color="auto"/>
            </w:tcBorders>
            <w:shd w:val="clear" w:color="auto" w:fill="C6EFCE"/>
            <w:noWrap/>
            <w:hideMark/>
          </w:tcPr>
          <w:p w14:paraId="0F1FD41B" w14:textId="7FEE8D1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týchto systémov pre Helénsky fond pre vklady zásielok</w:t>
            </w:r>
            <w:r w:rsidR="00AB26B3" w:rsidRPr="00AB26B3">
              <w:rPr>
                <w:noProof/>
                <w:spacing w:val="-6"/>
                <w:lang w:val="sk-SK"/>
              </w:rPr>
              <w:t xml:space="preserve"> a </w:t>
            </w:r>
            <w:r w:rsidRPr="00AB26B3">
              <w:rPr>
                <w:noProof/>
                <w:spacing w:val="-6"/>
                <w:lang w:val="sk-SK"/>
              </w:rPr>
              <w:t>úvery: I) digitalizácia archívu</w:t>
            </w:r>
            <w:r w:rsidR="00AB26B3" w:rsidRPr="00AB26B3">
              <w:rPr>
                <w:noProof/>
                <w:spacing w:val="-6"/>
                <w:lang w:val="sk-SK"/>
              </w:rPr>
              <w:t xml:space="preserve"> a </w:t>
            </w:r>
            <w:r w:rsidRPr="00AB26B3">
              <w:rPr>
                <w:noProof/>
                <w:spacing w:val="-6"/>
                <w:lang w:val="sk-SK"/>
              </w:rPr>
              <w:t>systém správy dokumentov; II) integrovaný informačný systém.</w:t>
            </w:r>
          </w:p>
        </w:tc>
      </w:tr>
      <w:tr w:rsidR="00302FC1" w:rsidRPr="00AB26B3" w14:paraId="0D3AEF4E" w14:textId="77777777">
        <w:trPr>
          <w:trHeight w:val="3240"/>
          <w:jc w:val="center"/>
        </w:trPr>
        <w:tc>
          <w:tcPr>
            <w:tcW w:w="613" w:type="dxa"/>
            <w:tcBorders>
              <w:top w:val="single" w:sz="4" w:space="0" w:color="auto"/>
              <w:left w:val="single" w:sz="4" w:space="0" w:color="auto"/>
              <w:bottom w:val="single" w:sz="4" w:space="0" w:color="auto"/>
              <w:right w:val="single" w:sz="4" w:space="0" w:color="auto"/>
            </w:tcBorders>
            <w:shd w:val="clear" w:color="auto" w:fill="C6EFCE"/>
            <w:noWrap/>
          </w:tcPr>
          <w:p w14:paraId="7650CC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219</w:t>
            </w:r>
          </w:p>
        </w:tc>
        <w:tc>
          <w:tcPr>
            <w:tcW w:w="2560" w:type="dxa"/>
            <w:tcBorders>
              <w:top w:val="single" w:sz="4" w:space="0" w:color="auto"/>
              <w:left w:val="nil"/>
              <w:bottom w:val="single" w:sz="4" w:space="0" w:color="auto"/>
              <w:right w:val="single" w:sz="4" w:space="0" w:color="auto"/>
            </w:tcBorders>
            <w:shd w:val="clear" w:color="auto" w:fill="C6EFCE"/>
            <w:noWrap/>
          </w:tcPr>
          <w:p w14:paraId="14D47CEC" w14:textId="03032EA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16974_Reforma účtovníctva</w:t>
            </w:r>
          </w:p>
        </w:tc>
        <w:tc>
          <w:tcPr>
            <w:tcW w:w="1063" w:type="dxa"/>
            <w:tcBorders>
              <w:top w:val="single" w:sz="4" w:space="0" w:color="auto"/>
              <w:left w:val="nil"/>
              <w:bottom w:val="single" w:sz="4" w:space="0" w:color="auto"/>
              <w:right w:val="single" w:sz="4" w:space="0" w:color="auto"/>
            </w:tcBorders>
            <w:shd w:val="clear" w:color="auto" w:fill="C6EFCE"/>
            <w:noWrap/>
          </w:tcPr>
          <w:p w14:paraId="36C925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34" w:type="dxa"/>
            <w:tcBorders>
              <w:top w:val="single" w:sz="4" w:space="0" w:color="auto"/>
              <w:left w:val="nil"/>
              <w:bottom w:val="single" w:sz="4" w:space="0" w:color="auto"/>
              <w:right w:val="single" w:sz="4" w:space="0" w:color="auto"/>
            </w:tcBorders>
            <w:shd w:val="clear" w:color="auto" w:fill="C6EFCE"/>
            <w:noWrap/>
          </w:tcPr>
          <w:p w14:paraId="7A325EE6" w14:textId="4B2CCC6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Reforma účtovníctva: Konsolidované finančné výkazy za verejnú správu</w:t>
            </w:r>
          </w:p>
        </w:tc>
        <w:tc>
          <w:tcPr>
            <w:tcW w:w="1975" w:type="dxa"/>
            <w:tcBorders>
              <w:top w:val="single" w:sz="4" w:space="0" w:color="auto"/>
              <w:left w:val="nil"/>
              <w:bottom w:val="single" w:sz="4" w:space="0" w:color="auto"/>
              <w:right w:val="single" w:sz="4" w:space="0" w:color="auto"/>
            </w:tcBorders>
            <w:shd w:val="clear" w:color="auto" w:fill="C6EFCE"/>
            <w:noWrap/>
          </w:tcPr>
          <w:p w14:paraId="796F92BD" w14:textId="3B28AD6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Zverejňovanie zásad akruálneho účtovníctva</w:t>
            </w:r>
            <w:r w:rsidR="00AB26B3" w:rsidRPr="00AB26B3">
              <w:rPr>
                <w:noProof/>
                <w:spacing w:val="-6"/>
                <w:lang w:val="sk-SK"/>
              </w:rPr>
              <w:t xml:space="preserve"> a </w:t>
            </w:r>
            <w:r w:rsidRPr="00AB26B3">
              <w:rPr>
                <w:noProof/>
                <w:spacing w:val="-6"/>
                <w:lang w:val="sk-SK"/>
              </w:rPr>
              <w:t>zostavovanie konsolidovaných účtovných závierok za verejnú správu.</w:t>
            </w:r>
          </w:p>
        </w:tc>
        <w:tc>
          <w:tcPr>
            <w:tcW w:w="1777" w:type="dxa"/>
            <w:tcBorders>
              <w:top w:val="single" w:sz="4" w:space="0" w:color="auto"/>
              <w:left w:val="nil"/>
              <w:bottom w:val="single" w:sz="4" w:space="0" w:color="auto"/>
              <w:right w:val="single" w:sz="4" w:space="0" w:color="auto"/>
            </w:tcBorders>
            <w:shd w:val="clear" w:color="auto" w:fill="C6EFCE"/>
            <w:noWrap/>
          </w:tcPr>
          <w:p w14:paraId="485D602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03" w:type="dxa"/>
            <w:tcBorders>
              <w:top w:val="single" w:sz="4" w:space="0" w:color="auto"/>
              <w:left w:val="nil"/>
              <w:bottom w:val="single" w:sz="4" w:space="0" w:color="auto"/>
              <w:right w:val="single" w:sz="4" w:space="0" w:color="auto"/>
            </w:tcBorders>
            <w:shd w:val="clear" w:color="auto" w:fill="C6EFCE"/>
            <w:noWrap/>
          </w:tcPr>
          <w:p w14:paraId="413ED65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6" w:type="dxa"/>
            <w:tcBorders>
              <w:top w:val="single" w:sz="4" w:space="0" w:color="auto"/>
              <w:left w:val="nil"/>
              <w:bottom w:val="single" w:sz="4" w:space="0" w:color="auto"/>
              <w:right w:val="single" w:sz="4" w:space="0" w:color="auto"/>
            </w:tcBorders>
            <w:shd w:val="clear" w:color="auto" w:fill="C6EFCE"/>
            <w:noWrap/>
          </w:tcPr>
          <w:p w14:paraId="22B1B27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1617E6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single" w:sz="4" w:space="0" w:color="auto"/>
              <w:left w:val="nil"/>
              <w:bottom w:val="single" w:sz="4" w:space="0" w:color="auto"/>
              <w:right w:val="single" w:sz="4" w:space="0" w:color="auto"/>
            </w:tcBorders>
            <w:shd w:val="clear" w:color="auto" w:fill="C6EFCE"/>
            <w:noWrap/>
          </w:tcPr>
          <w:p w14:paraId="2DFB5E9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2965" w:type="dxa"/>
            <w:tcBorders>
              <w:top w:val="single" w:sz="4" w:space="0" w:color="auto"/>
              <w:left w:val="nil"/>
              <w:bottom w:val="single" w:sz="4" w:space="0" w:color="auto"/>
              <w:right w:val="single" w:sz="4" w:space="0" w:color="auto"/>
            </w:tcBorders>
            <w:shd w:val="clear" w:color="auto" w:fill="C6EFCE"/>
            <w:noWrap/>
          </w:tcPr>
          <w:p w14:paraId="1F6790DB" w14:textId="52FF1163" w:rsidR="00302FC1" w:rsidRPr="00AB26B3" w:rsidRDefault="00D64F26">
            <w:pPr>
              <w:pStyle w:val="P68B1DB1-ListParagraph19"/>
              <w:numPr>
                <w:ilvl w:val="0"/>
                <w:numId w:val="40"/>
              </w:numPr>
              <w:spacing w:after="0" w:line="240" w:lineRule="auto"/>
              <w:ind w:left="406" w:hanging="270"/>
              <w:rPr>
                <w:rFonts w:eastAsia="Times New Roman"/>
                <w:noProof/>
                <w:spacing w:val="-6"/>
                <w:lang w:val="sk-SK"/>
              </w:rPr>
            </w:pPr>
            <w:r w:rsidRPr="00AB26B3">
              <w:rPr>
                <w:noProof/>
                <w:spacing w:val="-6"/>
                <w:lang w:val="sk-SK"/>
              </w:rPr>
              <w:t>Uverejnenie právnych predpisov</w:t>
            </w:r>
            <w:r w:rsidR="00AB26B3" w:rsidRPr="00AB26B3">
              <w:rPr>
                <w:noProof/>
                <w:spacing w:val="-6"/>
                <w:lang w:val="sk-SK"/>
              </w:rPr>
              <w:t xml:space="preserve"> v </w:t>
            </w:r>
            <w:r w:rsidRPr="00AB26B3">
              <w:rPr>
                <w:noProof/>
                <w:spacing w:val="-6"/>
                <w:lang w:val="sk-SK"/>
              </w:rPr>
              <w:t>oblasti akruálnej účtovnej politiky pre verejnú správu</w:t>
            </w:r>
            <w:r w:rsidR="00AB26B3" w:rsidRPr="00AB26B3">
              <w:rPr>
                <w:noProof/>
                <w:spacing w:val="-6"/>
                <w:lang w:val="sk-SK"/>
              </w:rPr>
              <w:t xml:space="preserve"> v </w:t>
            </w:r>
            <w:r w:rsidRPr="00AB26B3">
              <w:rPr>
                <w:noProof/>
                <w:spacing w:val="-6"/>
                <w:lang w:val="sk-SK"/>
              </w:rPr>
              <w:t>úradnom vestníku na základe medzinárodných účtovných štandardov pre verejný sektor</w:t>
            </w:r>
          </w:p>
          <w:p w14:paraId="632CF387" w14:textId="39D8563A" w:rsidR="00302FC1" w:rsidRPr="00AB26B3" w:rsidRDefault="00D64F26">
            <w:pPr>
              <w:pStyle w:val="P68B1DB1-ListParagraph41"/>
              <w:numPr>
                <w:ilvl w:val="0"/>
                <w:numId w:val="40"/>
              </w:numPr>
              <w:spacing w:after="0" w:line="240" w:lineRule="auto"/>
              <w:ind w:left="406" w:hanging="270"/>
              <w:rPr>
                <w:rFonts w:eastAsia="Times New Roman"/>
                <w:noProof/>
                <w:color w:val="006100"/>
                <w:spacing w:val="-6"/>
                <w:lang w:val="sk-SK"/>
              </w:rPr>
            </w:pPr>
            <w:r w:rsidRPr="00AB26B3">
              <w:rPr>
                <w:noProof/>
                <w:color w:val="006100"/>
                <w:spacing w:val="-6"/>
                <w:lang w:val="sk-SK"/>
              </w:rPr>
              <w:t>Uverejnenie zoznamu všetkých subjektov, na ktoré sa vzťahoval postup konsolidácie účtovnej závierky za rok 2025 (vykazovacie obdobie 2023), na oficiálnom webovom sídle ministerstva hospodárstva</w:t>
            </w:r>
            <w:r w:rsidR="00AB26B3" w:rsidRPr="00AB26B3">
              <w:rPr>
                <w:noProof/>
                <w:color w:val="006100"/>
                <w:spacing w:val="-6"/>
                <w:lang w:val="sk-SK"/>
              </w:rPr>
              <w:t xml:space="preserve"> a </w:t>
            </w:r>
            <w:r w:rsidRPr="00AB26B3">
              <w:rPr>
                <w:noProof/>
                <w:color w:val="006100"/>
                <w:spacing w:val="-6"/>
                <w:lang w:val="sk-SK"/>
              </w:rPr>
              <w:t>financií</w:t>
            </w:r>
            <w:r w:rsidRPr="00AB26B3">
              <w:rPr>
                <w:noProof/>
                <w:spacing w:val="-6"/>
                <w:lang w:val="sk-SK"/>
              </w:rPr>
              <w:t>.</w:t>
            </w:r>
          </w:p>
          <w:p w14:paraId="3DF8CF71" w14:textId="728790EA" w:rsidR="00302FC1" w:rsidRPr="00AB26B3" w:rsidRDefault="00D64F26">
            <w:pPr>
              <w:pStyle w:val="P68B1DB1-ListParagraph19"/>
              <w:numPr>
                <w:ilvl w:val="0"/>
                <w:numId w:val="40"/>
              </w:numPr>
              <w:spacing w:after="0" w:line="240" w:lineRule="auto"/>
              <w:ind w:left="406" w:hanging="270"/>
              <w:rPr>
                <w:rFonts w:eastAsia="Times New Roman"/>
                <w:noProof/>
                <w:spacing w:val="-6"/>
                <w:lang w:val="sk-SK"/>
              </w:rPr>
            </w:pPr>
            <w:r w:rsidRPr="00AB26B3">
              <w:rPr>
                <w:noProof/>
                <w:spacing w:val="-6"/>
                <w:lang w:val="sk-SK"/>
              </w:rPr>
              <w:t>Predloženie zostavenej konsolidovanej účtovnej závierky Európskej komisii vrátane použitej metodiky</w:t>
            </w:r>
            <w:r w:rsidR="00AB26B3" w:rsidRPr="00AB26B3">
              <w:rPr>
                <w:noProof/>
                <w:spacing w:val="-6"/>
                <w:lang w:val="sk-SK"/>
              </w:rPr>
              <w:t xml:space="preserve"> a </w:t>
            </w:r>
            <w:r w:rsidRPr="00AB26B3">
              <w:rPr>
                <w:noProof/>
                <w:spacing w:val="-6"/>
                <w:lang w:val="sk-SK"/>
              </w:rPr>
              <w:t>parametrov.</w:t>
            </w:r>
          </w:p>
        </w:tc>
      </w:tr>
      <w:tr w:rsidR="00302FC1" w:rsidRPr="00AB26B3" w14:paraId="465C1683" w14:textId="77777777">
        <w:trPr>
          <w:trHeight w:val="309"/>
          <w:jc w:val="center"/>
        </w:trPr>
        <w:tc>
          <w:tcPr>
            <w:tcW w:w="613" w:type="dxa"/>
            <w:tcBorders>
              <w:top w:val="single" w:sz="4" w:space="0" w:color="auto"/>
              <w:left w:val="single" w:sz="4" w:space="0" w:color="auto"/>
              <w:bottom w:val="single" w:sz="4" w:space="0" w:color="auto"/>
              <w:right w:val="single" w:sz="4" w:space="0" w:color="auto"/>
            </w:tcBorders>
            <w:shd w:val="clear" w:color="auto" w:fill="C6EFCE"/>
            <w:noWrap/>
          </w:tcPr>
          <w:p w14:paraId="28FB413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220</w:t>
            </w:r>
          </w:p>
        </w:tc>
        <w:tc>
          <w:tcPr>
            <w:tcW w:w="2560" w:type="dxa"/>
            <w:tcBorders>
              <w:top w:val="single" w:sz="4" w:space="0" w:color="auto"/>
              <w:left w:val="nil"/>
              <w:bottom w:val="single" w:sz="4" w:space="0" w:color="auto"/>
              <w:right w:val="single" w:sz="4" w:space="0" w:color="auto"/>
            </w:tcBorders>
            <w:shd w:val="clear" w:color="auto" w:fill="C6EFCE"/>
            <w:noWrap/>
          </w:tcPr>
          <w:p w14:paraId="4A022942" w14:textId="5B1C55E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16705_Digitálna transformácia fiškálneho riadenia</w:t>
            </w:r>
            <w:r w:rsidR="00AB26B3" w:rsidRPr="00AB26B3">
              <w:rPr>
                <w:noProof/>
                <w:spacing w:val="-6"/>
                <w:lang w:val="sk-SK"/>
              </w:rPr>
              <w:t xml:space="preserve"> a </w:t>
            </w:r>
            <w:r w:rsidRPr="00AB26B3">
              <w:rPr>
                <w:noProof/>
                <w:spacing w:val="-6"/>
                <w:lang w:val="sk-SK"/>
              </w:rPr>
              <w:t>dohľadu</w:t>
            </w:r>
            <w:r w:rsidR="00AB26B3" w:rsidRPr="00AB26B3">
              <w:rPr>
                <w:noProof/>
                <w:spacing w:val="-6"/>
                <w:lang w:val="sk-SK"/>
              </w:rPr>
              <w:t xml:space="preserve"> v </w:t>
            </w:r>
            <w:r w:rsidRPr="00AB26B3">
              <w:rPr>
                <w:noProof/>
                <w:spacing w:val="-6"/>
                <w:lang w:val="sk-SK"/>
              </w:rPr>
              <w:t>oblasti správy vecí verejných</w:t>
            </w:r>
            <w:r w:rsidR="00AB26B3" w:rsidRPr="00AB26B3">
              <w:rPr>
                <w:noProof/>
                <w:spacing w:val="-6"/>
                <w:lang w:val="sk-SK"/>
              </w:rPr>
              <w:t xml:space="preserve"> a </w:t>
            </w:r>
            <w:r w:rsidRPr="00AB26B3">
              <w:rPr>
                <w:noProof/>
                <w:spacing w:val="-6"/>
                <w:lang w:val="sk-SK"/>
              </w:rPr>
              <w:t>elektronickej fakturácie</w:t>
            </w:r>
          </w:p>
        </w:tc>
        <w:tc>
          <w:tcPr>
            <w:tcW w:w="1063" w:type="dxa"/>
            <w:tcBorders>
              <w:top w:val="single" w:sz="4" w:space="0" w:color="auto"/>
              <w:left w:val="nil"/>
              <w:bottom w:val="single" w:sz="4" w:space="0" w:color="auto"/>
              <w:right w:val="single" w:sz="4" w:space="0" w:color="auto"/>
            </w:tcBorders>
            <w:shd w:val="clear" w:color="auto" w:fill="C6EFCE"/>
            <w:noWrap/>
          </w:tcPr>
          <w:p w14:paraId="4FF5A4F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34" w:type="dxa"/>
            <w:tcBorders>
              <w:top w:val="single" w:sz="4" w:space="0" w:color="auto"/>
              <w:left w:val="nil"/>
              <w:bottom w:val="single" w:sz="4" w:space="0" w:color="auto"/>
              <w:right w:val="single" w:sz="4" w:space="0" w:color="auto"/>
            </w:tcBorders>
            <w:shd w:val="clear" w:color="auto" w:fill="C6EFCE"/>
            <w:noWrap/>
          </w:tcPr>
          <w:p w14:paraId="1DC759D9" w14:textId="63D7D0D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Plánovanie štátnych podnikových zdrojov (govERP)</w:t>
            </w:r>
          </w:p>
        </w:tc>
        <w:tc>
          <w:tcPr>
            <w:tcW w:w="1975" w:type="dxa"/>
            <w:tcBorders>
              <w:top w:val="single" w:sz="4" w:space="0" w:color="auto"/>
              <w:left w:val="nil"/>
              <w:bottom w:val="single" w:sz="4" w:space="0" w:color="auto"/>
              <w:right w:val="single" w:sz="4" w:space="0" w:color="auto"/>
            </w:tcBorders>
            <w:shd w:val="clear" w:color="auto" w:fill="C6EFCE"/>
            <w:noWrap/>
          </w:tcPr>
          <w:p w14:paraId="03CEAECE" w14:textId="3CA9AC3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vládneho plánovania podnikových zdrojov (govERP) na podporu prípravy rozpočtu.</w:t>
            </w:r>
          </w:p>
        </w:tc>
        <w:tc>
          <w:tcPr>
            <w:tcW w:w="1777" w:type="dxa"/>
            <w:tcBorders>
              <w:top w:val="single" w:sz="4" w:space="0" w:color="auto"/>
              <w:left w:val="nil"/>
              <w:bottom w:val="single" w:sz="4" w:space="0" w:color="auto"/>
              <w:right w:val="single" w:sz="4" w:space="0" w:color="auto"/>
            </w:tcBorders>
            <w:shd w:val="clear" w:color="auto" w:fill="C6EFCE"/>
            <w:noWrap/>
          </w:tcPr>
          <w:p w14:paraId="2B14C79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03" w:type="dxa"/>
            <w:tcBorders>
              <w:top w:val="single" w:sz="4" w:space="0" w:color="auto"/>
              <w:left w:val="nil"/>
              <w:bottom w:val="single" w:sz="4" w:space="0" w:color="auto"/>
              <w:right w:val="single" w:sz="4" w:space="0" w:color="auto"/>
            </w:tcBorders>
            <w:shd w:val="clear" w:color="auto" w:fill="C6EFCE"/>
            <w:noWrap/>
          </w:tcPr>
          <w:p w14:paraId="5738B80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6" w:type="dxa"/>
            <w:tcBorders>
              <w:top w:val="single" w:sz="4" w:space="0" w:color="auto"/>
              <w:left w:val="nil"/>
              <w:bottom w:val="single" w:sz="4" w:space="0" w:color="auto"/>
              <w:right w:val="single" w:sz="4" w:space="0" w:color="auto"/>
            </w:tcBorders>
            <w:shd w:val="clear" w:color="auto" w:fill="C6EFCE"/>
            <w:noWrap/>
          </w:tcPr>
          <w:p w14:paraId="35F8C0C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2308832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single" w:sz="4" w:space="0" w:color="auto"/>
              <w:left w:val="nil"/>
              <w:bottom w:val="single" w:sz="4" w:space="0" w:color="auto"/>
              <w:right w:val="single" w:sz="4" w:space="0" w:color="auto"/>
            </w:tcBorders>
            <w:shd w:val="clear" w:color="auto" w:fill="C6EFCE"/>
            <w:noWrap/>
          </w:tcPr>
          <w:p w14:paraId="189B9E5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2965" w:type="dxa"/>
            <w:tcBorders>
              <w:top w:val="single" w:sz="4" w:space="0" w:color="auto"/>
              <w:left w:val="nil"/>
              <w:bottom w:val="single" w:sz="4" w:space="0" w:color="auto"/>
              <w:right w:val="single" w:sz="4" w:space="0" w:color="auto"/>
            </w:tcBorders>
            <w:shd w:val="clear" w:color="auto" w:fill="C6EFCE"/>
            <w:noWrap/>
          </w:tcPr>
          <w:p w14:paraId="25158A01" w14:textId="7C4014E4" w:rsidR="00302FC1" w:rsidRPr="00AB26B3" w:rsidRDefault="00D64F26">
            <w:pPr>
              <w:pStyle w:val="P68B1DB1-ListParagraph19"/>
              <w:numPr>
                <w:ilvl w:val="0"/>
                <w:numId w:val="41"/>
              </w:numPr>
              <w:ind w:left="466" w:hanging="270"/>
              <w:rPr>
                <w:rFonts w:eastAsia="Times New Roman"/>
                <w:noProof/>
                <w:spacing w:val="-6"/>
                <w:lang w:val="sk-SK"/>
              </w:rPr>
            </w:pPr>
            <w:r w:rsidRPr="00AB26B3">
              <w:rPr>
                <w:noProof/>
                <w:spacing w:val="-6"/>
                <w:lang w:val="sk-SK"/>
              </w:rPr>
              <w:t>Realizovať digitálnu transformáciu rámca finančného riadenia</w:t>
            </w:r>
            <w:r w:rsidR="00AB26B3" w:rsidRPr="00AB26B3">
              <w:rPr>
                <w:noProof/>
                <w:spacing w:val="-6"/>
                <w:lang w:val="sk-SK"/>
              </w:rPr>
              <w:t xml:space="preserve"> a </w:t>
            </w:r>
            <w:r w:rsidRPr="00AB26B3">
              <w:rPr>
                <w:noProof/>
                <w:spacing w:val="-6"/>
                <w:lang w:val="sk-SK"/>
              </w:rPr>
              <w:t>dohľadu prostredníctvom rozvoja vládneho plánovania podnikových zdrojov (govERP)</w:t>
            </w:r>
            <w:r w:rsidR="00AB26B3" w:rsidRPr="00AB26B3">
              <w:rPr>
                <w:noProof/>
                <w:spacing w:val="-6"/>
                <w:lang w:val="sk-SK"/>
              </w:rPr>
              <w:t xml:space="preserve"> a </w:t>
            </w:r>
            <w:r w:rsidRPr="00AB26B3">
              <w:rPr>
                <w:noProof/>
                <w:spacing w:val="-6"/>
                <w:lang w:val="sk-SK"/>
              </w:rPr>
              <w:t>jeho využívania na podporu prípravy rozpočtu. Uplatňovanie govERP na plnenie rozpočtu nie je súčasťou opatrenia Mechanizmu na podporu obnovy</w:t>
            </w:r>
            <w:r w:rsidR="00AB26B3" w:rsidRPr="00AB26B3">
              <w:rPr>
                <w:noProof/>
                <w:spacing w:val="-6"/>
                <w:lang w:val="sk-SK"/>
              </w:rPr>
              <w:t xml:space="preserve"> a </w:t>
            </w:r>
            <w:r w:rsidRPr="00AB26B3">
              <w:rPr>
                <w:noProof/>
                <w:spacing w:val="-6"/>
                <w:lang w:val="sk-SK"/>
              </w:rPr>
              <w:t xml:space="preserve">odolnosti. </w:t>
            </w:r>
          </w:p>
        </w:tc>
      </w:tr>
      <w:tr w:rsidR="00302FC1" w:rsidRPr="00AB26B3" w14:paraId="48010D72" w14:textId="77777777">
        <w:trPr>
          <w:trHeight w:val="309"/>
          <w:jc w:val="center"/>
        </w:trPr>
        <w:tc>
          <w:tcPr>
            <w:tcW w:w="613" w:type="dxa"/>
            <w:tcBorders>
              <w:top w:val="single" w:sz="4" w:space="0" w:color="auto"/>
              <w:left w:val="single" w:sz="4" w:space="0" w:color="auto"/>
              <w:bottom w:val="single" w:sz="4" w:space="0" w:color="auto"/>
              <w:right w:val="single" w:sz="4" w:space="0" w:color="auto"/>
            </w:tcBorders>
            <w:shd w:val="clear" w:color="auto" w:fill="C6EFCE"/>
            <w:noWrap/>
          </w:tcPr>
          <w:p w14:paraId="55D88AB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221</w:t>
            </w:r>
          </w:p>
        </w:tc>
        <w:tc>
          <w:tcPr>
            <w:tcW w:w="2560" w:type="dxa"/>
            <w:tcBorders>
              <w:top w:val="single" w:sz="4" w:space="0" w:color="auto"/>
              <w:left w:val="nil"/>
              <w:bottom w:val="single" w:sz="4" w:space="0" w:color="auto"/>
              <w:right w:val="single" w:sz="4" w:space="0" w:color="auto"/>
            </w:tcBorders>
            <w:shd w:val="clear" w:color="auto" w:fill="C6EFCE"/>
            <w:noWrap/>
          </w:tcPr>
          <w:p w14:paraId="6F4F44C2" w14:textId="5C45634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16711_Professionalizácia oblasti verejného obstarávania</w:t>
            </w:r>
          </w:p>
        </w:tc>
        <w:tc>
          <w:tcPr>
            <w:tcW w:w="1063" w:type="dxa"/>
            <w:tcBorders>
              <w:top w:val="single" w:sz="4" w:space="0" w:color="auto"/>
              <w:left w:val="nil"/>
              <w:bottom w:val="single" w:sz="4" w:space="0" w:color="auto"/>
              <w:right w:val="single" w:sz="4" w:space="0" w:color="auto"/>
            </w:tcBorders>
            <w:shd w:val="clear" w:color="auto" w:fill="C6EFCE"/>
            <w:noWrap/>
          </w:tcPr>
          <w:p w14:paraId="4F0DA6F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2034" w:type="dxa"/>
            <w:tcBorders>
              <w:top w:val="single" w:sz="4" w:space="0" w:color="auto"/>
              <w:left w:val="nil"/>
              <w:bottom w:val="single" w:sz="4" w:space="0" w:color="auto"/>
              <w:right w:val="single" w:sz="4" w:space="0" w:color="auto"/>
            </w:tcBorders>
            <w:shd w:val="clear" w:color="auto" w:fill="C6EFCE"/>
            <w:noWrap/>
          </w:tcPr>
          <w:p w14:paraId="59CBE996" w14:textId="0955DB3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programov zvyšovania úrovne zručností/rekvalifikácie</w:t>
            </w:r>
            <w:r w:rsidR="00AB26B3" w:rsidRPr="00AB26B3">
              <w:rPr>
                <w:noProof/>
                <w:spacing w:val="-6"/>
                <w:lang w:val="sk-SK"/>
              </w:rPr>
              <w:t xml:space="preserve"> v </w:t>
            </w:r>
            <w:r w:rsidRPr="00AB26B3">
              <w:rPr>
                <w:noProof/>
                <w:spacing w:val="-6"/>
                <w:lang w:val="sk-SK"/>
              </w:rPr>
              <w:t>oblasti verejného obstarávania</w:t>
            </w:r>
          </w:p>
        </w:tc>
        <w:tc>
          <w:tcPr>
            <w:tcW w:w="1975" w:type="dxa"/>
            <w:tcBorders>
              <w:top w:val="single" w:sz="4" w:space="0" w:color="auto"/>
              <w:left w:val="nil"/>
              <w:bottom w:val="single" w:sz="4" w:space="0" w:color="auto"/>
              <w:right w:val="single" w:sz="4" w:space="0" w:color="auto"/>
            </w:tcBorders>
            <w:shd w:val="clear" w:color="auto" w:fill="C6EFCE"/>
            <w:noWrap/>
          </w:tcPr>
          <w:p w14:paraId="7ECD09B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77" w:type="dxa"/>
            <w:tcBorders>
              <w:top w:val="single" w:sz="4" w:space="0" w:color="auto"/>
              <w:left w:val="nil"/>
              <w:bottom w:val="single" w:sz="4" w:space="0" w:color="auto"/>
              <w:right w:val="single" w:sz="4" w:space="0" w:color="auto"/>
            </w:tcBorders>
            <w:shd w:val="clear" w:color="auto" w:fill="C6EFCE"/>
            <w:noWrap/>
          </w:tcPr>
          <w:p w14:paraId="1AFB873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udelených certifikácií</w:t>
            </w:r>
          </w:p>
        </w:tc>
        <w:tc>
          <w:tcPr>
            <w:tcW w:w="1003" w:type="dxa"/>
            <w:tcBorders>
              <w:top w:val="single" w:sz="4" w:space="0" w:color="auto"/>
              <w:left w:val="nil"/>
              <w:bottom w:val="single" w:sz="4" w:space="0" w:color="auto"/>
              <w:right w:val="single" w:sz="4" w:space="0" w:color="auto"/>
            </w:tcBorders>
            <w:shd w:val="clear" w:color="auto" w:fill="C6EFCE"/>
            <w:noWrap/>
          </w:tcPr>
          <w:p w14:paraId="3E7FA7B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876" w:type="dxa"/>
            <w:tcBorders>
              <w:top w:val="single" w:sz="4" w:space="0" w:color="auto"/>
              <w:left w:val="nil"/>
              <w:bottom w:val="single" w:sz="4" w:space="0" w:color="auto"/>
              <w:right w:val="single" w:sz="4" w:space="0" w:color="auto"/>
            </w:tcBorders>
            <w:shd w:val="clear" w:color="auto" w:fill="C6EFCE"/>
            <w:noWrap/>
          </w:tcPr>
          <w:p w14:paraId="4252FE89" w14:textId="0163EA8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4 500</w:t>
            </w:r>
          </w:p>
        </w:tc>
        <w:tc>
          <w:tcPr>
            <w:tcW w:w="846" w:type="dxa"/>
            <w:tcBorders>
              <w:top w:val="single" w:sz="4" w:space="0" w:color="auto"/>
              <w:left w:val="nil"/>
              <w:bottom w:val="single" w:sz="4" w:space="0" w:color="auto"/>
              <w:right w:val="single" w:sz="4" w:space="0" w:color="auto"/>
            </w:tcBorders>
            <w:shd w:val="clear" w:color="auto" w:fill="C6EFCE"/>
            <w:noWrap/>
          </w:tcPr>
          <w:p w14:paraId="04FBB7C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single" w:sz="4" w:space="0" w:color="auto"/>
              <w:left w:val="nil"/>
              <w:bottom w:val="single" w:sz="4" w:space="0" w:color="auto"/>
              <w:right w:val="single" w:sz="4" w:space="0" w:color="auto"/>
            </w:tcBorders>
            <w:shd w:val="clear" w:color="auto" w:fill="C6EFCE"/>
            <w:noWrap/>
          </w:tcPr>
          <w:p w14:paraId="47C6C1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2965" w:type="dxa"/>
            <w:tcBorders>
              <w:top w:val="single" w:sz="4" w:space="0" w:color="auto"/>
              <w:left w:val="nil"/>
              <w:bottom w:val="single" w:sz="4" w:space="0" w:color="auto"/>
              <w:right w:val="single" w:sz="4" w:space="0" w:color="auto"/>
            </w:tcBorders>
            <w:shd w:val="clear" w:color="auto" w:fill="C6EFCE"/>
            <w:noWrap/>
          </w:tcPr>
          <w:p w14:paraId="2EF6AABE" w14:textId="340921E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4500 osvedčení udelených štátnym zamestnancom na základe účasti na špecializovaných programoch zvyšovania úrovne zručností/rekvalifikácie</w:t>
            </w:r>
            <w:r w:rsidR="00AB26B3" w:rsidRPr="00AB26B3">
              <w:rPr>
                <w:noProof/>
                <w:spacing w:val="-6"/>
                <w:lang w:val="sk-SK"/>
              </w:rPr>
              <w:t xml:space="preserve"> v </w:t>
            </w:r>
            <w:r w:rsidRPr="00AB26B3">
              <w:rPr>
                <w:noProof/>
                <w:spacing w:val="-6"/>
                <w:lang w:val="sk-SK"/>
              </w:rPr>
              <w:t xml:space="preserve">rámci profesionalizácie verejného obstarávania. </w:t>
            </w:r>
          </w:p>
        </w:tc>
      </w:tr>
      <w:tr w:rsidR="00302FC1" w:rsidRPr="00AB26B3" w14:paraId="3D96E48B" w14:textId="77777777">
        <w:trPr>
          <w:trHeight w:val="309"/>
          <w:jc w:val="center"/>
        </w:trPr>
        <w:tc>
          <w:tcPr>
            <w:tcW w:w="613" w:type="dxa"/>
            <w:tcBorders>
              <w:top w:val="single" w:sz="4" w:space="0" w:color="auto"/>
              <w:left w:val="single" w:sz="4" w:space="0" w:color="auto"/>
              <w:bottom w:val="single" w:sz="4" w:space="0" w:color="auto"/>
              <w:right w:val="single" w:sz="4" w:space="0" w:color="auto"/>
            </w:tcBorders>
            <w:shd w:val="clear" w:color="auto" w:fill="C6EFCE"/>
            <w:noWrap/>
          </w:tcPr>
          <w:p w14:paraId="6B6DA0C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341</w:t>
            </w:r>
          </w:p>
        </w:tc>
        <w:tc>
          <w:tcPr>
            <w:tcW w:w="2560" w:type="dxa"/>
            <w:tcBorders>
              <w:top w:val="single" w:sz="4" w:space="0" w:color="auto"/>
              <w:left w:val="nil"/>
              <w:bottom w:val="single" w:sz="4" w:space="0" w:color="auto"/>
              <w:right w:val="single" w:sz="4" w:space="0" w:color="auto"/>
            </w:tcBorders>
            <w:shd w:val="clear" w:color="auto" w:fill="C6EFCE"/>
            <w:noWrap/>
          </w:tcPr>
          <w:p w14:paraId="67BD2437" w14:textId="394FCC2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16986_Dokončenie národného katastra</w:t>
            </w:r>
          </w:p>
        </w:tc>
        <w:tc>
          <w:tcPr>
            <w:tcW w:w="1063" w:type="dxa"/>
            <w:tcBorders>
              <w:top w:val="single" w:sz="4" w:space="0" w:color="auto"/>
              <w:left w:val="nil"/>
              <w:bottom w:val="single" w:sz="4" w:space="0" w:color="auto"/>
              <w:right w:val="single" w:sz="4" w:space="0" w:color="auto"/>
            </w:tcBorders>
            <w:shd w:val="clear" w:color="auto" w:fill="C6EFCE"/>
            <w:noWrap/>
          </w:tcPr>
          <w:p w14:paraId="5E2347F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2034" w:type="dxa"/>
            <w:tcBorders>
              <w:top w:val="single" w:sz="4" w:space="0" w:color="auto"/>
              <w:left w:val="nil"/>
              <w:bottom w:val="single" w:sz="4" w:space="0" w:color="auto"/>
              <w:right w:val="single" w:sz="4" w:space="0" w:color="auto"/>
            </w:tcBorders>
            <w:shd w:val="clear" w:color="auto" w:fill="C6EFCE"/>
            <w:noWrap/>
          </w:tcPr>
          <w:p w14:paraId="0A8DB857" w14:textId="604CF41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Katastrálne mapovanie – 85</w:t>
            </w:r>
            <w:r w:rsidR="00AB26B3" w:rsidRPr="00AB26B3">
              <w:rPr>
                <w:noProof/>
                <w:spacing w:val="-6"/>
                <w:lang w:val="sk-SK"/>
              </w:rPr>
              <w:t> %</w:t>
            </w:r>
            <w:r w:rsidRPr="00AB26B3">
              <w:rPr>
                <w:noProof/>
                <w:spacing w:val="-6"/>
                <w:lang w:val="sk-SK"/>
              </w:rPr>
              <w:t xml:space="preserve"> dokončenie</w:t>
            </w:r>
          </w:p>
        </w:tc>
        <w:tc>
          <w:tcPr>
            <w:tcW w:w="1975" w:type="dxa"/>
            <w:tcBorders>
              <w:top w:val="single" w:sz="4" w:space="0" w:color="auto"/>
              <w:left w:val="nil"/>
              <w:bottom w:val="single" w:sz="4" w:space="0" w:color="auto"/>
              <w:right w:val="single" w:sz="4" w:space="0" w:color="auto"/>
            </w:tcBorders>
            <w:shd w:val="clear" w:color="auto" w:fill="C6EFCE"/>
            <w:noWrap/>
          </w:tcPr>
          <w:p w14:paraId="79E585A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77" w:type="dxa"/>
            <w:tcBorders>
              <w:top w:val="single" w:sz="4" w:space="0" w:color="auto"/>
              <w:left w:val="nil"/>
              <w:bottom w:val="single" w:sz="4" w:space="0" w:color="auto"/>
              <w:right w:val="single" w:sz="4" w:space="0" w:color="auto"/>
            </w:tcBorders>
            <w:shd w:val="clear" w:color="auto" w:fill="C6EFCE"/>
            <w:noWrap/>
          </w:tcPr>
          <w:p w14:paraId="7544F2F0" w14:textId="093E155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celkových vlastníckych práv nahratých na verejné zobrazenie podľa ustanovení zákona </w:t>
            </w:r>
            <w:r w:rsidR="00AB26B3" w:rsidRPr="00AB26B3">
              <w:rPr>
                <w:noProof/>
                <w:spacing w:val="-6"/>
                <w:lang w:val="sk-SK"/>
              </w:rPr>
              <w:t>č. </w:t>
            </w:r>
            <w:r w:rsidRPr="00AB26B3">
              <w:rPr>
                <w:noProof/>
                <w:spacing w:val="-6"/>
                <w:lang w:val="sk-SK"/>
              </w:rPr>
              <w:t xml:space="preserve">2308/1995 zmeneného článkom 3 zákona </w:t>
            </w:r>
            <w:r w:rsidR="00AB26B3" w:rsidRPr="00AB26B3">
              <w:rPr>
                <w:noProof/>
                <w:spacing w:val="-6"/>
                <w:lang w:val="sk-SK"/>
              </w:rPr>
              <w:t>č. </w:t>
            </w:r>
            <w:r w:rsidRPr="00AB26B3">
              <w:rPr>
                <w:noProof/>
                <w:spacing w:val="-6"/>
                <w:lang w:val="sk-SK"/>
              </w:rPr>
              <w:t>4821/2021</w:t>
            </w:r>
          </w:p>
        </w:tc>
        <w:tc>
          <w:tcPr>
            <w:tcW w:w="1003" w:type="dxa"/>
            <w:tcBorders>
              <w:top w:val="single" w:sz="4" w:space="0" w:color="auto"/>
              <w:left w:val="nil"/>
              <w:bottom w:val="single" w:sz="4" w:space="0" w:color="auto"/>
              <w:right w:val="single" w:sz="4" w:space="0" w:color="auto"/>
            </w:tcBorders>
            <w:shd w:val="clear" w:color="auto" w:fill="C6EFCE"/>
            <w:noWrap/>
          </w:tcPr>
          <w:p w14:paraId="7128E5E2" w14:textId="2C8504B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79</w:t>
            </w:r>
            <w:r w:rsidR="00AB26B3" w:rsidRPr="00AB26B3">
              <w:rPr>
                <w:noProof/>
                <w:spacing w:val="-6"/>
                <w:lang w:val="sk-SK"/>
              </w:rPr>
              <w:t> %</w:t>
            </w:r>
          </w:p>
        </w:tc>
        <w:tc>
          <w:tcPr>
            <w:tcW w:w="876" w:type="dxa"/>
            <w:tcBorders>
              <w:top w:val="single" w:sz="4" w:space="0" w:color="auto"/>
              <w:left w:val="nil"/>
              <w:bottom w:val="single" w:sz="4" w:space="0" w:color="auto"/>
              <w:right w:val="single" w:sz="4" w:space="0" w:color="auto"/>
            </w:tcBorders>
            <w:shd w:val="clear" w:color="auto" w:fill="C6EFCE"/>
            <w:noWrap/>
          </w:tcPr>
          <w:p w14:paraId="49080351" w14:textId="3549ED7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85</w:t>
            </w:r>
            <w:r w:rsidR="00AB26B3" w:rsidRPr="00AB26B3">
              <w:rPr>
                <w:noProof/>
                <w:spacing w:val="-6"/>
                <w:lang w:val="sk-SK"/>
              </w:rPr>
              <w:t> %</w:t>
            </w:r>
          </w:p>
        </w:tc>
        <w:tc>
          <w:tcPr>
            <w:tcW w:w="846" w:type="dxa"/>
            <w:tcBorders>
              <w:top w:val="single" w:sz="4" w:space="0" w:color="auto"/>
              <w:left w:val="nil"/>
              <w:bottom w:val="single" w:sz="4" w:space="0" w:color="auto"/>
              <w:right w:val="single" w:sz="4" w:space="0" w:color="auto"/>
            </w:tcBorders>
            <w:shd w:val="clear" w:color="auto" w:fill="C6EFCE"/>
            <w:noWrap/>
          </w:tcPr>
          <w:p w14:paraId="537409C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single" w:sz="4" w:space="0" w:color="auto"/>
              <w:left w:val="nil"/>
              <w:bottom w:val="single" w:sz="4" w:space="0" w:color="auto"/>
              <w:right w:val="single" w:sz="4" w:space="0" w:color="auto"/>
            </w:tcBorders>
            <w:shd w:val="clear" w:color="auto" w:fill="C6EFCE"/>
            <w:noWrap/>
          </w:tcPr>
          <w:p w14:paraId="25A7D87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2965" w:type="dxa"/>
            <w:tcBorders>
              <w:top w:val="single" w:sz="4" w:space="0" w:color="auto"/>
              <w:left w:val="nil"/>
              <w:bottom w:val="single" w:sz="4" w:space="0" w:color="auto"/>
              <w:right w:val="single" w:sz="4" w:space="0" w:color="auto"/>
            </w:tcBorders>
            <w:shd w:val="clear" w:color="auto" w:fill="C6EFCE"/>
            <w:noWrap/>
          </w:tcPr>
          <w:p w14:paraId="3328C193" w14:textId="68B0C55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85</w:t>
            </w:r>
            <w:r w:rsidR="00AB26B3" w:rsidRPr="00AB26B3">
              <w:rPr>
                <w:noProof/>
                <w:spacing w:val="-6"/>
                <w:lang w:val="sk-SK"/>
              </w:rPr>
              <w:t> %</w:t>
            </w:r>
            <w:r w:rsidRPr="00AB26B3">
              <w:rPr>
                <w:noProof/>
                <w:spacing w:val="-6"/>
                <w:lang w:val="sk-SK"/>
              </w:rPr>
              <w:t xml:space="preserve"> vlastníckych práv Grécka sa dostalo do fázy verejného vystavovania.</w:t>
            </w:r>
          </w:p>
        </w:tc>
      </w:tr>
      <w:tr w:rsidR="00302FC1" w:rsidRPr="00AB26B3" w14:paraId="07378F1F" w14:textId="77777777">
        <w:trPr>
          <w:trHeight w:val="309"/>
          <w:jc w:val="center"/>
        </w:trPr>
        <w:tc>
          <w:tcPr>
            <w:tcW w:w="613" w:type="dxa"/>
            <w:tcBorders>
              <w:top w:val="single" w:sz="4" w:space="0" w:color="auto"/>
              <w:left w:val="single" w:sz="4" w:space="0" w:color="auto"/>
              <w:bottom w:val="single" w:sz="4" w:space="0" w:color="auto"/>
              <w:right w:val="single" w:sz="4" w:space="0" w:color="auto"/>
            </w:tcBorders>
            <w:shd w:val="clear" w:color="auto" w:fill="C6EFCE"/>
            <w:noWrap/>
          </w:tcPr>
          <w:p w14:paraId="60CA6E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342</w:t>
            </w:r>
          </w:p>
        </w:tc>
        <w:tc>
          <w:tcPr>
            <w:tcW w:w="2560" w:type="dxa"/>
            <w:tcBorders>
              <w:top w:val="single" w:sz="4" w:space="0" w:color="auto"/>
              <w:left w:val="nil"/>
              <w:bottom w:val="single" w:sz="4" w:space="0" w:color="auto"/>
              <w:right w:val="single" w:sz="4" w:space="0" w:color="auto"/>
            </w:tcBorders>
            <w:shd w:val="clear" w:color="auto" w:fill="C6EFCE"/>
            <w:noWrap/>
          </w:tcPr>
          <w:p w14:paraId="5100110E" w14:textId="21C81C7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16986_Dokončenie národného katastra</w:t>
            </w:r>
          </w:p>
        </w:tc>
        <w:tc>
          <w:tcPr>
            <w:tcW w:w="1063" w:type="dxa"/>
            <w:tcBorders>
              <w:top w:val="single" w:sz="4" w:space="0" w:color="auto"/>
              <w:left w:val="nil"/>
              <w:bottom w:val="single" w:sz="4" w:space="0" w:color="auto"/>
              <w:right w:val="single" w:sz="4" w:space="0" w:color="auto"/>
            </w:tcBorders>
            <w:shd w:val="clear" w:color="auto" w:fill="C6EFCE"/>
            <w:noWrap/>
          </w:tcPr>
          <w:p w14:paraId="0A9B2D4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2034" w:type="dxa"/>
            <w:tcBorders>
              <w:top w:val="single" w:sz="4" w:space="0" w:color="auto"/>
              <w:left w:val="nil"/>
              <w:bottom w:val="single" w:sz="4" w:space="0" w:color="auto"/>
              <w:right w:val="single" w:sz="4" w:space="0" w:color="auto"/>
            </w:tcBorders>
            <w:shd w:val="clear" w:color="auto" w:fill="C6EFCE"/>
            <w:noWrap/>
          </w:tcPr>
          <w:p w14:paraId="7E2441BF" w14:textId="2984ECF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Katastrálne mapovanie – 95</w:t>
            </w:r>
            <w:r w:rsidR="00AB26B3" w:rsidRPr="00AB26B3">
              <w:rPr>
                <w:noProof/>
                <w:spacing w:val="-6"/>
                <w:lang w:val="sk-SK"/>
              </w:rPr>
              <w:t> %</w:t>
            </w:r>
            <w:r w:rsidRPr="00AB26B3">
              <w:rPr>
                <w:noProof/>
                <w:spacing w:val="-6"/>
                <w:lang w:val="sk-SK"/>
              </w:rPr>
              <w:t xml:space="preserve"> dokončenie</w:t>
            </w:r>
          </w:p>
        </w:tc>
        <w:tc>
          <w:tcPr>
            <w:tcW w:w="1975" w:type="dxa"/>
            <w:tcBorders>
              <w:top w:val="single" w:sz="4" w:space="0" w:color="auto"/>
              <w:left w:val="nil"/>
              <w:bottom w:val="single" w:sz="4" w:space="0" w:color="auto"/>
              <w:right w:val="single" w:sz="4" w:space="0" w:color="auto"/>
            </w:tcBorders>
            <w:shd w:val="clear" w:color="auto" w:fill="C6EFCE"/>
            <w:noWrap/>
          </w:tcPr>
          <w:p w14:paraId="4FFB377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77" w:type="dxa"/>
            <w:tcBorders>
              <w:top w:val="single" w:sz="4" w:space="0" w:color="auto"/>
              <w:left w:val="nil"/>
              <w:bottom w:val="single" w:sz="4" w:space="0" w:color="auto"/>
              <w:right w:val="single" w:sz="4" w:space="0" w:color="auto"/>
            </w:tcBorders>
            <w:shd w:val="clear" w:color="auto" w:fill="C6EFCE"/>
            <w:noWrap/>
          </w:tcPr>
          <w:p w14:paraId="738CC765" w14:textId="054441F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celkových vlastníckych práv nahratých na verejné zobrazenie podľa ustanovení zákona </w:t>
            </w:r>
            <w:r w:rsidR="00AB26B3" w:rsidRPr="00AB26B3">
              <w:rPr>
                <w:noProof/>
                <w:spacing w:val="-6"/>
                <w:lang w:val="sk-SK"/>
              </w:rPr>
              <w:t>č. </w:t>
            </w:r>
            <w:r w:rsidRPr="00AB26B3">
              <w:rPr>
                <w:noProof/>
                <w:spacing w:val="-6"/>
                <w:lang w:val="sk-SK"/>
              </w:rPr>
              <w:t xml:space="preserve">2308/1995 zmeneného článkom 6 zákona </w:t>
            </w:r>
            <w:r w:rsidR="00AB26B3" w:rsidRPr="00AB26B3">
              <w:rPr>
                <w:noProof/>
                <w:spacing w:val="-6"/>
                <w:lang w:val="sk-SK"/>
              </w:rPr>
              <w:t>č. </w:t>
            </w:r>
            <w:r w:rsidRPr="00AB26B3">
              <w:rPr>
                <w:noProof/>
                <w:spacing w:val="-6"/>
                <w:lang w:val="sk-SK"/>
              </w:rPr>
              <w:t>4821/2021</w:t>
            </w:r>
          </w:p>
        </w:tc>
        <w:tc>
          <w:tcPr>
            <w:tcW w:w="1003" w:type="dxa"/>
            <w:tcBorders>
              <w:top w:val="single" w:sz="4" w:space="0" w:color="auto"/>
              <w:left w:val="nil"/>
              <w:bottom w:val="single" w:sz="4" w:space="0" w:color="auto"/>
              <w:right w:val="single" w:sz="4" w:space="0" w:color="auto"/>
            </w:tcBorders>
            <w:shd w:val="clear" w:color="auto" w:fill="C6EFCE"/>
            <w:noWrap/>
          </w:tcPr>
          <w:p w14:paraId="7ACA59BC" w14:textId="1F8AE3D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85</w:t>
            </w:r>
            <w:r w:rsidR="00AB26B3" w:rsidRPr="00AB26B3">
              <w:rPr>
                <w:noProof/>
                <w:spacing w:val="-6"/>
                <w:lang w:val="sk-SK"/>
              </w:rPr>
              <w:t> %</w:t>
            </w:r>
          </w:p>
        </w:tc>
        <w:tc>
          <w:tcPr>
            <w:tcW w:w="876" w:type="dxa"/>
            <w:tcBorders>
              <w:top w:val="single" w:sz="4" w:space="0" w:color="auto"/>
              <w:left w:val="nil"/>
              <w:bottom w:val="single" w:sz="4" w:space="0" w:color="auto"/>
              <w:right w:val="single" w:sz="4" w:space="0" w:color="auto"/>
            </w:tcBorders>
            <w:shd w:val="clear" w:color="auto" w:fill="C6EFCE"/>
            <w:noWrap/>
          </w:tcPr>
          <w:p w14:paraId="3FE17ECD" w14:textId="3DB2125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95</w:t>
            </w:r>
            <w:r w:rsidR="00AB26B3" w:rsidRPr="00AB26B3">
              <w:rPr>
                <w:noProof/>
                <w:spacing w:val="-6"/>
                <w:lang w:val="sk-SK"/>
              </w:rPr>
              <w:t> %</w:t>
            </w:r>
          </w:p>
        </w:tc>
        <w:tc>
          <w:tcPr>
            <w:tcW w:w="846" w:type="dxa"/>
            <w:tcBorders>
              <w:top w:val="single" w:sz="4" w:space="0" w:color="auto"/>
              <w:left w:val="nil"/>
              <w:bottom w:val="single" w:sz="4" w:space="0" w:color="auto"/>
              <w:right w:val="single" w:sz="4" w:space="0" w:color="auto"/>
            </w:tcBorders>
            <w:shd w:val="clear" w:color="auto" w:fill="C6EFCE"/>
            <w:noWrap/>
          </w:tcPr>
          <w:p w14:paraId="48CA61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73" w:type="dxa"/>
            <w:tcBorders>
              <w:top w:val="single" w:sz="4" w:space="0" w:color="auto"/>
              <w:left w:val="nil"/>
              <w:bottom w:val="single" w:sz="4" w:space="0" w:color="auto"/>
              <w:right w:val="single" w:sz="4" w:space="0" w:color="auto"/>
            </w:tcBorders>
            <w:shd w:val="clear" w:color="auto" w:fill="C6EFCE"/>
            <w:noWrap/>
          </w:tcPr>
          <w:p w14:paraId="171AB6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2965" w:type="dxa"/>
            <w:tcBorders>
              <w:top w:val="single" w:sz="4" w:space="0" w:color="auto"/>
              <w:left w:val="nil"/>
              <w:bottom w:val="single" w:sz="4" w:space="0" w:color="auto"/>
              <w:right w:val="single" w:sz="4" w:space="0" w:color="auto"/>
            </w:tcBorders>
            <w:shd w:val="clear" w:color="auto" w:fill="C6EFCE"/>
            <w:noWrap/>
          </w:tcPr>
          <w:p w14:paraId="76CBE5B0" w14:textId="2653866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95</w:t>
            </w:r>
            <w:r w:rsidR="00AB26B3" w:rsidRPr="00AB26B3">
              <w:rPr>
                <w:noProof/>
                <w:spacing w:val="-6"/>
                <w:lang w:val="sk-SK"/>
              </w:rPr>
              <w:t> %</w:t>
            </w:r>
            <w:r w:rsidRPr="00AB26B3">
              <w:rPr>
                <w:noProof/>
                <w:spacing w:val="-6"/>
                <w:lang w:val="sk-SK"/>
              </w:rPr>
              <w:t xml:space="preserve"> vlastníckych práv Grécka sa dostalo do fázy verejného vystavovania.</w:t>
            </w:r>
          </w:p>
        </w:tc>
      </w:tr>
      <w:tr w:rsidR="00302FC1" w:rsidRPr="00AB26B3" w14:paraId="783E86A7" w14:textId="77777777">
        <w:trPr>
          <w:trHeight w:val="309"/>
          <w:jc w:val="center"/>
        </w:trPr>
        <w:tc>
          <w:tcPr>
            <w:tcW w:w="613" w:type="dxa"/>
            <w:tcBorders>
              <w:top w:val="single" w:sz="4" w:space="0" w:color="auto"/>
              <w:left w:val="single" w:sz="4" w:space="0" w:color="auto"/>
              <w:bottom w:val="single" w:sz="4" w:space="0" w:color="auto"/>
              <w:right w:val="single" w:sz="4" w:space="0" w:color="auto"/>
            </w:tcBorders>
            <w:shd w:val="clear" w:color="auto" w:fill="C6EFCE"/>
            <w:noWrap/>
          </w:tcPr>
          <w:p w14:paraId="797A473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343</w:t>
            </w:r>
          </w:p>
        </w:tc>
        <w:tc>
          <w:tcPr>
            <w:tcW w:w="2560" w:type="dxa"/>
            <w:tcBorders>
              <w:top w:val="single" w:sz="4" w:space="0" w:color="auto"/>
              <w:left w:val="nil"/>
              <w:bottom w:val="single" w:sz="4" w:space="0" w:color="auto"/>
              <w:right w:val="single" w:sz="4" w:space="0" w:color="auto"/>
            </w:tcBorders>
            <w:shd w:val="clear" w:color="auto" w:fill="C6EFCE"/>
            <w:noWrap/>
          </w:tcPr>
          <w:p w14:paraId="630BEB17" w14:textId="524BA06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 xml:space="preserve">bojom proti korupcii – 16986_Dokončenie národného katastra </w:t>
            </w:r>
          </w:p>
        </w:tc>
        <w:tc>
          <w:tcPr>
            <w:tcW w:w="1063" w:type="dxa"/>
            <w:tcBorders>
              <w:top w:val="single" w:sz="4" w:space="0" w:color="auto"/>
              <w:left w:val="nil"/>
              <w:bottom w:val="single" w:sz="4" w:space="0" w:color="auto"/>
              <w:right w:val="single" w:sz="4" w:space="0" w:color="auto"/>
            </w:tcBorders>
            <w:shd w:val="clear" w:color="auto" w:fill="C6EFCE"/>
            <w:noWrap/>
          </w:tcPr>
          <w:p w14:paraId="5B46BB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2034" w:type="dxa"/>
            <w:tcBorders>
              <w:top w:val="single" w:sz="4" w:space="0" w:color="auto"/>
              <w:left w:val="nil"/>
              <w:bottom w:val="single" w:sz="4" w:space="0" w:color="auto"/>
              <w:right w:val="single" w:sz="4" w:space="0" w:color="auto"/>
            </w:tcBorders>
            <w:shd w:val="clear" w:color="auto" w:fill="C6EFCE"/>
            <w:noWrap/>
          </w:tcPr>
          <w:p w14:paraId="43A651D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Prechod na novú organizačnú štruktúru gréckeho katastra nehnuteľností – úplné dokončenie</w:t>
            </w:r>
          </w:p>
        </w:tc>
        <w:tc>
          <w:tcPr>
            <w:tcW w:w="1975" w:type="dxa"/>
            <w:tcBorders>
              <w:top w:val="single" w:sz="4" w:space="0" w:color="auto"/>
              <w:left w:val="nil"/>
              <w:bottom w:val="single" w:sz="4" w:space="0" w:color="auto"/>
              <w:right w:val="single" w:sz="4" w:space="0" w:color="auto"/>
            </w:tcBorders>
            <w:shd w:val="clear" w:color="auto" w:fill="C6EFCE"/>
            <w:noWrap/>
          </w:tcPr>
          <w:p w14:paraId="5E9F88A3" w14:textId="71CF8057"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Oficiálne rozhodnutia predstavenstva gréckeho katastra</w:t>
            </w:r>
            <w:r w:rsidR="00AB26B3" w:rsidRPr="00AB26B3">
              <w:rPr>
                <w:noProof/>
                <w:color w:val="006100"/>
                <w:spacing w:val="-6"/>
                <w:lang w:val="sk-SK"/>
              </w:rPr>
              <w:t xml:space="preserve"> o </w:t>
            </w:r>
            <w:r w:rsidRPr="00AB26B3">
              <w:rPr>
                <w:noProof/>
                <w:color w:val="006100"/>
                <w:spacing w:val="-6"/>
                <w:lang w:val="sk-SK"/>
              </w:rPr>
              <w:t>otvorení</w:t>
            </w:r>
            <w:r w:rsidR="00AB26B3" w:rsidRPr="00AB26B3">
              <w:rPr>
                <w:noProof/>
                <w:color w:val="006100"/>
                <w:spacing w:val="-6"/>
                <w:lang w:val="sk-SK"/>
              </w:rPr>
              <w:t xml:space="preserve"> a </w:t>
            </w:r>
            <w:r w:rsidRPr="00AB26B3">
              <w:rPr>
                <w:noProof/>
                <w:color w:val="006100"/>
                <w:spacing w:val="-6"/>
                <w:lang w:val="sk-SK"/>
              </w:rPr>
              <w:t>sprevádzkovaní katastrálnych úradov</w:t>
            </w:r>
            <w:r w:rsidR="00AB26B3" w:rsidRPr="00AB26B3">
              <w:rPr>
                <w:noProof/>
                <w:color w:val="006100"/>
                <w:spacing w:val="-6"/>
                <w:lang w:val="sk-SK"/>
              </w:rPr>
              <w:t xml:space="preserve"> a </w:t>
            </w:r>
            <w:r w:rsidRPr="00AB26B3">
              <w:rPr>
                <w:noProof/>
                <w:color w:val="006100"/>
                <w:spacing w:val="-6"/>
                <w:lang w:val="sk-SK"/>
              </w:rPr>
              <w:t>pobočiek na celom gréckom území</w:t>
            </w:r>
            <w:r w:rsidR="00AB26B3" w:rsidRPr="00AB26B3">
              <w:rPr>
                <w:noProof/>
                <w:color w:val="006100"/>
                <w:spacing w:val="-6"/>
                <w:lang w:val="sk-SK"/>
              </w:rPr>
              <w:t xml:space="preserve"> a o </w:t>
            </w:r>
            <w:r w:rsidRPr="00AB26B3">
              <w:rPr>
                <w:noProof/>
                <w:color w:val="006100"/>
                <w:spacing w:val="-6"/>
                <w:lang w:val="sk-SK"/>
              </w:rPr>
              <w:t>zatvorení starých hypotekárnych úradov.</w:t>
            </w:r>
          </w:p>
        </w:tc>
        <w:tc>
          <w:tcPr>
            <w:tcW w:w="1777" w:type="dxa"/>
            <w:tcBorders>
              <w:top w:val="single" w:sz="4" w:space="0" w:color="auto"/>
              <w:left w:val="nil"/>
              <w:bottom w:val="single" w:sz="4" w:space="0" w:color="auto"/>
              <w:right w:val="single" w:sz="4" w:space="0" w:color="auto"/>
            </w:tcBorders>
            <w:shd w:val="clear" w:color="auto" w:fill="C6EFCE"/>
            <w:noWrap/>
          </w:tcPr>
          <w:p w14:paraId="2949D10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03" w:type="dxa"/>
            <w:tcBorders>
              <w:top w:val="single" w:sz="4" w:space="0" w:color="auto"/>
              <w:left w:val="nil"/>
              <w:bottom w:val="single" w:sz="4" w:space="0" w:color="auto"/>
              <w:right w:val="single" w:sz="4" w:space="0" w:color="auto"/>
            </w:tcBorders>
            <w:shd w:val="clear" w:color="auto" w:fill="C6EFCE"/>
            <w:noWrap/>
          </w:tcPr>
          <w:p w14:paraId="0FE3A32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76" w:type="dxa"/>
            <w:tcBorders>
              <w:top w:val="single" w:sz="4" w:space="0" w:color="auto"/>
              <w:left w:val="nil"/>
              <w:bottom w:val="single" w:sz="4" w:space="0" w:color="auto"/>
              <w:right w:val="single" w:sz="4" w:space="0" w:color="auto"/>
            </w:tcBorders>
            <w:shd w:val="clear" w:color="auto" w:fill="C6EFCE"/>
            <w:noWrap/>
          </w:tcPr>
          <w:p w14:paraId="2AF7B55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7BF482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73" w:type="dxa"/>
            <w:tcBorders>
              <w:top w:val="single" w:sz="4" w:space="0" w:color="auto"/>
              <w:left w:val="nil"/>
              <w:bottom w:val="single" w:sz="4" w:space="0" w:color="auto"/>
              <w:right w:val="single" w:sz="4" w:space="0" w:color="auto"/>
            </w:tcBorders>
            <w:shd w:val="clear" w:color="auto" w:fill="C6EFCE"/>
            <w:noWrap/>
          </w:tcPr>
          <w:p w14:paraId="6E47F54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2965" w:type="dxa"/>
            <w:tcBorders>
              <w:top w:val="single" w:sz="4" w:space="0" w:color="auto"/>
              <w:left w:val="nil"/>
              <w:bottom w:val="single" w:sz="4" w:space="0" w:color="auto"/>
              <w:right w:val="single" w:sz="4" w:space="0" w:color="auto"/>
            </w:tcBorders>
            <w:shd w:val="clear" w:color="auto" w:fill="C6EFCE"/>
            <w:noWrap/>
          </w:tcPr>
          <w:p w14:paraId="5999B195" w14:textId="6996BF0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 prijatí oficiálnych rozhodnutí predstavenstva gréckeho katastra je dokončený prechod na novú organizačnú štruktúru gréckeho katastra. Konkrétne i) zostávajúce katastrálne úrady pre regióny Solún, Kréta</w:t>
            </w:r>
            <w:r w:rsidR="00AB26B3" w:rsidRPr="00AB26B3">
              <w:rPr>
                <w:noProof/>
                <w:spacing w:val="-6"/>
                <w:lang w:val="sk-SK"/>
              </w:rPr>
              <w:t xml:space="preserve"> a </w:t>
            </w:r>
            <w:r w:rsidRPr="00AB26B3">
              <w:rPr>
                <w:noProof/>
                <w:spacing w:val="-6"/>
                <w:lang w:val="sk-SK"/>
              </w:rPr>
              <w:t>Dodekanéz sú otvorené</w:t>
            </w:r>
            <w:r w:rsidR="00AB26B3" w:rsidRPr="00AB26B3">
              <w:rPr>
                <w:noProof/>
                <w:spacing w:val="-6"/>
                <w:lang w:val="sk-SK"/>
              </w:rPr>
              <w:t xml:space="preserve"> a </w:t>
            </w:r>
            <w:r w:rsidRPr="00AB26B3">
              <w:rPr>
                <w:noProof/>
                <w:spacing w:val="-6"/>
                <w:lang w:val="sk-SK"/>
              </w:rPr>
              <w:t>funkčné; II) zostávajúcich 18 pobočiek je otvorených</w:t>
            </w:r>
            <w:r w:rsidR="00AB26B3" w:rsidRPr="00AB26B3">
              <w:rPr>
                <w:noProof/>
                <w:spacing w:val="-6"/>
                <w:lang w:val="sk-SK"/>
              </w:rPr>
              <w:t xml:space="preserve"> a </w:t>
            </w:r>
            <w:r w:rsidRPr="00AB26B3">
              <w:rPr>
                <w:noProof/>
                <w:spacing w:val="-6"/>
                <w:lang w:val="sk-SK"/>
              </w:rPr>
              <w:t>funkčných;</w:t>
            </w:r>
            <w:r w:rsidR="00AB26B3" w:rsidRPr="00AB26B3">
              <w:rPr>
                <w:noProof/>
                <w:spacing w:val="-6"/>
                <w:lang w:val="sk-SK"/>
              </w:rPr>
              <w:t xml:space="preserve"> a </w:t>
            </w:r>
            <w:r w:rsidRPr="00AB26B3">
              <w:rPr>
                <w:noProof/>
                <w:spacing w:val="-6"/>
                <w:lang w:val="sk-SK"/>
              </w:rPr>
              <w:t>iii) zostávajúcich 223 starých hypotekárnych úradov je zatvorených.</w:t>
            </w:r>
          </w:p>
        </w:tc>
      </w:tr>
      <w:tr w:rsidR="00302FC1" w:rsidRPr="00AB26B3" w14:paraId="61DFC6DC" w14:textId="77777777">
        <w:trPr>
          <w:trHeight w:val="309"/>
          <w:jc w:val="center"/>
        </w:trPr>
        <w:tc>
          <w:tcPr>
            <w:tcW w:w="613" w:type="dxa"/>
            <w:tcBorders>
              <w:top w:val="single" w:sz="4" w:space="0" w:color="auto"/>
              <w:left w:val="single" w:sz="4" w:space="0" w:color="auto"/>
              <w:bottom w:val="single" w:sz="4" w:space="0" w:color="auto"/>
              <w:right w:val="single" w:sz="4" w:space="0" w:color="auto"/>
            </w:tcBorders>
            <w:shd w:val="clear" w:color="auto" w:fill="C6EFCE"/>
            <w:noWrap/>
          </w:tcPr>
          <w:p w14:paraId="11C0B9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344</w:t>
            </w:r>
          </w:p>
        </w:tc>
        <w:tc>
          <w:tcPr>
            <w:tcW w:w="2560" w:type="dxa"/>
            <w:tcBorders>
              <w:top w:val="single" w:sz="4" w:space="0" w:color="auto"/>
              <w:left w:val="nil"/>
              <w:bottom w:val="single" w:sz="4" w:space="0" w:color="auto"/>
              <w:right w:val="single" w:sz="4" w:space="0" w:color="auto"/>
            </w:tcBorders>
            <w:shd w:val="clear" w:color="auto" w:fill="C6EFCE"/>
            <w:noWrap/>
          </w:tcPr>
          <w:p w14:paraId="299CB8B0" w14:textId="5565631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16986_Dokončenie národného katastra</w:t>
            </w:r>
          </w:p>
        </w:tc>
        <w:tc>
          <w:tcPr>
            <w:tcW w:w="1063" w:type="dxa"/>
            <w:tcBorders>
              <w:top w:val="single" w:sz="4" w:space="0" w:color="auto"/>
              <w:left w:val="nil"/>
              <w:bottom w:val="single" w:sz="4" w:space="0" w:color="auto"/>
              <w:right w:val="single" w:sz="4" w:space="0" w:color="auto"/>
            </w:tcBorders>
            <w:shd w:val="clear" w:color="auto" w:fill="C6EFCE"/>
            <w:noWrap/>
          </w:tcPr>
          <w:p w14:paraId="7C6601D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2034" w:type="dxa"/>
            <w:tcBorders>
              <w:top w:val="single" w:sz="4" w:space="0" w:color="auto"/>
              <w:left w:val="nil"/>
              <w:bottom w:val="single" w:sz="4" w:space="0" w:color="auto"/>
              <w:right w:val="single" w:sz="4" w:space="0" w:color="auto"/>
            </w:tcBorders>
            <w:shd w:val="clear" w:color="auto" w:fill="C6EFCE"/>
            <w:noWrap/>
          </w:tcPr>
          <w:p w14:paraId="70608C8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Katastrálne mapovanie – dokončenie</w:t>
            </w:r>
          </w:p>
        </w:tc>
        <w:tc>
          <w:tcPr>
            <w:tcW w:w="1975" w:type="dxa"/>
            <w:tcBorders>
              <w:top w:val="single" w:sz="4" w:space="0" w:color="auto"/>
              <w:left w:val="nil"/>
              <w:bottom w:val="single" w:sz="4" w:space="0" w:color="auto"/>
              <w:right w:val="single" w:sz="4" w:space="0" w:color="auto"/>
            </w:tcBorders>
            <w:shd w:val="clear" w:color="auto" w:fill="C6EFCE"/>
            <w:noWrap/>
          </w:tcPr>
          <w:p w14:paraId="42FB527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777" w:type="dxa"/>
            <w:tcBorders>
              <w:top w:val="single" w:sz="4" w:space="0" w:color="auto"/>
              <w:left w:val="nil"/>
              <w:bottom w:val="single" w:sz="4" w:space="0" w:color="auto"/>
              <w:right w:val="single" w:sz="4" w:space="0" w:color="auto"/>
            </w:tcBorders>
            <w:shd w:val="clear" w:color="auto" w:fill="C6EFCE"/>
            <w:noWrap/>
          </w:tcPr>
          <w:p w14:paraId="3E98313E" w14:textId="44C4E1C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celkových vlastníckych práv nahratých na verejné zobrazenie podľa ustanovení zákona </w:t>
            </w:r>
            <w:r w:rsidR="00AB26B3" w:rsidRPr="00AB26B3">
              <w:rPr>
                <w:noProof/>
                <w:spacing w:val="-6"/>
                <w:lang w:val="sk-SK"/>
              </w:rPr>
              <w:t>č. </w:t>
            </w:r>
            <w:r w:rsidRPr="00AB26B3">
              <w:rPr>
                <w:noProof/>
                <w:spacing w:val="-6"/>
                <w:lang w:val="sk-SK"/>
              </w:rPr>
              <w:t xml:space="preserve">2308/1995 </w:t>
            </w:r>
          </w:p>
        </w:tc>
        <w:tc>
          <w:tcPr>
            <w:tcW w:w="1003" w:type="dxa"/>
            <w:tcBorders>
              <w:top w:val="single" w:sz="4" w:space="0" w:color="auto"/>
              <w:left w:val="nil"/>
              <w:bottom w:val="single" w:sz="4" w:space="0" w:color="auto"/>
              <w:right w:val="single" w:sz="4" w:space="0" w:color="auto"/>
            </w:tcBorders>
            <w:shd w:val="clear" w:color="auto" w:fill="C6EFCE"/>
            <w:noWrap/>
          </w:tcPr>
          <w:p w14:paraId="6FA5FB53" w14:textId="68E8294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95</w:t>
            </w:r>
            <w:r w:rsidR="00AB26B3" w:rsidRPr="00AB26B3">
              <w:rPr>
                <w:noProof/>
                <w:spacing w:val="-6"/>
                <w:lang w:val="sk-SK"/>
              </w:rPr>
              <w:t> %</w:t>
            </w:r>
          </w:p>
        </w:tc>
        <w:tc>
          <w:tcPr>
            <w:tcW w:w="876" w:type="dxa"/>
            <w:tcBorders>
              <w:top w:val="single" w:sz="4" w:space="0" w:color="auto"/>
              <w:left w:val="nil"/>
              <w:bottom w:val="single" w:sz="4" w:space="0" w:color="auto"/>
              <w:right w:val="single" w:sz="4" w:space="0" w:color="auto"/>
            </w:tcBorders>
            <w:shd w:val="clear" w:color="auto" w:fill="C6EFCE"/>
            <w:noWrap/>
          </w:tcPr>
          <w:p w14:paraId="4DA79D42" w14:textId="32094F8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100</w:t>
            </w:r>
            <w:r w:rsidR="00AB26B3" w:rsidRPr="00AB26B3">
              <w:rPr>
                <w:noProof/>
                <w:spacing w:val="-6"/>
                <w:lang w:val="sk-SK"/>
              </w:rPr>
              <w:t> %</w:t>
            </w:r>
          </w:p>
        </w:tc>
        <w:tc>
          <w:tcPr>
            <w:tcW w:w="846" w:type="dxa"/>
            <w:tcBorders>
              <w:top w:val="single" w:sz="4" w:space="0" w:color="auto"/>
              <w:left w:val="nil"/>
              <w:bottom w:val="single" w:sz="4" w:space="0" w:color="auto"/>
              <w:right w:val="single" w:sz="4" w:space="0" w:color="auto"/>
            </w:tcBorders>
            <w:shd w:val="clear" w:color="auto" w:fill="C6EFCE"/>
            <w:noWrap/>
          </w:tcPr>
          <w:p w14:paraId="3248BB6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73" w:type="dxa"/>
            <w:tcBorders>
              <w:top w:val="single" w:sz="4" w:space="0" w:color="auto"/>
              <w:left w:val="nil"/>
              <w:bottom w:val="single" w:sz="4" w:space="0" w:color="auto"/>
              <w:right w:val="single" w:sz="4" w:space="0" w:color="auto"/>
            </w:tcBorders>
            <w:shd w:val="clear" w:color="auto" w:fill="C6EFCE"/>
            <w:noWrap/>
          </w:tcPr>
          <w:p w14:paraId="2B4B254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2965" w:type="dxa"/>
            <w:tcBorders>
              <w:top w:val="single" w:sz="4" w:space="0" w:color="auto"/>
              <w:left w:val="nil"/>
              <w:bottom w:val="single" w:sz="4" w:space="0" w:color="auto"/>
              <w:right w:val="single" w:sz="4" w:space="0" w:color="auto"/>
            </w:tcBorders>
            <w:shd w:val="clear" w:color="auto" w:fill="C6EFCE"/>
            <w:noWrap/>
          </w:tcPr>
          <w:p w14:paraId="7CE11496" w14:textId="3F18827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Dokončilo sa katastrálne mapovanie vlastníckych práv</w:t>
            </w:r>
            <w:r w:rsidR="00AB26B3" w:rsidRPr="00AB26B3">
              <w:rPr>
                <w:noProof/>
                <w:spacing w:val="-6"/>
                <w:lang w:val="sk-SK"/>
              </w:rPr>
              <w:t xml:space="preserve"> v </w:t>
            </w:r>
            <w:r w:rsidRPr="00AB26B3">
              <w:rPr>
                <w:noProof/>
                <w:spacing w:val="-6"/>
                <w:lang w:val="sk-SK"/>
              </w:rPr>
              <w:t>Grécku, pričom všetky vlastnícke práva na celom území Grécka sa dostali do fázy verejného vystavenia.</w:t>
            </w:r>
          </w:p>
        </w:tc>
      </w:tr>
    </w:tbl>
    <w:p w14:paraId="60DCD63D"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1313C6B8"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default" r:id="rId236"/>
          <w:footerReference w:type="default" r:id="rId237"/>
          <w:pgSz w:w="16839" w:h="11907" w:orient="landscape"/>
          <w:pgMar w:top="720" w:right="720" w:bottom="720" w:left="720" w:header="709" w:footer="0" w:gutter="0"/>
          <w:cols w:space="720"/>
          <w:docGrid w:linePitch="360"/>
        </w:sectPr>
      </w:pPr>
    </w:p>
    <w:p w14:paraId="3F598410"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N. ZLOŽKA 4.3: ZLEPŠIŤ EFEKTÍVNOSŤ JUSTIČNÉHO SYSTÉMU</w:t>
      </w:r>
    </w:p>
    <w:p w14:paraId="682C33E0" w14:textId="074EE897"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Tento komponent gréckeho plánu obnovy</w:t>
      </w:r>
      <w:r w:rsidR="00AB26B3" w:rsidRPr="00AB26B3">
        <w:rPr>
          <w:noProof/>
          <w:spacing w:val="-6"/>
          <w:lang w:val="sk-SK"/>
        </w:rPr>
        <w:t xml:space="preserve"> a </w:t>
      </w:r>
      <w:r w:rsidRPr="00AB26B3">
        <w:rPr>
          <w:noProof/>
          <w:spacing w:val="-6"/>
          <w:lang w:val="sk-SK"/>
        </w:rPr>
        <w:t>odolnosti zahŕňa niekoľko rozsiahlych reforiem, ako aj investícií zameraných na zvýšenie účinnosti</w:t>
      </w:r>
      <w:r w:rsidR="00AB26B3" w:rsidRPr="00AB26B3">
        <w:rPr>
          <w:noProof/>
          <w:spacing w:val="-6"/>
          <w:lang w:val="sk-SK"/>
        </w:rPr>
        <w:t xml:space="preserve"> a </w:t>
      </w:r>
      <w:r w:rsidRPr="00AB26B3">
        <w:rPr>
          <w:noProof/>
          <w:spacing w:val="-6"/>
          <w:lang w:val="sk-SK"/>
        </w:rPr>
        <w:t>efektívnosti gréckeho justičného systému zavedením ambicióznej revízie súdnej mapy krajiny, riešením potrieb infraštruktúry, prijatím opatrení na zvýšenie digitálnych kapacít justičného systému, modernizáciou funkcie súdov, zriadením justičnej polície</w:t>
      </w:r>
      <w:r w:rsidR="00AB26B3" w:rsidRPr="00AB26B3">
        <w:rPr>
          <w:noProof/>
          <w:spacing w:val="-6"/>
          <w:lang w:val="sk-SK"/>
        </w:rPr>
        <w:t xml:space="preserve"> a </w:t>
      </w:r>
      <w:r w:rsidRPr="00AB26B3">
        <w:rPr>
          <w:noProof/>
          <w:spacing w:val="-6"/>
          <w:lang w:val="sk-SK"/>
        </w:rPr>
        <w:t>rozšírením</w:t>
      </w:r>
      <w:r w:rsidR="00AB26B3" w:rsidRPr="00AB26B3">
        <w:rPr>
          <w:noProof/>
          <w:spacing w:val="-6"/>
          <w:lang w:val="sk-SK"/>
        </w:rPr>
        <w:t xml:space="preserve"> a </w:t>
      </w:r>
      <w:r w:rsidRPr="00AB26B3">
        <w:rPr>
          <w:noProof/>
          <w:spacing w:val="-6"/>
          <w:lang w:val="sk-SK"/>
        </w:rPr>
        <w:t>modernizáciou vzdelávania (počiatočného aj celoživotného) sudcov</w:t>
      </w:r>
      <w:r w:rsidR="00AB26B3" w:rsidRPr="00AB26B3">
        <w:rPr>
          <w:noProof/>
          <w:spacing w:val="-6"/>
          <w:lang w:val="sk-SK"/>
        </w:rPr>
        <w:t xml:space="preserve"> a </w:t>
      </w:r>
      <w:r w:rsidRPr="00AB26B3">
        <w:rPr>
          <w:noProof/>
          <w:spacing w:val="-6"/>
          <w:lang w:val="sk-SK"/>
        </w:rPr>
        <w:t>administratívnych pracovníkov. Očakáva sa, že opatrenia podporia riešenie výziev uvedených</w:t>
      </w:r>
      <w:r w:rsidR="00AB26B3" w:rsidRPr="00AB26B3">
        <w:rPr>
          <w:noProof/>
          <w:spacing w:val="-6"/>
          <w:lang w:val="sk-SK"/>
        </w:rPr>
        <w:t xml:space="preserve"> v </w:t>
      </w:r>
      <w:r w:rsidRPr="00AB26B3">
        <w:rPr>
          <w:noProof/>
          <w:spacing w:val="-6"/>
          <w:lang w:val="sk-SK"/>
        </w:rPr>
        <w:t>odporúčaniach pre danú krajinu, pokiaľ ide</w:t>
      </w:r>
      <w:r w:rsidR="00AB26B3" w:rsidRPr="00AB26B3">
        <w:rPr>
          <w:noProof/>
          <w:spacing w:val="-6"/>
          <w:lang w:val="sk-SK"/>
        </w:rPr>
        <w:t xml:space="preserve"> o </w:t>
      </w:r>
      <w:r w:rsidRPr="00AB26B3">
        <w:rPr>
          <w:noProof/>
          <w:spacing w:val="-6"/>
          <w:lang w:val="sk-SK"/>
        </w:rPr>
        <w:t>verejné</w:t>
      </w:r>
      <w:r w:rsidR="00AB26B3" w:rsidRPr="00AB26B3">
        <w:rPr>
          <w:noProof/>
          <w:spacing w:val="-6"/>
          <w:lang w:val="sk-SK"/>
        </w:rPr>
        <w:t xml:space="preserve"> a </w:t>
      </w:r>
      <w:r w:rsidRPr="00AB26B3">
        <w:rPr>
          <w:noProof/>
          <w:spacing w:val="-6"/>
          <w:lang w:val="sk-SK"/>
        </w:rPr>
        <w:t>súkromné investície (odporúčanie pre danú krajinu 2 2019, odporúčanie pre danú krajinu 3 2020)</w:t>
      </w:r>
      <w:r w:rsidR="00AB26B3" w:rsidRPr="00AB26B3">
        <w:rPr>
          <w:noProof/>
          <w:spacing w:val="-6"/>
          <w:lang w:val="sk-SK"/>
        </w:rPr>
        <w:t xml:space="preserve"> a </w:t>
      </w:r>
      <w:r w:rsidRPr="00AB26B3">
        <w:rPr>
          <w:noProof/>
          <w:spacing w:val="-6"/>
          <w:lang w:val="sk-SK"/>
        </w:rPr>
        <w:t>štrukturálne reformy na zlepšenie fungovania hospodárstva (odporúčanie pre danú krajinu 4 2020).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02CEFEF5" w14:textId="4C021648"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N.1.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5A17A3AA" w14:textId="196BE7D3"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 xml:space="preserve">Investície: </w:t>
      </w:r>
      <w:r w:rsidRPr="00AB26B3">
        <w:rPr>
          <w:noProof/>
          <w:spacing w:val="-6"/>
          <w:lang w:val="sk-SK"/>
        </w:rPr>
        <w:t>Nové justičné budovy</w:t>
      </w:r>
      <w:r w:rsidR="00AB26B3" w:rsidRPr="00AB26B3">
        <w:rPr>
          <w:noProof/>
          <w:spacing w:val="-6"/>
          <w:lang w:val="sk-SK"/>
        </w:rPr>
        <w:t xml:space="preserve"> a </w:t>
      </w:r>
      <w:r w:rsidRPr="00AB26B3">
        <w:rPr>
          <w:noProof/>
          <w:color w:val="000000" w:themeColor="text1"/>
          <w:spacing w:val="-6"/>
          <w:lang w:val="sk-SK"/>
        </w:rPr>
        <w:t>renovácie</w:t>
      </w:r>
      <w:r w:rsidRPr="00AB26B3">
        <w:rPr>
          <w:noProof/>
          <w:spacing w:val="-6"/>
          <w:lang w:val="sk-SK"/>
        </w:rPr>
        <w:t xml:space="preserve"> (opatrenie ID 16292)</w:t>
      </w:r>
    </w:p>
    <w:p w14:paraId="47643EA4" w14:textId="0C27C8C0"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Cieľom opatrenia je zefektívniť justičný systém zlepšením zariadení na budovanie súdnictva. Opatrenie pozostáva</w:t>
      </w:r>
      <w:r w:rsidR="00AB26B3" w:rsidRPr="00AB26B3">
        <w:rPr>
          <w:noProof/>
          <w:spacing w:val="-6"/>
          <w:lang w:val="sk-SK"/>
        </w:rPr>
        <w:t xml:space="preserve"> z </w:t>
      </w:r>
      <w:r w:rsidRPr="00AB26B3">
        <w:rPr>
          <w:noProof/>
          <w:spacing w:val="-6"/>
          <w:lang w:val="sk-SK"/>
        </w:rPr>
        <w:t>investície do výstavby</w:t>
      </w:r>
      <w:r w:rsidR="00AB26B3" w:rsidRPr="00AB26B3">
        <w:rPr>
          <w:noProof/>
          <w:spacing w:val="-6"/>
          <w:lang w:val="sk-SK"/>
        </w:rPr>
        <w:t xml:space="preserve"> a </w:t>
      </w:r>
      <w:r w:rsidRPr="00AB26B3">
        <w:rPr>
          <w:noProof/>
          <w:spacing w:val="-6"/>
          <w:lang w:val="sk-SK"/>
        </w:rPr>
        <w:t>renovácie súdnych budov, ktoré nie sú dotknuté revíziou súdnej mapy,</w:t>
      </w:r>
      <w:r w:rsidR="00AB26B3" w:rsidRPr="00AB26B3">
        <w:rPr>
          <w:noProof/>
          <w:spacing w:val="-6"/>
          <w:lang w:val="sk-SK"/>
        </w:rPr>
        <w:t xml:space="preserve"> a </w:t>
      </w:r>
      <w:r w:rsidRPr="00AB26B3">
        <w:rPr>
          <w:noProof/>
          <w:spacing w:val="-6"/>
          <w:lang w:val="sk-SK"/>
        </w:rPr>
        <w:t>registrácie všetkých nehnuteľností vo vlastníctve súdnictva alebo poskytnutých súdnictvu na existujúcej elektronickej platforme</w:t>
      </w:r>
      <w:r w:rsidR="00AB26B3" w:rsidRPr="00AB26B3">
        <w:rPr>
          <w:noProof/>
          <w:spacing w:val="-6"/>
          <w:lang w:val="sk-SK"/>
        </w:rPr>
        <w:t>.</w:t>
      </w:r>
    </w:p>
    <w:p w14:paraId="79754825" w14:textId="7D3723C5"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Digitálna transformácia justície (elektronická justícia) (opatrenie ID 16727)</w:t>
      </w:r>
    </w:p>
    <w:p w14:paraId="59410BD1" w14:textId="46536B4E"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Cieľom reformy je poskytnúť sudcom</w:t>
      </w:r>
      <w:r w:rsidR="00AB26B3" w:rsidRPr="00AB26B3">
        <w:rPr>
          <w:noProof/>
          <w:spacing w:val="-6"/>
          <w:lang w:val="sk-SK"/>
        </w:rPr>
        <w:t xml:space="preserve"> a </w:t>
      </w:r>
      <w:r w:rsidRPr="00AB26B3">
        <w:rPr>
          <w:noProof/>
          <w:spacing w:val="-6"/>
          <w:lang w:val="sk-SK"/>
        </w:rPr>
        <w:t>justičným pracovníkom IT nástroje</w:t>
      </w:r>
      <w:r w:rsidR="00AB26B3" w:rsidRPr="00AB26B3">
        <w:rPr>
          <w:noProof/>
          <w:spacing w:val="-6"/>
          <w:lang w:val="sk-SK"/>
        </w:rPr>
        <w:t xml:space="preserve"> a </w:t>
      </w:r>
      <w:r w:rsidRPr="00AB26B3">
        <w:rPr>
          <w:noProof/>
          <w:spacing w:val="-6"/>
          <w:lang w:val="sk-SK"/>
        </w:rPr>
        <w:t>infraštruktúru na lepšie zvládanie zaťaženosti</w:t>
      </w:r>
      <w:r w:rsidR="00AB26B3" w:rsidRPr="00AB26B3">
        <w:rPr>
          <w:noProof/>
          <w:spacing w:val="-6"/>
          <w:lang w:val="sk-SK"/>
        </w:rPr>
        <w:t xml:space="preserve"> a </w:t>
      </w:r>
      <w:r w:rsidRPr="00AB26B3">
        <w:rPr>
          <w:noProof/>
          <w:spacing w:val="-6"/>
          <w:lang w:val="sk-SK"/>
        </w:rPr>
        <w:t>urýchlenie výkonu spravodlivosti. Opatrenie pozostáva</w:t>
      </w:r>
      <w:r w:rsidR="00AB26B3" w:rsidRPr="00AB26B3">
        <w:rPr>
          <w:noProof/>
          <w:spacing w:val="-6"/>
          <w:lang w:val="sk-SK"/>
        </w:rPr>
        <w:t xml:space="preserve"> z </w:t>
      </w:r>
      <w:r w:rsidRPr="00AB26B3">
        <w:rPr>
          <w:noProof/>
          <w:spacing w:val="-6"/>
          <w:lang w:val="sk-SK"/>
        </w:rPr>
        <w:t>digitalizácie dokumentov, zlepšenia systému vedenia záznamov</w:t>
      </w:r>
      <w:r w:rsidR="00AB26B3" w:rsidRPr="00AB26B3">
        <w:rPr>
          <w:noProof/>
          <w:spacing w:val="-6"/>
          <w:lang w:val="sk-SK"/>
        </w:rPr>
        <w:t xml:space="preserve"> o </w:t>
      </w:r>
      <w:r w:rsidRPr="00AB26B3">
        <w:rPr>
          <w:noProof/>
          <w:spacing w:val="-6"/>
          <w:lang w:val="sk-SK"/>
        </w:rPr>
        <w:t>občianskych</w:t>
      </w:r>
      <w:r w:rsidR="00AB26B3" w:rsidRPr="00AB26B3">
        <w:rPr>
          <w:noProof/>
          <w:spacing w:val="-6"/>
          <w:lang w:val="sk-SK"/>
        </w:rPr>
        <w:t xml:space="preserve"> a </w:t>
      </w:r>
      <w:r w:rsidRPr="00AB26B3">
        <w:rPr>
          <w:noProof/>
          <w:spacing w:val="-6"/>
          <w:lang w:val="sk-SK"/>
        </w:rPr>
        <w:t>trestných súdoch</w:t>
      </w:r>
      <w:r w:rsidR="00AB26B3" w:rsidRPr="00AB26B3">
        <w:rPr>
          <w:noProof/>
          <w:spacing w:val="-6"/>
          <w:lang w:val="sk-SK"/>
        </w:rPr>
        <w:t xml:space="preserve"> a </w:t>
      </w:r>
      <w:r w:rsidRPr="00AB26B3">
        <w:rPr>
          <w:noProof/>
          <w:spacing w:val="-6"/>
          <w:lang w:val="sk-SK"/>
        </w:rPr>
        <w:t>digitalizácie občianskych</w:t>
      </w:r>
      <w:r w:rsidR="00AB26B3" w:rsidRPr="00AB26B3">
        <w:rPr>
          <w:noProof/>
          <w:spacing w:val="-6"/>
          <w:lang w:val="sk-SK"/>
        </w:rPr>
        <w:t xml:space="preserve"> a </w:t>
      </w:r>
      <w:r w:rsidRPr="00AB26B3">
        <w:rPr>
          <w:noProof/>
          <w:spacing w:val="-6"/>
          <w:lang w:val="sk-SK"/>
        </w:rPr>
        <w:t>trestných súdov, dvora audítorov</w:t>
      </w:r>
      <w:r w:rsidR="00AB26B3" w:rsidRPr="00AB26B3">
        <w:rPr>
          <w:noProof/>
          <w:spacing w:val="-6"/>
          <w:lang w:val="sk-SK"/>
        </w:rPr>
        <w:t xml:space="preserve"> a </w:t>
      </w:r>
      <w:r w:rsidRPr="00AB26B3">
        <w:rPr>
          <w:noProof/>
          <w:spacing w:val="-6"/>
          <w:lang w:val="sk-SK"/>
        </w:rPr>
        <w:t>vnútroštátneho registra trestov</w:t>
      </w:r>
      <w:r w:rsidR="00AB26B3" w:rsidRPr="00AB26B3">
        <w:rPr>
          <w:noProof/>
          <w:spacing w:val="-6"/>
          <w:lang w:val="sk-SK"/>
        </w:rPr>
        <w:t>.</w:t>
      </w:r>
    </w:p>
    <w:p w14:paraId="5B8E0073" w14:textId="6766317F"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Zručnosti</w:t>
      </w:r>
      <w:r w:rsidR="00AB26B3" w:rsidRPr="00AB26B3">
        <w:rPr>
          <w:noProof/>
          <w:spacing w:val="-6"/>
          <w:lang w:val="sk-SK"/>
        </w:rPr>
        <w:t xml:space="preserve"> a </w:t>
      </w:r>
      <w:r w:rsidRPr="00AB26B3">
        <w:rPr>
          <w:noProof/>
          <w:spacing w:val="-6"/>
          <w:lang w:val="sk-SK"/>
        </w:rPr>
        <w:t>digitálne zručnosti sudcov</w:t>
      </w:r>
      <w:r w:rsidR="00AB26B3" w:rsidRPr="00AB26B3">
        <w:rPr>
          <w:noProof/>
          <w:spacing w:val="-6"/>
          <w:lang w:val="sk-SK"/>
        </w:rPr>
        <w:t xml:space="preserve"> a </w:t>
      </w:r>
      <w:r w:rsidRPr="00AB26B3">
        <w:rPr>
          <w:noProof/>
          <w:spacing w:val="-6"/>
          <w:lang w:val="sk-SK"/>
        </w:rPr>
        <w:t>justičných zamestnancov (justiční zamestnanci) (opatrenie ID 16733)</w:t>
      </w:r>
    </w:p>
    <w:p w14:paraId="5677F67F" w14:textId="4614E2FF" w:rsidR="00AB26B3" w:rsidRPr="00AB26B3" w:rsidRDefault="00D64F26">
      <w:pPr>
        <w:pStyle w:val="P68B1DB1-Normal5"/>
        <w:spacing w:before="120" w:after="120" w:line="240" w:lineRule="auto"/>
        <w:jc w:val="both"/>
        <w:rPr>
          <w:noProof/>
          <w:spacing w:val="-6"/>
          <w:lang w:val="sk-SK"/>
        </w:rPr>
      </w:pPr>
      <w:r w:rsidRPr="00AB26B3">
        <w:rPr>
          <w:noProof/>
          <w:spacing w:val="-6"/>
          <w:lang w:val="sk-SK"/>
        </w:rPr>
        <w:t>Národná škola sudcov prejde viacerými inštitucionálnymi zmenami, pokiaľ ide</w:t>
      </w:r>
      <w:r w:rsidR="00AB26B3" w:rsidRPr="00AB26B3">
        <w:rPr>
          <w:noProof/>
          <w:spacing w:val="-6"/>
          <w:lang w:val="sk-SK"/>
        </w:rPr>
        <w:t xml:space="preserve"> o </w:t>
      </w:r>
      <w:r w:rsidRPr="00AB26B3">
        <w:rPr>
          <w:noProof/>
          <w:spacing w:val="-6"/>
          <w:lang w:val="sk-SK"/>
        </w:rPr>
        <w:t>jej funkciu</w:t>
      </w:r>
      <w:r w:rsidR="00AB26B3" w:rsidRPr="00AB26B3">
        <w:rPr>
          <w:noProof/>
          <w:spacing w:val="-6"/>
          <w:lang w:val="sk-SK"/>
        </w:rPr>
        <w:t xml:space="preserve"> a </w:t>
      </w:r>
      <w:r w:rsidRPr="00AB26B3">
        <w:rPr>
          <w:noProof/>
          <w:spacing w:val="-6"/>
          <w:lang w:val="sk-SK"/>
        </w:rPr>
        <w:t>vzdelávací program; zrevidujú sa aj jeho kritériá výberu kandidátov, aby sa zabezpečilo selektívnejšie</w:t>
      </w:r>
      <w:r w:rsidR="00AB26B3" w:rsidRPr="00AB26B3">
        <w:rPr>
          <w:noProof/>
          <w:spacing w:val="-6"/>
          <w:lang w:val="sk-SK"/>
        </w:rPr>
        <w:t xml:space="preserve"> a </w:t>
      </w:r>
      <w:r w:rsidRPr="00AB26B3">
        <w:rPr>
          <w:noProof/>
          <w:spacing w:val="-6"/>
          <w:lang w:val="sk-SK"/>
        </w:rPr>
        <w:t>konkurenčnejšie študijné prostredie, pričom sa pripustia ďalšie kategórie študentov (sudcovia magistrátneho súdu</w:t>
      </w:r>
      <w:r w:rsidR="00AB26B3" w:rsidRPr="00AB26B3">
        <w:rPr>
          <w:noProof/>
          <w:spacing w:val="-6"/>
          <w:lang w:val="sk-SK"/>
        </w:rPr>
        <w:t xml:space="preserve"> a </w:t>
      </w:r>
      <w:r w:rsidRPr="00AB26B3">
        <w:rPr>
          <w:noProof/>
          <w:spacing w:val="-6"/>
          <w:lang w:val="sk-SK"/>
        </w:rPr>
        <w:t>súd pre audit); ponúka aj dodatočné kurzy zamerané na poskytovanie nových zručností</w:t>
      </w:r>
      <w:r w:rsidR="00AB26B3" w:rsidRPr="00AB26B3">
        <w:rPr>
          <w:noProof/>
          <w:spacing w:val="-6"/>
          <w:lang w:val="sk-SK"/>
        </w:rPr>
        <w:t xml:space="preserve"> s </w:t>
      </w:r>
      <w:r w:rsidRPr="00AB26B3">
        <w:rPr>
          <w:noProof/>
          <w:spacing w:val="-6"/>
          <w:lang w:val="sk-SK"/>
        </w:rPr>
        <w:t>dôrazom na riadiace</w:t>
      </w:r>
      <w:r w:rsidR="00AB26B3" w:rsidRPr="00AB26B3">
        <w:rPr>
          <w:noProof/>
          <w:spacing w:val="-6"/>
          <w:lang w:val="sk-SK"/>
        </w:rPr>
        <w:t xml:space="preserve"> a </w:t>
      </w:r>
      <w:r w:rsidRPr="00AB26B3">
        <w:rPr>
          <w:noProof/>
          <w:spacing w:val="-6"/>
          <w:lang w:val="sk-SK"/>
        </w:rPr>
        <w:t xml:space="preserve">digitálne zručnosti, ako aj na témy relevantné pre výkon súdnych povinností podľa zákona </w:t>
      </w:r>
      <w:r w:rsidR="00AB26B3" w:rsidRPr="00AB26B3">
        <w:rPr>
          <w:noProof/>
          <w:spacing w:val="-6"/>
          <w:lang w:val="sk-SK"/>
        </w:rPr>
        <w:t>č. </w:t>
      </w:r>
      <w:r w:rsidRPr="00AB26B3">
        <w:rPr>
          <w:noProof/>
          <w:spacing w:val="-6"/>
          <w:lang w:val="sk-SK"/>
        </w:rPr>
        <w:t>4871/2021; reforma zahŕňa poskytovanie povinnej celoživotnej odbornej prípravy sudcom</w:t>
      </w:r>
      <w:r w:rsidR="00AB26B3" w:rsidRPr="00AB26B3">
        <w:rPr>
          <w:noProof/>
          <w:spacing w:val="-6"/>
          <w:lang w:val="sk-SK"/>
        </w:rPr>
        <w:t xml:space="preserve"> v </w:t>
      </w:r>
      <w:r w:rsidRPr="00AB26B3">
        <w:rPr>
          <w:noProof/>
          <w:spacing w:val="-6"/>
          <w:lang w:val="sk-SK"/>
        </w:rPr>
        <w:t xml:space="preserve">oblastiach dôležitých pre výkon ich povinností školiteľmi, ktorých vybrala aj Národná škola sudcov podľa zákona </w:t>
      </w:r>
      <w:r w:rsidR="00AB26B3" w:rsidRPr="00AB26B3">
        <w:rPr>
          <w:noProof/>
          <w:spacing w:val="-6"/>
          <w:lang w:val="sk-SK"/>
        </w:rPr>
        <w:t>č. </w:t>
      </w:r>
      <w:r w:rsidRPr="00AB26B3">
        <w:rPr>
          <w:noProof/>
          <w:spacing w:val="-6"/>
          <w:lang w:val="sk-SK"/>
        </w:rPr>
        <w:t>4871/2021. Napokon sa</w:t>
      </w:r>
      <w:r w:rsidR="00AB26B3" w:rsidRPr="00AB26B3">
        <w:rPr>
          <w:noProof/>
          <w:spacing w:val="-6"/>
          <w:lang w:val="sk-SK"/>
        </w:rPr>
        <w:t xml:space="preserve"> v </w:t>
      </w:r>
      <w:r w:rsidRPr="00AB26B3">
        <w:rPr>
          <w:noProof/>
          <w:spacing w:val="-6"/>
          <w:lang w:val="sk-SK"/>
        </w:rPr>
        <w:t>rámci Národnej školy sudcov vytvorí nový vzdelávací program pre súdnych úradníkov</w:t>
      </w:r>
      <w:r w:rsidR="00AB26B3" w:rsidRPr="00AB26B3">
        <w:rPr>
          <w:noProof/>
          <w:spacing w:val="-6"/>
          <w:lang w:val="sk-SK"/>
        </w:rPr>
        <w:t xml:space="preserve"> s </w:t>
      </w:r>
      <w:r w:rsidRPr="00AB26B3">
        <w:rPr>
          <w:noProof/>
          <w:spacing w:val="-6"/>
          <w:lang w:val="sk-SK"/>
        </w:rPr>
        <w:t>cieľom poskytovať odbornú prípravu</w:t>
      </w:r>
      <w:r w:rsidR="00AB26B3" w:rsidRPr="00AB26B3">
        <w:rPr>
          <w:noProof/>
          <w:spacing w:val="-6"/>
          <w:lang w:val="sk-SK"/>
        </w:rPr>
        <w:t xml:space="preserve"> a </w:t>
      </w:r>
      <w:r w:rsidRPr="00AB26B3">
        <w:rPr>
          <w:noProof/>
          <w:spacing w:val="-6"/>
          <w:lang w:val="sk-SK"/>
        </w:rPr>
        <w:t>celoživotné vzdelávanie administratívnych pracovníkov</w:t>
      </w:r>
      <w:r w:rsidR="00AB26B3" w:rsidRPr="00AB26B3">
        <w:rPr>
          <w:noProof/>
          <w:spacing w:val="-6"/>
          <w:lang w:val="sk-SK"/>
        </w:rPr>
        <w:t xml:space="preserve"> v </w:t>
      </w:r>
      <w:r w:rsidRPr="00AB26B3">
        <w:rPr>
          <w:noProof/>
          <w:spacing w:val="-6"/>
          <w:lang w:val="sk-SK"/>
        </w:rPr>
        <w:t>oblastiach, ktoré sú nevyhnutné pre plnenie ich povinností, riadenie</w:t>
      </w:r>
      <w:r w:rsidR="00AB26B3" w:rsidRPr="00AB26B3">
        <w:rPr>
          <w:noProof/>
          <w:spacing w:val="-6"/>
          <w:lang w:val="sk-SK"/>
        </w:rPr>
        <w:t xml:space="preserve"> a </w:t>
      </w:r>
      <w:r w:rsidRPr="00AB26B3">
        <w:rPr>
          <w:noProof/>
          <w:spacing w:val="-6"/>
          <w:lang w:val="sk-SK"/>
        </w:rPr>
        <w:t>organizáciu ich služby, digitálne zručnosti, procesné</w:t>
      </w:r>
      <w:r w:rsidR="00AB26B3" w:rsidRPr="00AB26B3">
        <w:rPr>
          <w:noProof/>
          <w:spacing w:val="-6"/>
          <w:lang w:val="sk-SK"/>
        </w:rPr>
        <w:t xml:space="preserve"> a </w:t>
      </w:r>
      <w:r w:rsidRPr="00AB26B3">
        <w:rPr>
          <w:noProof/>
          <w:spacing w:val="-6"/>
          <w:lang w:val="sk-SK"/>
        </w:rPr>
        <w:t>hmotné právo</w:t>
      </w:r>
      <w:r w:rsidR="00AB26B3" w:rsidRPr="00AB26B3">
        <w:rPr>
          <w:noProof/>
          <w:spacing w:val="-6"/>
          <w:lang w:val="sk-SK"/>
        </w:rPr>
        <w:t>.</w:t>
      </w:r>
    </w:p>
    <w:p w14:paraId="27742021" w14:textId="126AF7F3" w:rsidR="00302FC1" w:rsidRPr="00AB26B3" w:rsidRDefault="00D64F26">
      <w:pPr>
        <w:pStyle w:val="P68B1DB1-Normal5"/>
        <w:spacing w:before="120" w:after="120" w:line="240" w:lineRule="auto"/>
        <w:jc w:val="both"/>
        <w:rPr>
          <w:noProof/>
          <w:spacing w:val="-6"/>
          <w:lang w:val="sk-SK"/>
        </w:rPr>
      </w:pPr>
      <w:r w:rsidRPr="00AB26B3">
        <w:rPr>
          <w:noProof/>
          <w:spacing w:val="-6"/>
          <w:lang w:val="sk-SK"/>
        </w:rPr>
        <w:t>Implementácia tejto reformy sa dokončí do 31</w:t>
      </w:r>
      <w:r w:rsidR="00AB26B3" w:rsidRPr="00AB26B3">
        <w:rPr>
          <w:noProof/>
          <w:spacing w:val="-6"/>
          <w:lang w:val="sk-SK"/>
        </w:rPr>
        <w:t>. decembra</w:t>
      </w:r>
      <w:r w:rsidRPr="00AB26B3">
        <w:rPr>
          <w:noProof/>
          <w:spacing w:val="-6"/>
          <w:lang w:val="sk-SK"/>
        </w:rPr>
        <w:t xml:space="preserve"> 2024.</w:t>
      </w:r>
    </w:p>
    <w:p w14:paraId="2D015700" w14:textId="77777777" w:rsidR="00302FC1" w:rsidRPr="00AB26B3" w:rsidRDefault="00D64F26">
      <w:pPr>
        <w:pStyle w:val="P68B1DB1-Normal5"/>
        <w:spacing w:before="120" w:after="120" w:line="240" w:lineRule="auto"/>
        <w:jc w:val="both"/>
        <w:rPr>
          <w:noProof/>
          <w:spacing w:val="-6"/>
          <w:lang w:val="sk-SK"/>
        </w:rPr>
      </w:pPr>
      <w:r w:rsidRPr="00AB26B3">
        <w:rPr>
          <w:noProof/>
          <w:spacing w:val="-6"/>
          <w:lang w:val="sk-SK"/>
        </w:rPr>
        <w:t>Reforma: Urýchlenie výkonu spravodlivosti (opatrenie ID 16575)</w:t>
      </w:r>
    </w:p>
    <w:p w14:paraId="0F42BCBA" w14:textId="67C7DC69"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urýchliť výkon spravodlivosti. Opatrenie pozostáva</w:t>
      </w:r>
      <w:r w:rsidR="00AB26B3" w:rsidRPr="00AB26B3">
        <w:rPr>
          <w:noProof/>
          <w:spacing w:val="-6"/>
          <w:lang w:val="sk-SK"/>
        </w:rPr>
        <w:t xml:space="preserve"> z </w:t>
      </w:r>
      <w:r w:rsidRPr="00AB26B3">
        <w:rPr>
          <w:noProof/>
          <w:spacing w:val="-6"/>
          <w:lang w:val="sk-SK"/>
        </w:rPr>
        <w:t>revízie mapy občianskoprávnych/trestných</w:t>
      </w:r>
      <w:r w:rsidR="00AB26B3" w:rsidRPr="00AB26B3">
        <w:rPr>
          <w:noProof/>
          <w:spacing w:val="-6"/>
          <w:lang w:val="sk-SK"/>
        </w:rPr>
        <w:t xml:space="preserve"> a </w:t>
      </w:r>
      <w:r w:rsidRPr="00AB26B3">
        <w:rPr>
          <w:noProof/>
          <w:spacing w:val="-6"/>
          <w:lang w:val="sk-SK"/>
        </w:rPr>
        <w:t>správnych súdov prostredníctvom zriadenia, zrušenia alebo prerozdelenia súdov vo všetkých súdnych obvodoch, poskytovania odbornej prípravy</w:t>
      </w:r>
      <w:r w:rsidR="00AB26B3" w:rsidRPr="00AB26B3">
        <w:rPr>
          <w:noProof/>
          <w:spacing w:val="-6"/>
          <w:lang w:val="sk-SK"/>
        </w:rPr>
        <w:t xml:space="preserve"> v </w:t>
      </w:r>
      <w:r w:rsidRPr="00AB26B3">
        <w:rPr>
          <w:noProof/>
          <w:spacing w:val="-6"/>
          <w:lang w:val="sk-SK"/>
        </w:rPr>
        <w:t>oblasti alternatívneho riešenia sporov právnym poradcom alebo mediátorom</w:t>
      </w:r>
      <w:r w:rsidR="00AB26B3" w:rsidRPr="00AB26B3">
        <w:rPr>
          <w:noProof/>
          <w:spacing w:val="-6"/>
          <w:lang w:val="sk-SK"/>
        </w:rPr>
        <w:t xml:space="preserve"> a </w:t>
      </w:r>
      <w:r w:rsidRPr="00AB26B3">
        <w:rPr>
          <w:noProof/>
          <w:spacing w:val="-6"/>
          <w:lang w:val="sk-SK"/>
        </w:rPr>
        <w:t>vytvorenia jednotného digitálneho systému mediačných centier.</w:t>
      </w:r>
    </w:p>
    <w:p w14:paraId="0E4EDE60" w14:textId="77777777" w:rsidR="00302FC1" w:rsidRPr="00AB26B3" w:rsidRDefault="00302FC1">
      <w:pPr>
        <w:spacing w:before="120" w:after="120" w:line="240" w:lineRule="auto"/>
        <w:ind w:left="709"/>
        <w:jc w:val="both"/>
        <w:rPr>
          <w:rFonts w:ascii="Times New Roman" w:hAnsi="Times New Roman" w:cs="Times New Roman"/>
          <w:b/>
          <w:bCs/>
          <w:noProof/>
          <w:spacing w:val="-6"/>
          <w:sz w:val="24"/>
          <w:u w:val="single"/>
          <w:lang w:val="sk-SK"/>
        </w:rPr>
      </w:pPr>
    </w:p>
    <w:p w14:paraId="02B5C233"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238"/>
          <w:headerReference w:type="default" r:id="rId239"/>
          <w:footerReference w:type="even" r:id="rId240"/>
          <w:footerReference w:type="default" r:id="rId241"/>
          <w:headerReference w:type="first" r:id="rId242"/>
          <w:footerReference w:type="first" r:id="rId243"/>
          <w:pgSz w:w="11906" w:h="16838"/>
          <w:pgMar w:top="1417" w:right="1417" w:bottom="1417" w:left="1417" w:header="708" w:footer="708" w:gutter="0"/>
          <w:cols w:space="708"/>
          <w:docGrid w:linePitch="360"/>
        </w:sectPr>
      </w:pPr>
    </w:p>
    <w:p w14:paraId="11E7D048" w14:textId="77EA7F61"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N.2.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564EC02D" w14:textId="77777777"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21: Zvýšenie efektívnosti justičného systému</w:t>
      </w:r>
    </w:p>
    <w:p w14:paraId="262F6141" w14:textId="77777777"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Do tejto skupiny patria tieto opatrenia:</w:t>
      </w:r>
    </w:p>
    <w:p w14:paraId="02B2CB77" w14:textId="127D7AFD" w:rsidR="00302FC1" w:rsidRPr="00AB26B3" w:rsidRDefault="00D64F26">
      <w:pPr>
        <w:pStyle w:val="P68B1DB1-Normal5"/>
        <w:numPr>
          <w:ilvl w:val="0"/>
          <w:numId w:val="42"/>
        </w:numPr>
        <w:spacing w:before="120" w:after="0" w:line="240" w:lineRule="auto"/>
        <w:jc w:val="both"/>
        <w:rPr>
          <w:rFonts w:cs="Times New Roman"/>
          <w:noProof/>
          <w:spacing w:val="-6"/>
          <w:lang w:val="sk-SK"/>
        </w:rPr>
      </w:pPr>
      <w:r w:rsidRPr="00AB26B3">
        <w:rPr>
          <w:noProof/>
          <w:spacing w:val="-6"/>
          <w:lang w:val="sk-SK"/>
        </w:rPr>
        <w:t>Nové justičné budovy</w:t>
      </w:r>
      <w:r w:rsidR="00AB26B3" w:rsidRPr="00AB26B3">
        <w:rPr>
          <w:noProof/>
          <w:spacing w:val="-6"/>
          <w:lang w:val="sk-SK"/>
        </w:rPr>
        <w:t xml:space="preserve"> a </w:t>
      </w:r>
      <w:r w:rsidRPr="00AB26B3">
        <w:rPr>
          <w:noProof/>
          <w:spacing w:val="-6"/>
          <w:lang w:val="sk-SK"/>
        </w:rPr>
        <w:t>obnova (ID: 16292)</w:t>
      </w:r>
    </w:p>
    <w:p w14:paraId="20344755" w14:textId="77777777" w:rsidR="00302FC1" w:rsidRPr="00AB26B3" w:rsidRDefault="00D64F26">
      <w:pPr>
        <w:pStyle w:val="P68B1DB1-Normal5"/>
        <w:numPr>
          <w:ilvl w:val="0"/>
          <w:numId w:val="42"/>
        </w:numPr>
        <w:spacing w:before="120" w:after="0" w:line="240" w:lineRule="auto"/>
        <w:jc w:val="both"/>
        <w:rPr>
          <w:rFonts w:cs="Times New Roman"/>
          <w:noProof/>
          <w:spacing w:val="-6"/>
          <w:lang w:val="sk-SK"/>
        </w:rPr>
      </w:pPr>
      <w:r w:rsidRPr="00AB26B3">
        <w:rPr>
          <w:noProof/>
          <w:spacing w:val="-6"/>
          <w:lang w:val="sk-SK"/>
        </w:rPr>
        <w:t>Digitálna transformácia justície (elektronická justícia) (ID: 16727)</w:t>
      </w:r>
    </w:p>
    <w:p w14:paraId="10A15D14" w14:textId="023265E2" w:rsidR="00302FC1" w:rsidRPr="00AB26B3" w:rsidRDefault="00D64F26">
      <w:pPr>
        <w:pStyle w:val="P68B1DB1-Normal5"/>
        <w:numPr>
          <w:ilvl w:val="0"/>
          <w:numId w:val="42"/>
        </w:numPr>
        <w:spacing w:before="120" w:after="120" w:line="240" w:lineRule="auto"/>
        <w:jc w:val="both"/>
        <w:rPr>
          <w:rFonts w:cs="Times New Roman"/>
          <w:noProof/>
          <w:spacing w:val="-6"/>
          <w:lang w:val="sk-SK"/>
        </w:rPr>
      </w:pPr>
      <w:r w:rsidRPr="00AB26B3">
        <w:rPr>
          <w:noProof/>
          <w:spacing w:val="-6"/>
          <w:lang w:val="sk-SK"/>
        </w:rPr>
        <w:t>Zručnosti</w:t>
      </w:r>
      <w:r w:rsidR="00AB26B3" w:rsidRPr="00AB26B3">
        <w:rPr>
          <w:noProof/>
          <w:spacing w:val="-6"/>
          <w:lang w:val="sk-SK"/>
        </w:rPr>
        <w:t xml:space="preserve"> a </w:t>
      </w:r>
      <w:r w:rsidRPr="00AB26B3">
        <w:rPr>
          <w:noProof/>
          <w:spacing w:val="-6"/>
          <w:lang w:val="sk-SK"/>
        </w:rPr>
        <w:t>digitálne zručnosti sudcov</w:t>
      </w:r>
      <w:r w:rsidR="00AB26B3" w:rsidRPr="00AB26B3">
        <w:rPr>
          <w:noProof/>
          <w:spacing w:val="-6"/>
          <w:lang w:val="sk-SK"/>
        </w:rPr>
        <w:t xml:space="preserve"> a </w:t>
      </w:r>
      <w:r w:rsidRPr="00AB26B3">
        <w:rPr>
          <w:noProof/>
          <w:spacing w:val="-6"/>
          <w:lang w:val="sk-SK"/>
        </w:rPr>
        <w:t>justičných zamestnancov (justiční zamestnanci) (ID: 16733)</w:t>
      </w:r>
    </w:p>
    <w:p w14:paraId="197C808A" w14:textId="77777777" w:rsidR="00302FC1" w:rsidRPr="00AB26B3" w:rsidRDefault="00D64F26">
      <w:pPr>
        <w:pStyle w:val="P68B1DB1-Normal5"/>
        <w:numPr>
          <w:ilvl w:val="0"/>
          <w:numId w:val="42"/>
        </w:numPr>
        <w:spacing w:before="120" w:after="120" w:line="240" w:lineRule="auto"/>
        <w:jc w:val="both"/>
        <w:rPr>
          <w:rFonts w:cs="Times New Roman"/>
          <w:noProof/>
          <w:spacing w:val="-6"/>
          <w:lang w:val="sk-SK"/>
        </w:rPr>
      </w:pPr>
      <w:r w:rsidRPr="00AB26B3">
        <w:rPr>
          <w:noProof/>
          <w:spacing w:val="-6"/>
          <w:lang w:val="sk-SK"/>
        </w:rPr>
        <w:t>Urýchlenie výkonu spravodlivosti (ID: 16575)</w:t>
      </w:r>
    </w:p>
    <w:tbl>
      <w:tblPr>
        <w:tblW w:w="15730" w:type="dxa"/>
        <w:jc w:val="center"/>
        <w:tblLook w:val="04A0" w:firstRow="1" w:lastRow="0" w:firstColumn="1" w:lastColumn="0" w:noHBand="0" w:noVBand="1"/>
      </w:tblPr>
      <w:tblGrid>
        <w:gridCol w:w="592"/>
        <w:gridCol w:w="8"/>
        <w:gridCol w:w="1968"/>
        <w:gridCol w:w="1424"/>
        <w:gridCol w:w="1397"/>
        <w:gridCol w:w="1552"/>
        <w:gridCol w:w="992"/>
        <w:gridCol w:w="909"/>
        <w:gridCol w:w="587"/>
        <w:gridCol w:w="1119"/>
        <w:gridCol w:w="622"/>
        <w:gridCol w:w="4885"/>
      </w:tblGrid>
      <w:tr w:rsidR="00302FC1" w:rsidRPr="00AB26B3" w14:paraId="6DFCAEF3" w14:textId="77777777">
        <w:trPr>
          <w:trHeight w:val="927"/>
          <w:tblHeader/>
          <w:jc w:val="center"/>
        </w:trPr>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85BF16B" w14:textId="25B25119"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19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49740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F6234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B49E6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2EC5EA" w14:textId="33F7919F"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436"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46B87B0" w14:textId="3B9A4279"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468" w:type="dxa"/>
            <w:gridSpan w:val="2"/>
            <w:tcBorders>
              <w:top w:val="single" w:sz="4" w:space="0" w:color="auto"/>
              <w:left w:val="nil"/>
              <w:bottom w:val="single" w:sz="4" w:space="0" w:color="auto"/>
              <w:right w:val="single" w:sz="4" w:space="0" w:color="auto"/>
            </w:tcBorders>
            <w:shd w:val="clear" w:color="auto" w:fill="BDD7EE"/>
            <w:vAlign w:val="center"/>
            <w:hideMark/>
          </w:tcPr>
          <w:p w14:paraId="6C41311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Orientačný harmonogram dokončenia</w:t>
            </w:r>
          </w:p>
        </w:tc>
        <w:tc>
          <w:tcPr>
            <w:tcW w:w="48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0459FB" w14:textId="2F14A9A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27FA7425" w14:textId="77777777">
        <w:trPr>
          <w:trHeight w:val="629"/>
          <w:tblHeader/>
          <w:jc w:val="center"/>
        </w:trPr>
        <w:tc>
          <w:tcPr>
            <w:tcW w:w="600" w:type="dxa"/>
            <w:gridSpan w:val="2"/>
            <w:vMerge/>
            <w:tcBorders>
              <w:top w:val="single" w:sz="4" w:space="0" w:color="auto"/>
              <w:left w:val="single" w:sz="4" w:space="0" w:color="auto"/>
              <w:bottom w:val="single" w:sz="4" w:space="0" w:color="auto"/>
              <w:right w:val="single" w:sz="4" w:space="0" w:color="auto"/>
            </w:tcBorders>
            <w:hideMark/>
          </w:tcPr>
          <w:p w14:paraId="11D0860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68" w:type="dxa"/>
            <w:vMerge/>
            <w:tcBorders>
              <w:top w:val="single" w:sz="4" w:space="0" w:color="auto"/>
              <w:left w:val="single" w:sz="4" w:space="0" w:color="auto"/>
              <w:bottom w:val="single" w:sz="4" w:space="0" w:color="auto"/>
              <w:right w:val="single" w:sz="4" w:space="0" w:color="auto"/>
            </w:tcBorders>
            <w:hideMark/>
          </w:tcPr>
          <w:p w14:paraId="07B2AE2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24" w:type="dxa"/>
            <w:vMerge/>
            <w:tcBorders>
              <w:top w:val="single" w:sz="4" w:space="0" w:color="auto"/>
              <w:left w:val="single" w:sz="4" w:space="0" w:color="auto"/>
              <w:bottom w:val="single" w:sz="4" w:space="0" w:color="auto"/>
              <w:right w:val="single" w:sz="4" w:space="0" w:color="auto"/>
            </w:tcBorders>
            <w:hideMark/>
          </w:tcPr>
          <w:p w14:paraId="6CD018C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97" w:type="dxa"/>
            <w:vMerge/>
            <w:tcBorders>
              <w:top w:val="single" w:sz="4" w:space="0" w:color="auto"/>
              <w:left w:val="single" w:sz="4" w:space="0" w:color="auto"/>
              <w:bottom w:val="single" w:sz="4" w:space="0" w:color="auto"/>
              <w:right w:val="single" w:sz="4" w:space="0" w:color="auto"/>
            </w:tcBorders>
            <w:hideMark/>
          </w:tcPr>
          <w:p w14:paraId="0653B23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52" w:type="dxa"/>
            <w:vMerge/>
            <w:tcBorders>
              <w:top w:val="single" w:sz="4" w:space="0" w:color="auto"/>
              <w:left w:val="single" w:sz="4" w:space="0" w:color="auto"/>
              <w:bottom w:val="single" w:sz="4" w:space="0" w:color="auto"/>
              <w:right w:val="single" w:sz="4" w:space="0" w:color="auto"/>
            </w:tcBorders>
            <w:hideMark/>
          </w:tcPr>
          <w:p w14:paraId="53E8775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837278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14:paraId="16F39D7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Základná</w:t>
            </w:r>
          </w:p>
        </w:tc>
        <w:tc>
          <w:tcPr>
            <w:tcW w:w="587" w:type="dxa"/>
            <w:tcBorders>
              <w:top w:val="single" w:sz="4" w:space="0" w:color="auto"/>
              <w:left w:val="nil"/>
              <w:bottom w:val="single" w:sz="4" w:space="0" w:color="auto"/>
              <w:right w:val="single" w:sz="4" w:space="0" w:color="auto"/>
            </w:tcBorders>
            <w:shd w:val="clear" w:color="auto" w:fill="BDD7EE"/>
            <w:vAlign w:val="center"/>
            <w:hideMark/>
          </w:tcPr>
          <w:p w14:paraId="1AEBAB2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Cieľ</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14:paraId="5E11CC5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622" w:type="dxa"/>
            <w:tcBorders>
              <w:top w:val="single" w:sz="4" w:space="0" w:color="auto"/>
              <w:left w:val="nil"/>
              <w:bottom w:val="single" w:sz="4" w:space="0" w:color="auto"/>
              <w:right w:val="single" w:sz="4" w:space="0" w:color="auto"/>
            </w:tcBorders>
            <w:shd w:val="clear" w:color="auto" w:fill="BDD7EE"/>
            <w:vAlign w:val="center"/>
            <w:hideMark/>
          </w:tcPr>
          <w:p w14:paraId="6BD9D36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885" w:type="dxa"/>
            <w:vMerge/>
            <w:tcBorders>
              <w:top w:val="single" w:sz="4" w:space="0" w:color="auto"/>
              <w:bottom w:val="single" w:sz="4" w:space="0" w:color="auto"/>
              <w:right w:val="single" w:sz="4" w:space="0" w:color="auto"/>
            </w:tcBorders>
            <w:hideMark/>
          </w:tcPr>
          <w:p w14:paraId="1E907C3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4DDABBE1"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4E46765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222</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003621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16292_Nové justičné budovy</w:t>
            </w:r>
          </w:p>
        </w:tc>
        <w:tc>
          <w:tcPr>
            <w:tcW w:w="1424" w:type="dxa"/>
            <w:tcBorders>
              <w:top w:val="single" w:sz="4" w:space="0" w:color="auto"/>
              <w:left w:val="nil"/>
              <w:bottom w:val="single" w:sz="4" w:space="0" w:color="auto"/>
              <w:right w:val="single" w:sz="4" w:space="0" w:color="auto"/>
            </w:tcBorders>
            <w:shd w:val="clear" w:color="auto" w:fill="C6EFCE"/>
            <w:noWrap/>
          </w:tcPr>
          <w:p w14:paraId="37B1D81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3CBAE6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Identifikácia – oprávnené budovy</w:t>
            </w:r>
          </w:p>
        </w:tc>
        <w:tc>
          <w:tcPr>
            <w:tcW w:w="1552" w:type="dxa"/>
            <w:tcBorders>
              <w:top w:val="single" w:sz="4" w:space="0" w:color="auto"/>
              <w:left w:val="nil"/>
              <w:bottom w:val="single" w:sz="4" w:space="0" w:color="auto"/>
              <w:right w:val="single" w:sz="4" w:space="0" w:color="auto"/>
            </w:tcBorders>
            <w:shd w:val="clear" w:color="auto" w:fill="C6EFCE"/>
            <w:noWrap/>
          </w:tcPr>
          <w:p w14:paraId="6931908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Vyplnenie zoznamu </w:t>
            </w:r>
          </w:p>
        </w:tc>
        <w:tc>
          <w:tcPr>
            <w:tcW w:w="992" w:type="dxa"/>
            <w:tcBorders>
              <w:top w:val="single" w:sz="4" w:space="0" w:color="auto"/>
              <w:left w:val="nil"/>
              <w:bottom w:val="single" w:sz="4" w:space="0" w:color="auto"/>
              <w:right w:val="single" w:sz="4" w:space="0" w:color="auto"/>
            </w:tcBorders>
            <w:shd w:val="clear" w:color="auto" w:fill="C6EFCE"/>
            <w:noWrap/>
          </w:tcPr>
          <w:p w14:paraId="2D81B48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63F6743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00D4E9B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031646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622" w:type="dxa"/>
            <w:tcBorders>
              <w:top w:val="single" w:sz="4" w:space="0" w:color="auto"/>
              <w:left w:val="nil"/>
              <w:bottom w:val="single" w:sz="4" w:space="0" w:color="auto"/>
              <w:right w:val="single" w:sz="4" w:space="0" w:color="auto"/>
            </w:tcBorders>
            <w:shd w:val="clear" w:color="auto" w:fill="C6EFCE"/>
            <w:noWrap/>
          </w:tcPr>
          <w:p w14:paraId="08A336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885" w:type="dxa"/>
            <w:tcBorders>
              <w:top w:val="single" w:sz="4" w:space="0" w:color="auto"/>
              <w:left w:val="nil"/>
              <w:bottom w:val="single" w:sz="4" w:space="0" w:color="auto"/>
              <w:right w:val="single" w:sz="4" w:space="0" w:color="auto"/>
            </w:tcBorders>
            <w:shd w:val="clear" w:color="auto" w:fill="C6EFCE"/>
            <w:noWrap/>
          </w:tcPr>
          <w:p w14:paraId="787223F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Zostavenie zoznamu budov, ktoré nie sú dotknuté revíziou súdnej mapy.</w:t>
            </w:r>
          </w:p>
        </w:tc>
      </w:tr>
      <w:tr w:rsidR="00302FC1" w:rsidRPr="00AB26B3" w14:paraId="7A87299C" w14:textId="77777777">
        <w:trPr>
          <w:trHeight w:val="309"/>
          <w:jc w:val="center"/>
        </w:trPr>
        <w:tc>
          <w:tcPr>
            <w:tcW w:w="592" w:type="dxa"/>
            <w:tcBorders>
              <w:top w:val="nil"/>
              <w:left w:val="single" w:sz="4" w:space="0" w:color="auto"/>
              <w:bottom w:val="single" w:sz="4" w:space="0" w:color="auto"/>
              <w:right w:val="single" w:sz="4" w:space="0" w:color="auto"/>
            </w:tcBorders>
            <w:shd w:val="clear" w:color="auto" w:fill="C6EFCE"/>
            <w:noWrap/>
          </w:tcPr>
          <w:p w14:paraId="5B667EE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223</w:t>
            </w:r>
          </w:p>
        </w:tc>
        <w:tc>
          <w:tcPr>
            <w:tcW w:w="1976" w:type="dxa"/>
            <w:gridSpan w:val="2"/>
            <w:tcBorders>
              <w:top w:val="nil"/>
              <w:left w:val="nil"/>
              <w:bottom w:val="single" w:sz="4" w:space="0" w:color="auto"/>
              <w:right w:val="single" w:sz="4" w:space="0" w:color="auto"/>
            </w:tcBorders>
            <w:shd w:val="clear" w:color="auto" w:fill="C6EFCE"/>
            <w:noWrap/>
          </w:tcPr>
          <w:p w14:paraId="784AB1EB" w14:textId="77777777" w:rsidR="00AB26B3" w:rsidRPr="00AB26B3" w:rsidRDefault="00D64F26">
            <w:pPr>
              <w:pStyle w:val="P68B1DB1-Normal12"/>
              <w:spacing w:after="0" w:line="240" w:lineRule="auto"/>
              <w:rPr>
                <w:noProof/>
                <w:spacing w:val="-6"/>
                <w:lang w:val="sk-SK"/>
              </w:rPr>
            </w:pPr>
            <w:r w:rsidRPr="00AB26B3">
              <w:rPr>
                <w:noProof/>
                <w:spacing w:val="-6"/>
                <w:lang w:val="sk-SK"/>
              </w:rPr>
              <w:t>14 – 4.3. Zlepšiť efektívnosť justičného systému —</w:t>
            </w:r>
          </w:p>
          <w:p w14:paraId="1E9BAB7C" w14:textId="5D5746F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16575 Urýchlenie výkonu spravodlivosti</w:t>
            </w:r>
          </w:p>
        </w:tc>
        <w:tc>
          <w:tcPr>
            <w:tcW w:w="1424" w:type="dxa"/>
            <w:tcBorders>
              <w:top w:val="nil"/>
              <w:left w:val="nil"/>
              <w:bottom w:val="single" w:sz="4" w:space="0" w:color="auto"/>
              <w:right w:val="single" w:sz="4" w:space="0" w:color="auto"/>
            </w:tcBorders>
            <w:shd w:val="clear" w:color="auto" w:fill="C6EFCE"/>
            <w:noWrap/>
          </w:tcPr>
          <w:p w14:paraId="550E7A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nil"/>
              <w:left w:val="nil"/>
              <w:bottom w:val="single" w:sz="4" w:space="0" w:color="auto"/>
              <w:right w:val="single" w:sz="4" w:space="0" w:color="auto"/>
            </w:tcBorders>
            <w:shd w:val="clear" w:color="auto" w:fill="C6EFCE"/>
            <w:noWrap/>
          </w:tcPr>
          <w:p w14:paraId="276C51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Technická podpora – nástroj justičnej výkonnosti</w:t>
            </w:r>
          </w:p>
        </w:tc>
        <w:tc>
          <w:tcPr>
            <w:tcW w:w="1552" w:type="dxa"/>
            <w:tcBorders>
              <w:top w:val="nil"/>
              <w:left w:val="nil"/>
              <w:bottom w:val="single" w:sz="4" w:space="0" w:color="auto"/>
              <w:right w:val="single" w:sz="4" w:space="0" w:color="auto"/>
            </w:tcBorders>
            <w:shd w:val="clear" w:color="auto" w:fill="C6EFCE"/>
            <w:noWrap/>
          </w:tcPr>
          <w:p w14:paraId="017BEE1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na technickú podporu</w:t>
            </w:r>
          </w:p>
        </w:tc>
        <w:tc>
          <w:tcPr>
            <w:tcW w:w="992" w:type="dxa"/>
            <w:tcBorders>
              <w:top w:val="nil"/>
              <w:left w:val="nil"/>
              <w:bottom w:val="single" w:sz="4" w:space="0" w:color="auto"/>
              <w:right w:val="single" w:sz="4" w:space="0" w:color="auto"/>
            </w:tcBorders>
            <w:shd w:val="clear" w:color="auto" w:fill="C6EFCE"/>
            <w:noWrap/>
          </w:tcPr>
          <w:p w14:paraId="0A69534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05AD893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6D76CD7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01B4A6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622" w:type="dxa"/>
            <w:tcBorders>
              <w:top w:val="nil"/>
              <w:left w:val="nil"/>
              <w:bottom w:val="single" w:sz="4" w:space="0" w:color="auto"/>
              <w:right w:val="single" w:sz="4" w:space="0" w:color="auto"/>
            </w:tcBorders>
            <w:shd w:val="clear" w:color="auto" w:fill="C6EFCE"/>
            <w:noWrap/>
          </w:tcPr>
          <w:p w14:paraId="0A695BA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885" w:type="dxa"/>
            <w:tcBorders>
              <w:top w:val="nil"/>
              <w:left w:val="nil"/>
              <w:bottom w:val="single" w:sz="4" w:space="0" w:color="auto"/>
              <w:right w:val="single" w:sz="4" w:space="0" w:color="auto"/>
            </w:tcBorders>
            <w:shd w:val="clear" w:color="auto" w:fill="C6EFCE"/>
            <w:noWrap/>
          </w:tcPr>
          <w:p w14:paraId="06EE2ED4" w14:textId="6C28B78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verejnej súťaže na technickú podporu vývoja nástroja súdnej výkonnosti na základe strategických cieľov, zavedenie objektívnych kľúčových ukazovateľov výkonnosti (čas na splnenie povinnosti, individuálna výkonnosť</w:t>
            </w:r>
            <w:r w:rsidR="00AB26B3" w:rsidRPr="00AB26B3">
              <w:rPr>
                <w:noProof/>
                <w:spacing w:val="-6"/>
                <w:lang w:val="sk-SK"/>
              </w:rPr>
              <w:t xml:space="preserve"> z </w:t>
            </w:r>
            <w:r w:rsidRPr="00AB26B3">
              <w:rPr>
                <w:noProof/>
                <w:spacing w:val="-6"/>
                <w:lang w:val="sk-SK"/>
              </w:rPr>
              <w:t>hľadiska času, komunikácie, motivácie atď.) podľa oddelení a/alebo kategórií úradníkov</w:t>
            </w:r>
            <w:r w:rsidR="00AB26B3" w:rsidRPr="00AB26B3">
              <w:rPr>
                <w:noProof/>
                <w:spacing w:val="-6"/>
                <w:lang w:val="sk-SK"/>
              </w:rPr>
              <w:t xml:space="preserve"> a </w:t>
            </w:r>
            <w:r w:rsidRPr="00AB26B3">
              <w:rPr>
                <w:noProof/>
                <w:spacing w:val="-6"/>
                <w:lang w:val="sk-SK"/>
              </w:rPr>
              <w:t>poskytovanie presných</w:t>
            </w:r>
            <w:r w:rsidR="00AB26B3" w:rsidRPr="00AB26B3">
              <w:rPr>
                <w:noProof/>
                <w:spacing w:val="-6"/>
                <w:lang w:val="sk-SK"/>
              </w:rPr>
              <w:t xml:space="preserve"> a </w:t>
            </w:r>
            <w:r w:rsidRPr="00AB26B3">
              <w:rPr>
                <w:noProof/>
                <w:spacing w:val="-6"/>
                <w:lang w:val="sk-SK"/>
              </w:rPr>
              <w:t>objektívnych údajov</w:t>
            </w:r>
            <w:r w:rsidR="00AB26B3" w:rsidRPr="00AB26B3">
              <w:rPr>
                <w:noProof/>
                <w:spacing w:val="-6"/>
                <w:lang w:val="sk-SK"/>
              </w:rPr>
              <w:t xml:space="preserve"> o </w:t>
            </w:r>
            <w:r w:rsidRPr="00AB26B3">
              <w:rPr>
                <w:noProof/>
                <w:spacing w:val="-6"/>
                <w:lang w:val="sk-SK"/>
              </w:rPr>
              <w:t>prideľovaní odmien; prémie sa vyplácajú</w:t>
            </w:r>
            <w:r w:rsidR="00AB26B3" w:rsidRPr="00AB26B3">
              <w:rPr>
                <w:noProof/>
                <w:spacing w:val="-6"/>
                <w:lang w:val="sk-SK"/>
              </w:rPr>
              <w:t xml:space="preserve"> v </w:t>
            </w:r>
            <w:r w:rsidRPr="00AB26B3">
              <w:rPr>
                <w:noProof/>
                <w:spacing w:val="-6"/>
                <w:lang w:val="sk-SK"/>
              </w:rPr>
              <w:t>prvom štvrťroku po skončení príslušného roka na základe výsledkov dosiahnutých</w:t>
            </w:r>
            <w:r w:rsidR="00AB26B3" w:rsidRPr="00AB26B3">
              <w:rPr>
                <w:noProof/>
                <w:spacing w:val="-6"/>
                <w:lang w:val="sk-SK"/>
              </w:rPr>
              <w:t xml:space="preserve"> v </w:t>
            </w:r>
            <w:r w:rsidRPr="00AB26B3">
              <w:rPr>
                <w:noProof/>
                <w:spacing w:val="-6"/>
                <w:lang w:val="sk-SK"/>
              </w:rPr>
              <w:t>danom roku. Nástroj musí byť dočasný</w:t>
            </w:r>
            <w:r w:rsidR="00AB26B3" w:rsidRPr="00AB26B3">
              <w:rPr>
                <w:noProof/>
                <w:spacing w:val="-6"/>
                <w:lang w:val="sk-SK"/>
              </w:rPr>
              <w:t xml:space="preserve"> a v </w:t>
            </w:r>
            <w:r w:rsidRPr="00AB26B3">
              <w:rPr>
                <w:noProof/>
                <w:spacing w:val="-6"/>
                <w:lang w:val="sk-SK"/>
              </w:rPr>
              <w:t>plnom súlade</w:t>
            </w:r>
            <w:r w:rsidR="00AB26B3" w:rsidRPr="00AB26B3">
              <w:rPr>
                <w:noProof/>
                <w:spacing w:val="-6"/>
                <w:lang w:val="sk-SK"/>
              </w:rPr>
              <w:t xml:space="preserve"> s </w:t>
            </w:r>
            <w:r w:rsidRPr="00AB26B3">
              <w:rPr>
                <w:noProof/>
                <w:spacing w:val="-6"/>
                <w:lang w:val="sk-SK"/>
              </w:rPr>
              <w:t xml:space="preserve">jednotnou mzdovou tabuľkou (zákon </w:t>
            </w:r>
            <w:r w:rsidR="00AB26B3" w:rsidRPr="00AB26B3">
              <w:rPr>
                <w:noProof/>
                <w:spacing w:val="-6"/>
                <w:lang w:val="sk-SK"/>
              </w:rPr>
              <w:t>č. </w:t>
            </w:r>
            <w:r w:rsidRPr="00AB26B3">
              <w:rPr>
                <w:noProof/>
                <w:spacing w:val="-6"/>
                <w:lang w:val="sk-SK"/>
              </w:rPr>
              <w:t>4354/2015) bez toho, aby sa stanovila akákoľvek výnimka na odstránenie nevybavených súdnych prípadov.</w:t>
            </w:r>
          </w:p>
        </w:tc>
      </w:tr>
      <w:tr w:rsidR="00302FC1" w:rsidRPr="00AB26B3" w14:paraId="10D536BA" w14:textId="77777777">
        <w:tblPrEx>
          <w:tblLook w:val="0400" w:firstRow="0" w:lastRow="0" w:firstColumn="0" w:lastColumn="0" w:noHBand="0" w:noVBand="1"/>
        </w:tblPrEx>
        <w:trPr>
          <w:trHeight w:val="309"/>
          <w:jc w:val="center"/>
        </w:trPr>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5435DE" w14:textId="77777777" w:rsidR="00302FC1" w:rsidRPr="00AB26B3" w:rsidRDefault="00D64F26">
            <w:pPr>
              <w:pStyle w:val="P68B1DB1-Normal12"/>
              <w:spacing w:after="0" w:line="240" w:lineRule="auto"/>
              <w:rPr>
                <w:noProof/>
                <w:spacing w:val="-6"/>
                <w:lang w:val="sk-SK"/>
              </w:rPr>
            </w:pPr>
            <w:r w:rsidRPr="00AB26B3">
              <w:rPr>
                <w:noProof/>
                <w:spacing w:val="-6"/>
                <w:lang w:val="sk-SK"/>
              </w:rPr>
              <w:t>224</w:t>
            </w:r>
          </w:p>
        </w:tc>
        <w:tc>
          <w:tcPr>
            <w:tcW w:w="1976" w:type="dxa"/>
            <w:gridSpan w:val="2"/>
            <w:tcBorders>
              <w:top w:val="single" w:sz="4" w:space="0" w:color="000000" w:themeColor="text1"/>
              <w:left w:val="nil"/>
              <w:bottom w:val="single" w:sz="4" w:space="0" w:color="000000" w:themeColor="text1"/>
              <w:right w:val="single" w:sz="4" w:space="0" w:color="000000" w:themeColor="text1"/>
            </w:tcBorders>
            <w:shd w:val="clear" w:color="auto" w:fill="C6EFCE"/>
          </w:tcPr>
          <w:p w14:paraId="6FA363AE" w14:textId="250AEBAF" w:rsidR="00302FC1" w:rsidRPr="00AB26B3" w:rsidRDefault="00D64F26">
            <w:pPr>
              <w:pStyle w:val="P68B1DB1-Normal12"/>
              <w:spacing w:after="0" w:line="240" w:lineRule="auto"/>
              <w:rPr>
                <w:noProof/>
                <w:spacing w:val="-6"/>
                <w:lang w:val="sk-SK"/>
              </w:rPr>
            </w:pPr>
            <w:r w:rsidRPr="00AB26B3">
              <w:rPr>
                <w:noProof/>
                <w:spacing w:val="-6"/>
                <w:lang w:val="sk-SK"/>
              </w:rPr>
              <w:t>14 – 4.3. Zlepšiť efektívnosť justičného systému – 16733_Zručnosti</w:t>
            </w:r>
            <w:r w:rsidR="00AB26B3" w:rsidRPr="00AB26B3">
              <w:rPr>
                <w:noProof/>
                <w:spacing w:val="-6"/>
                <w:lang w:val="sk-SK"/>
              </w:rPr>
              <w:t xml:space="preserve"> a </w:t>
            </w:r>
            <w:r w:rsidRPr="00AB26B3">
              <w:rPr>
                <w:noProof/>
                <w:spacing w:val="-6"/>
                <w:lang w:val="sk-SK"/>
              </w:rPr>
              <w:t>digitálne zručnosti sudcov</w:t>
            </w:r>
            <w:r w:rsidR="00AB26B3" w:rsidRPr="00AB26B3">
              <w:rPr>
                <w:noProof/>
                <w:spacing w:val="-6"/>
                <w:lang w:val="sk-SK"/>
              </w:rPr>
              <w:t xml:space="preserve"> a </w:t>
            </w:r>
            <w:r w:rsidRPr="00AB26B3">
              <w:rPr>
                <w:noProof/>
                <w:spacing w:val="-6"/>
                <w:lang w:val="sk-SK"/>
              </w:rPr>
              <w:t>justičných zamestnancov</w:t>
            </w:r>
          </w:p>
        </w:tc>
        <w:tc>
          <w:tcPr>
            <w:tcW w:w="1424"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6A3408D6"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397"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6943F90B" w14:textId="3AF94ECF" w:rsidR="00302FC1" w:rsidRPr="00AB26B3" w:rsidRDefault="00D64F26">
            <w:pPr>
              <w:pStyle w:val="P68B1DB1-Normal12"/>
              <w:spacing w:after="0" w:line="240" w:lineRule="auto"/>
              <w:rPr>
                <w:noProof/>
                <w:spacing w:val="-6"/>
                <w:lang w:val="sk-SK"/>
              </w:rPr>
            </w:pPr>
            <w:r w:rsidRPr="00AB26B3">
              <w:rPr>
                <w:noProof/>
                <w:spacing w:val="-6"/>
                <w:lang w:val="sk-SK"/>
              </w:rPr>
              <w:t>Odborná príprava – sudcovia</w:t>
            </w:r>
            <w:r w:rsidR="00AB26B3" w:rsidRPr="00AB26B3">
              <w:rPr>
                <w:noProof/>
                <w:spacing w:val="-6"/>
                <w:lang w:val="sk-SK"/>
              </w:rPr>
              <w:t xml:space="preserve"> a </w:t>
            </w:r>
            <w:r w:rsidRPr="00AB26B3">
              <w:rPr>
                <w:noProof/>
                <w:spacing w:val="-6"/>
                <w:lang w:val="sk-SK"/>
              </w:rPr>
              <w:t>administratívni pracovníci</w:t>
            </w:r>
          </w:p>
        </w:tc>
        <w:tc>
          <w:tcPr>
            <w:tcW w:w="1552"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35FC7F32"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32A86AF8" w14:textId="77777777" w:rsidR="00302FC1" w:rsidRPr="00AB26B3" w:rsidRDefault="00D64F26">
            <w:pPr>
              <w:pStyle w:val="P68B1DB1-Normal12"/>
              <w:spacing w:after="0" w:line="240" w:lineRule="auto"/>
              <w:rPr>
                <w:noProof/>
                <w:spacing w:val="-6"/>
                <w:lang w:val="sk-SK"/>
              </w:rPr>
            </w:pPr>
            <w:r w:rsidRPr="00AB26B3">
              <w:rPr>
                <w:noProof/>
                <w:spacing w:val="-6"/>
                <w:lang w:val="sk-SK"/>
              </w:rPr>
              <w:t>Počet sudcov zapísaných na národnej škole sudcov</w:t>
            </w:r>
          </w:p>
        </w:tc>
        <w:tc>
          <w:tcPr>
            <w:tcW w:w="857"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021C82B7" w14:textId="77777777" w:rsidR="00302FC1" w:rsidRPr="00AB26B3" w:rsidRDefault="00D64F26">
            <w:pPr>
              <w:pStyle w:val="P68B1DB1-Normal12"/>
              <w:spacing w:after="0" w:line="240" w:lineRule="auto"/>
              <w:rPr>
                <w:noProof/>
                <w:spacing w:val="-6"/>
                <w:lang w:val="sk-SK"/>
              </w:rPr>
            </w:pPr>
            <w:r w:rsidRPr="00AB26B3">
              <w:rPr>
                <w:noProof/>
                <w:spacing w:val="-6"/>
                <w:lang w:val="sk-SK"/>
              </w:rPr>
              <w:t>0</w:t>
            </w:r>
          </w:p>
        </w:tc>
        <w:tc>
          <w:tcPr>
            <w:tcW w:w="587"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1ACF590F" w14:textId="77777777" w:rsidR="00302FC1" w:rsidRPr="00AB26B3" w:rsidRDefault="00D64F26">
            <w:pPr>
              <w:pStyle w:val="P68B1DB1-Normal12"/>
              <w:spacing w:after="0" w:line="240" w:lineRule="auto"/>
              <w:rPr>
                <w:noProof/>
                <w:spacing w:val="-6"/>
                <w:lang w:val="sk-SK"/>
              </w:rPr>
            </w:pPr>
            <w:r w:rsidRPr="00AB26B3">
              <w:rPr>
                <w:noProof/>
                <w:spacing w:val="-6"/>
                <w:lang w:val="sk-SK"/>
              </w:rPr>
              <w:t>10</w:t>
            </w:r>
          </w:p>
        </w:tc>
        <w:tc>
          <w:tcPr>
            <w:tcW w:w="846"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1F985F3B"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622"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338A2F8E" w14:textId="77777777" w:rsidR="00302FC1" w:rsidRPr="00AB26B3" w:rsidRDefault="00D64F26">
            <w:pPr>
              <w:pStyle w:val="P68B1DB1-Normal12"/>
              <w:spacing w:after="0" w:line="240" w:lineRule="auto"/>
              <w:rPr>
                <w:noProof/>
                <w:spacing w:val="-6"/>
                <w:lang w:val="sk-SK"/>
              </w:rPr>
            </w:pPr>
            <w:r w:rsidRPr="00AB26B3">
              <w:rPr>
                <w:noProof/>
                <w:spacing w:val="-6"/>
                <w:lang w:val="sk-SK"/>
              </w:rPr>
              <w:t>2022</w:t>
            </w:r>
          </w:p>
        </w:tc>
        <w:tc>
          <w:tcPr>
            <w:tcW w:w="4885" w:type="dxa"/>
            <w:tcBorders>
              <w:top w:val="single" w:sz="4" w:space="0" w:color="000000" w:themeColor="text1"/>
              <w:left w:val="nil"/>
              <w:bottom w:val="single" w:sz="4" w:space="0" w:color="000000" w:themeColor="text1"/>
              <w:right w:val="single" w:sz="4" w:space="0" w:color="000000" w:themeColor="text1"/>
            </w:tcBorders>
            <w:shd w:val="clear" w:color="auto" w:fill="C6EFCE"/>
          </w:tcPr>
          <w:p w14:paraId="574F1B3F"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10 sudcov magistrátnych súdov zapísaných do štátnej školy sudcov </w:t>
            </w:r>
          </w:p>
        </w:tc>
      </w:tr>
      <w:tr w:rsidR="00302FC1" w:rsidRPr="00AB26B3" w14:paraId="0731F734" w14:textId="77777777">
        <w:trPr>
          <w:trHeight w:val="309"/>
          <w:jc w:val="center"/>
        </w:trPr>
        <w:tc>
          <w:tcPr>
            <w:tcW w:w="592" w:type="dxa"/>
            <w:tcBorders>
              <w:top w:val="nil"/>
              <w:left w:val="single" w:sz="4" w:space="0" w:color="auto"/>
              <w:bottom w:val="single" w:sz="4" w:space="0" w:color="auto"/>
              <w:right w:val="single" w:sz="4" w:space="0" w:color="auto"/>
            </w:tcBorders>
            <w:shd w:val="clear" w:color="auto" w:fill="C6EFCE"/>
            <w:noWrap/>
          </w:tcPr>
          <w:p w14:paraId="5EA1343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225</w:t>
            </w:r>
          </w:p>
        </w:tc>
        <w:tc>
          <w:tcPr>
            <w:tcW w:w="1976" w:type="dxa"/>
            <w:gridSpan w:val="2"/>
            <w:tcBorders>
              <w:top w:val="nil"/>
              <w:left w:val="nil"/>
              <w:bottom w:val="single" w:sz="4" w:space="0" w:color="auto"/>
              <w:right w:val="single" w:sz="4" w:space="0" w:color="auto"/>
            </w:tcBorders>
            <w:shd w:val="clear" w:color="auto" w:fill="C6EFCE"/>
            <w:noWrap/>
          </w:tcPr>
          <w:p w14:paraId="695C25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16575 Urýchlenie výkonu spravodlivosti</w:t>
            </w:r>
          </w:p>
        </w:tc>
        <w:tc>
          <w:tcPr>
            <w:tcW w:w="1424" w:type="dxa"/>
            <w:tcBorders>
              <w:top w:val="nil"/>
              <w:left w:val="nil"/>
              <w:bottom w:val="single" w:sz="4" w:space="0" w:color="auto"/>
              <w:right w:val="single" w:sz="4" w:space="0" w:color="auto"/>
            </w:tcBorders>
            <w:shd w:val="clear" w:color="auto" w:fill="C6EFCE"/>
            <w:noWrap/>
          </w:tcPr>
          <w:p w14:paraId="0F1B4A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nil"/>
              <w:left w:val="nil"/>
              <w:bottom w:val="single" w:sz="4" w:space="0" w:color="auto"/>
              <w:right w:val="single" w:sz="4" w:space="0" w:color="auto"/>
            </w:tcBorders>
            <w:shd w:val="clear" w:color="auto" w:fill="C6EFCE"/>
            <w:noWrap/>
          </w:tcPr>
          <w:p w14:paraId="250DB95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Justičná polícia – sekundárne právne predpisy </w:t>
            </w:r>
          </w:p>
        </w:tc>
        <w:tc>
          <w:tcPr>
            <w:tcW w:w="1552" w:type="dxa"/>
            <w:tcBorders>
              <w:top w:val="nil"/>
              <w:left w:val="nil"/>
              <w:bottom w:val="single" w:sz="4" w:space="0" w:color="auto"/>
              <w:right w:val="single" w:sz="4" w:space="0" w:color="auto"/>
            </w:tcBorders>
            <w:shd w:val="clear" w:color="auto" w:fill="C6EFCE"/>
            <w:noWrap/>
          </w:tcPr>
          <w:p w14:paraId="1A8C82F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p>
        </w:tc>
        <w:tc>
          <w:tcPr>
            <w:tcW w:w="992" w:type="dxa"/>
            <w:tcBorders>
              <w:top w:val="nil"/>
              <w:left w:val="nil"/>
              <w:bottom w:val="single" w:sz="4" w:space="0" w:color="auto"/>
              <w:right w:val="single" w:sz="4" w:space="0" w:color="auto"/>
            </w:tcBorders>
            <w:shd w:val="clear" w:color="auto" w:fill="C6EFCE"/>
            <w:noWrap/>
          </w:tcPr>
          <w:p w14:paraId="1B8A273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1E0E18E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1DDE462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7336707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622" w:type="dxa"/>
            <w:tcBorders>
              <w:top w:val="nil"/>
              <w:left w:val="nil"/>
              <w:bottom w:val="single" w:sz="4" w:space="0" w:color="auto"/>
              <w:right w:val="single" w:sz="4" w:space="0" w:color="auto"/>
            </w:tcBorders>
            <w:shd w:val="clear" w:color="auto" w:fill="C6EFCE"/>
            <w:noWrap/>
          </w:tcPr>
          <w:p w14:paraId="0A85F38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885" w:type="dxa"/>
            <w:tcBorders>
              <w:top w:val="nil"/>
              <w:left w:val="nil"/>
              <w:bottom w:val="single" w:sz="4" w:space="0" w:color="auto"/>
              <w:right w:val="single" w:sz="4" w:space="0" w:color="auto"/>
            </w:tcBorders>
            <w:shd w:val="clear" w:color="auto" w:fill="C6EFCE"/>
            <w:noWrap/>
          </w:tcPr>
          <w:p w14:paraId="4FDB6704" w14:textId="07DA7B6F" w:rsidR="00302FC1" w:rsidRPr="00AB26B3" w:rsidRDefault="00D64F26">
            <w:pPr>
              <w:pStyle w:val="P68B1DB1-Normal12"/>
              <w:spacing w:before="120" w:after="120" w:line="240" w:lineRule="auto"/>
              <w:jc w:val="both"/>
              <w:rPr>
                <w:noProof/>
                <w:spacing w:val="-6"/>
                <w:lang w:val="sk-SK"/>
              </w:rPr>
            </w:pPr>
            <w:r w:rsidRPr="00AB26B3">
              <w:rPr>
                <w:noProof/>
                <w:spacing w:val="-6"/>
                <w:lang w:val="sk-SK"/>
              </w:rPr>
              <w:t>Nadobudnutie účinnosti všetkých sekundárnych právnych predpisov (podľa potreby vo forme prezidentských dekrétov alebo ministerských rozhodnutí) potrebných na úplné vykonávanie zákona</w:t>
            </w:r>
            <w:r w:rsidR="00AB26B3" w:rsidRPr="00AB26B3">
              <w:rPr>
                <w:noProof/>
                <w:spacing w:val="-6"/>
                <w:lang w:val="sk-SK"/>
              </w:rPr>
              <w:t xml:space="preserve"> o </w:t>
            </w:r>
            <w:r w:rsidRPr="00AB26B3">
              <w:rPr>
                <w:noProof/>
                <w:spacing w:val="-6"/>
                <w:lang w:val="sk-SK"/>
              </w:rPr>
              <w:t>justičnej polícii</w:t>
            </w:r>
            <w:r w:rsidR="00AB26B3" w:rsidRPr="00AB26B3">
              <w:rPr>
                <w:noProof/>
                <w:spacing w:val="-6"/>
                <w:lang w:val="sk-SK"/>
              </w:rPr>
              <w:t xml:space="preserve"> s </w:t>
            </w:r>
            <w:r w:rsidRPr="00AB26B3">
              <w:rPr>
                <w:noProof/>
                <w:spacing w:val="-6"/>
                <w:lang w:val="sk-SK"/>
              </w:rPr>
              <w:t>cieľom pomôcť justičným orgánom</w:t>
            </w:r>
            <w:r w:rsidR="00AB26B3" w:rsidRPr="00AB26B3">
              <w:rPr>
                <w:noProof/>
                <w:spacing w:val="-6"/>
                <w:lang w:val="sk-SK"/>
              </w:rPr>
              <w:t xml:space="preserve"> a </w:t>
            </w:r>
            <w:r w:rsidRPr="00AB26B3">
              <w:rPr>
                <w:noProof/>
                <w:spacing w:val="-6"/>
                <w:lang w:val="sk-SK"/>
              </w:rPr>
              <w:t>orgánom prokuratúry pri práci s:</w:t>
            </w:r>
          </w:p>
          <w:p w14:paraId="553387BB" w14:textId="48424B04" w:rsidR="00AB26B3" w:rsidRPr="00AB26B3" w:rsidRDefault="00D64F26">
            <w:pPr>
              <w:pStyle w:val="P68B1DB1-Normal12"/>
              <w:numPr>
                <w:ilvl w:val="0"/>
                <w:numId w:val="45"/>
              </w:numPr>
              <w:spacing w:before="120" w:after="0" w:line="240" w:lineRule="auto"/>
              <w:ind w:left="231" w:hanging="219"/>
              <w:jc w:val="both"/>
              <w:rPr>
                <w:noProof/>
                <w:spacing w:val="-6"/>
                <w:lang w:val="sk-SK"/>
              </w:rPr>
            </w:pPr>
            <w:r w:rsidRPr="00AB26B3">
              <w:rPr>
                <w:noProof/>
                <w:spacing w:val="-6"/>
                <w:lang w:val="sk-SK"/>
              </w:rPr>
              <w:t>poskytovanie vedeckej</w:t>
            </w:r>
            <w:r w:rsidR="00AB26B3" w:rsidRPr="00AB26B3">
              <w:rPr>
                <w:noProof/>
                <w:spacing w:val="-6"/>
                <w:lang w:val="sk-SK"/>
              </w:rPr>
              <w:t xml:space="preserve"> a </w:t>
            </w:r>
            <w:r w:rsidRPr="00AB26B3">
              <w:rPr>
                <w:noProof/>
                <w:spacing w:val="-6"/>
                <w:lang w:val="sk-SK"/>
              </w:rPr>
              <w:t>technickej pomoci sudcom</w:t>
            </w:r>
            <w:r w:rsidR="00AB26B3" w:rsidRPr="00AB26B3">
              <w:rPr>
                <w:noProof/>
                <w:spacing w:val="-6"/>
                <w:lang w:val="sk-SK"/>
              </w:rPr>
              <w:t xml:space="preserve"> a </w:t>
            </w:r>
            <w:r w:rsidRPr="00AB26B3">
              <w:rPr>
                <w:noProof/>
                <w:spacing w:val="-6"/>
                <w:lang w:val="sk-SK"/>
              </w:rPr>
              <w:t>prokurátorom vo veciach, ktoré si vyžadujú technické alebo odborné znalosti</w:t>
            </w:r>
            <w:r w:rsidR="00AB26B3" w:rsidRPr="00AB26B3">
              <w:rPr>
                <w:noProof/>
                <w:spacing w:val="-6"/>
                <w:lang w:val="sk-SK"/>
              </w:rPr>
              <w:t>;</w:t>
            </w:r>
          </w:p>
          <w:p w14:paraId="766CC8A1" w14:textId="0E7ECFAF" w:rsidR="00302FC1" w:rsidRPr="00AB26B3" w:rsidRDefault="00D64F26">
            <w:pPr>
              <w:pStyle w:val="P68B1DB1-Normal12"/>
              <w:numPr>
                <w:ilvl w:val="0"/>
                <w:numId w:val="45"/>
              </w:numPr>
              <w:spacing w:before="120" w:after="0" w:line="240" w:lineRule="auto"/>
              <w:ind w:left="231" w:hanging="219"/>
              <w:jc w:val="both"/>
              <w:rPr>
                <w:noProof/>
                <w:spacing w:val="-6"/>
                <w:lang w:val="sk-SK"/>
              </w:rPr>
            </w:pPr>
            <w:r w:rsidRPr="00AB26B3">
              <w:rPr>
                <w:noProof/>
                <w:spacing w:val="-6"/>
                <w:lang w:val="sk-SK"/>
              </w:rPr>
              <w:t>vykonávanie predbežných preskúmaní</w:t>
            </w:r>
            <w:r w:rsidR="00AB26B3" w:rsidRPr="00AB26B3">
              <w:rPr>
                <w:noProof/>
                <w:spacing w:val="-6"/>
                <w:lang w:val="sk-SK"/>
              </w:rPr>
              <w:t xml:space="preserve"> a </w:t>
            </w:r>
            <w:r w:rsidRPr="00AB26B3">
              <w:rPr>
                <w:noProof/>
                <w:spacing w:val="-6"/>
                <w:lang w:val="sk-SK"/>
              </w:rPr>
              <w:t>vyšetrovaní;</w:t>
            </w:r>
          </w:p>
          <w:p w14:paraId="4659C060" w14:textId="77777777" w:rsidR="00302FC1" w:rsidRPr="00AB26B3" w:rsidRDefault="00D64F26">
            <w:pPr>
              <w:pStyle w:val="P68B1DB1-Normal12"/>
              <w:numPr>
                <w:ilvl w:val="0"/>
                <w:numId w:val="45"/>
              </w:numPr>
              <w:spacing w:before="120" w:after="0" w:line="240" w:lineRule="auto"/>
              <w:ind w:left="231" w:hanging="219"/>
              <w:jc w:val="both"/>
              <w:rPr>
                <w:noProof/>
                <w:spacing w:val="-6"/>
                <w:lang w:val="sk-SK"/>
              </w:rPr>
            </w:pPr>
            <w:r w:rsidRPr="00AB26B3">
              <w:rPr>
                <w:noProof/>
                <w:spacing w:val="-6"/>
                <w:lang w:val="sk-SK"/>
              </w:rPr>
              <w:t>vykonávanie príkazov;</w:t>
            </w:r>
          </w:p>
          <w:p w14:paraId="7C35EE53" w14:textId="198D75B6" w:rsidR="00302FC1" w:rsidRPr="00AB26B3" w:rsidRDefault="00D64F26">
            <w:pPr>
              <w:pStyle w:val="P68B1DB1-Normal12"/>
              <w:numPr>
                <w:ilvl w:val="0"/>
                <w:numId w:val="45"/>
              </w:numPr>
              <w:spacing w:before="120" w:after="0" w:line="240" w:lineRule="auto"/>
              <w:ind w:left="231" w:hanging="219"/>
              <w:jc w:val="both"/>
              <w:rPr>
                <w:noProof/>
                <w:spacing w:val="-6"/>
                <w:lang w:val="sk-SK"/>
              </w:rPr>
            </w:pPr>
            <w:r w:rsidRPr="00AB26B3">
              <w:rPr>
                <w:noProof/>
                <w:spacing w:val="-6"/>
                <w:lang w:val="sk-SK"/>
              </w:rPr>
              <w:t>poskytovanie pomoci pri predkladaní žiadostí</w:t>
            </w:r>
            <w:r w:rsidR="00AB26B3" w:rsidRPr="00AB26B3">
              <w:rPr>
                <w:noProof/>
                <w:spacing w:val="-6"/>
                <w:lang w:val="sk-SK"/>
              </w:rPr>
              <w:t xml:space="preserve"> o </w:t>
            </w:r>
            <w:r w:rsidRPr="00AB26B3">
              <w:rPr>
                <w:noProof/>
                <w:spacing w:val="-6"/>
                <w:lang w:val="sk-SK"/>
              </w:rPr>
              <w:t>justičnú pomoc alebo odpovedaní na ne;</w:t>
            </w:r>
          </w:p>
          <w:p w14:paraId="3C04E2FC" w14:textId="30292B61" w:rsidR="00302FC1" w:rsidRPr="00AB26B3" w:rsidRDefault="00D64F26">
            <w:pPr>
              <w:pStyle w:val="P68B1DB1-Normal12"/>
              <w:numPr>
                <w:ilvl w:val="0"/>
                <w:numId w:val="45"/>
              </w:numPr>
              <w:spacing w:before="120" w:after="0" w:line="240" w:lineRule="auto"/>
              <w:ind w:left="231" w:hanging="219"/>
              <w:jc w:val="both"/>
              <w:rPr>
                <w:noProof/>
                <w:spacing w:val="-6"/>
                <w:lang w:val="sk-SK"/>
              </w:rPr>
            </w:pPr>
            <w:r w:rsidRPr="00AB26B3">
              <w:rPr>
                <w:noProof/>
                <w:spacing w:val="-6"/>
                <w:lang w:val="sk-SK"/>
              </w:rPr>
              <w:t>doručovanie písomností</w:t>
            </w:r>
            <w:r w:rsidR="00AB26B3" w:rsidRPr="00AB26B3">
              <w:rPr>
                <w:noProof/>
                <w:spacing w:val="-6"/>
                <w:lang w:val="sk-SK"/>
              </w:rPr>
              <w:t xml:space="preserve"> a </w:t>
            </w:r>
            <w:r w:rsidRPr="00AB26B3">
              <w:rPr>
                <w:noProof/>
                <w:spacing w:val="-6"/>
                <w:lang w:val="sk-SK"/>
              </w:rPr>
              <w:t>procesných úkonov;</w:t>
            </w:r>
          </w:p>
          <w:p w14:paraId="2284A8B4" w14:textId="77777777" w:rsidR="00302FC1" w:rsidRPr="00AB26B3" w:rsidRDefault="00D64F26">
            <w:pPr>
              <w:pStyle w:val="P68B1DB1-Normal12"/>
              <w:numPr>
                <w:ilvl w:val="0"/>
                <w:numId w:val="45"/>
              </w:numPr>
              <w:spacing w:before="120" w:after="0" w:line="240" w:lineRule="auto"/>
              <w:ind w:left="231" w:hanging="219"/>
              <w:jc w:val="both"/>
              <w:rPr>
                <w:noProof/>
                <w:spacing w:val="-6"/>
                <w:lang w:val="sk-SK"/>
              </w:rPr>
            </w:pPr>
            <w:r w:rsidRPr="00AB26B3">
              <w:rPr>
                <w:noProof/>
                <w:spacing w:val="-6"/>
                <w:lang w:val="sk-SK"/>
              </w:rPr>
              <w:t>výkon rozsudkov;</w:t>
            </w:r>
          </w:p>
          <w:p w14:paraId="5648BBFC" w14:textId="4D9018E7" w:rsidR="00302FC1" w:rsidRPr="00AB26B3" w:rsidRDefault="00D64F26">
            <w:pPr>
              <w:pStyle w:val="P68B1DB1-Normal12"/>
              <w:numPr>
                <w:ilvl w:val="0"/>
                <w:numId w:val="45"/>
              </w:numPr>
              <w:spacing w:before="120" w:after="0" w:line="240" w:lineRule="auto"/>
              <w:ind w:left="231" w:hanging="219"/>
              <w:jc w:val="both"/>
              <w:rPr>
                <w:noProof/>
                <w:spacing w:val="-6"/>
                <w:lang w:val="sk-SK"/>
              </w:rPr>
            </w:pPr>
            <w:r w:rsidRPr="00AB26B3">
              <w:rPr>
                <w:noProof/>
                <w:spacing w:val="-6"/>
                <w:lang w:val="sk-SK"/>
              </w:rPr>
              <w:t>stráženie</w:t>
            </w:r>
            <w:r w:rsidR="00AB26B3" w:rsidRPr="00AB26B3">
              <w:rPr>
                <w:noProof/>
                <w:spacing w:val="-6"/>
                <w:lang w:val="sk-SK"/>
              </w:rPr>
              <w:t xml:space="preserve"> a </w:t>
            </w:r>
            <w:r w:rsidRPr="00AB26B3">
              <w:rPr>
                <w:noProof/>
                <w:spacing w:val="-6"/>
                <w:lang w:val="sk-SK"/>
              </w:rPr>
              <w:t>udržiavanie poriadku</w:t>
            </w:r>
            <w:r w:rsidR="00AB26B3" w:rsidRPr="00AB26B3">
              <w:rPr>
                <w:noProof/>
                <w:spacing w:val="-6"/>
                <w:lang w:val="sk-SK"/>
              </w:rPr>
              <w:t xml:space="preserve"> v </w:t>
            </w:r>
            <w:r w:rsidRPr="00AB26B3">
              <w:rPr>
                <w:noProof/>
                <w:spacing w:val="-6"/>
                <w:lang w:val="sk-SK"/>
              </w:rPr>
              <w:t>súdnych budovách;</w:t>
            </w:r>
          </w:p>
          <w:p w14:paraId="3F608E09" w14:textId="3A511018" w:rsidR="00302FC1" w:rsidRPr="00AB26B3" w:rsidRDefault="00D64F26">
            <w:pPr>
              <w:pStyle w:val="P68B1DB1-Normal12"/>
              <w:numPr>
                <w:ilvl w:val="0"/>
                <w:numId w:val="45"/>
              </w:numPr>
              <w:spacing w:before="120" w:after="0" w:line="240" w:lineRule="auto"/>
              <w:ind w:left="231" w:hanging="219"/>
              <w:jc w:val="both"/>
              <w:rPr>
                <w:noProof/>
                <w:spacing w:val="-6"/>
                <w:lang w:val="sk-SK"/>
              </w:rPr>
            </w:pPr>
            <w:r w:rsidRPr="00AB26B3">
              <w:rPr>
                <w:noProof/>
                <w:spacing w:val="-6"/>
                <w:lang w:val="sk-SK"/>
              </w:rPr>
              <w:t>iné procesné úkony, ktoré jej zverili príslušné súdy</w:t>
            </w:r>
            <w:r w:rsidR="00AB26B3" w:rsidRPr="00AB26B3">
              <w:rPr>
                <w:noProof/>
                <w:spacing w:val="-6"/>
                <w:lang w:val="sk-SK"/>
              </w:rPr>
              <w:t xml:space="preserve"> a </w:t>
            </w:r>
            <w:r w:rsidRPr="00AB26B3">
              <w:rPr>
                <w:noProof/>
                <w:spacing w:val="-6"/>
                <w:lang w:val="sk-SK"/>
              </w:rPr>
              <w:t>prokurátori</w:t>
            </w:r>
          </w:p>
          <w:p w14:paraId="7635C0C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2232F539" w14:textId="77777777">
        <w:trPr>
          <w:trHeight w:val="309"/>
          <w:jc w:val="center"/>
        </w:trPr>
        <w:tc>
          <w:tcPr>
            <w:tcW w:w="592" w:type="dxa"/>
            <w:tcBorders>
              <w:top w:val="nil"/>
              <w:left w:val="single" w:sz="4" w:space="0" w:color="auto"/>
              <w:bottom w:val="single" w:sz="4" w:space="0" w:color="auto"/>
              <w:right w:val="single" w:sz="4" w:space="0" w:color="auto"/>
            </w:tcBorders>
            <w:shd w:val="clear" w:color="auto" w:fill="C6EFCE"/>
            <w:noWrap/>
          </w:tcPr>
          <w:p w14:paraId="22E5361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226</w:t>
            </w:r>
          </w:p>
        </w:tc>
        <w:tc>
          <w:tcPr>
            <w:tcW w:w="1976" w:type="dxa"/>
            <w:gridSpan w:val="2"/>
            <w:tcBorders>
              <w:top w:val="nil"/>
              <w:left w:val="nil"/>
              <w:bottom w:val="single" w:sz="4" w:space="0" w:color="auto"/>
              <w:right w:val="single" w:sz="4" w:space="0" w:color="auto"/>
            </w:tcBorders>
            <w:shd w:val="clear" w:color="auto" w:fill="C6EFCE"/>
            <w:noWrap/>
          </w:tcPr>
          <w:p w14:paraId="4E58228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16575 Urýchlenie výkonu spravodlivosti</w:t>
            </w:r>
          </w:p>
        </w:tc>
        <w:tc>
          <w:tcPr>
            <w:tcW w:w="1424" w:type="dxa"/>
            <w:tcBorders>
              <w:top w:val="nil"/>
              <w:left w:val="nil"/>
              <w:bottom w:val="single" w:sz="4" w:space="0" w:color="auto"/>
              <w:right w:val="single" w:sz="4" w:space="0" w:color="auto"/>
            </w:tcBorders>
            <w:shd w:val="clear" w:color="auto" w:fill="C6EFCE"/>
            <w:noWrap/>
          </w:tcPr>
          <w:p w14:paraId="2630CA7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nil"/>
              <w:left w:val="nil"/>
              <w:bottom w:val="single" w:sz="4" w:space="0" w:color="auto"/>
              <w:right w:val="single" w:sz="4" w:space="0" w:color="auto"/>
            </w:tcBorders>
            <w:shd w:val="clear" w:color="auto" w:fill="C6EFCE"/>
            <w:noWrap/>
          </w:tcPr>
          <w:p w14:paraId="38D5018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Justičná mapa – primárne právne predpisy – administratívne</w:t>
            </w:r>
          </w:p>
        </w:tc>
        <w:tc>
          <w:tcPr>
            <w:tcW w:w="1552" w:type="dxa"/>
            <w:tcBorders>
              <w:top w:val="nil"/>
              <w:left w:val="nil"/>
              <w:bottom w:val="single" w:sz="4" w:space="0" w:color="auto"/>
              <w:right w:val="single" w:sz="4" w:space="0" w:color="auto"/>
            </w:tcBorders>
            <w:shd w:val="clear" w:color="auto" w:fill="C6EFCE"/>
            <w:noWrap/>
          </w:tcPr>
          <w:p w14:paraId="5EA7F23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p>
        </w:tc>
        <w:tc>
          <w:tcPr>
            <w:tcW w:w="992" w:type="dxa"/>
            <w:tcBorders>
              <w:top w:val="nil"/>
              <w:left w:val="nil"/>
              <w:bottom w:val="single" w:sz="4" w:space="0" w:color="auto"/>
              <w:right w:val="single" w:sz="4" w:space="0" w:color="auto"/>
            </w:tcBorders>
            <w:shd w:val="clear" w:color="auto" w:fill="C6EFCE"/>
            <w:noWrap/>
          </w:tcPr>
          <w:p w14:paraId="6C03992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6116FBA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49C02B9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6C54894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22" w:type="dxa"/>
            <w:tcBorders>
              <w:top w:val="nil"/>
              <w:left w:val="nil"/>
              <w:bottom w:val="single" w:sz="4" w:space="0" w:color="auto"/>
              <w:right w:val="single" w:sz="4" w:space="0" w:color="auto"/>
            </w:tcBorders>
            <w:shd w:val="clear" w:color="auto" w:fill="C6EFCE"/>
            <w:noWrap/>
          </w:tcPr>
          <w:p w14:paraId="02246C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885" w:type="dxa"/>
            <w:tcBorders>
              <w:top w:val="nil"/>
              <w:left w:val="nil"/>
              <w:bottom w:val="single" w:sz="4" w:space="0" w:color="auto"/>
              <w:right w:val="single" w:sz="4" w:space="0" w:color="auto"/>
            </w:tcBorders>
            <w:shd w:val="clear" w:color="auto" w:fill="C6EFCE"/>
            <w:noWrap/>
          </w:tcPr>
          <w:p w14:paraId="4A651066"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Nadobudnutie účinnosti primárnych právnych predpisov na revíziu mapy súdnictva pre správne súdnictvo. </w:t>
            </w:r>
          </w:p>
        </w:tc>
      </w:tr>
      <w:tr w:rsidR="00302FC1" w:rsidRPr="00AB26B3" w14:paraId="678AF670" w14:textId="77777777">
        <w:trPr>
          <w:trHeight w:val="309"/>
          <w:jc w:val="center"/>
        </w:trPr>
        <w:tc>
          <w:tcPr>
            <w:tcW w:w="592" w:type="dxa"/>
            <w:tcBorders>
              <w:top w:val="nil"/>
              <w:left w:val="single" w:sz="4" w:space="0" w:color="auto"/>
              <w:bottom w:val="single" w:sz="4" w:space="0" w:color="auto"/>
              <w:right w:val="single" w:sz="4" w:space="0" w:color="auto"/>
            </w:tcBorders>
            <w:shd w:val="clear" w:color="auto" w:fill="C6EFCE"/>
            <w:noWrap/>
          </w:tcPr>
          <w:p w14:paraId="17F63FD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227</w:t>
            </w:r>
          </w:p>
        </w:tc>
        <w:tc>
          <w:tcPr>
            <w:tcW w:w="1976" w:type="dxa"/>
            <w:gridSpan w:val="2"/>
            <w:tcBorders>
              <w:top w:val="nil"/>
              <w:left w:val="nil"/>
              <w:bottom w:val="single" w:sz="4" w:space="0" w:color="auto"/>
              <w:right w:val="single" w:sz="4" w:space="0" w:color="auto"/>
            </w:tcBorders>
            <w:shd w:val="clear" w:color="auto" w:fill="C6EFCE"/>
            <w:noWrap/>
          </w:tcPr>
          <w:p w14:paraId="5CFC9E9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16292_Nové justičné budovy</w:t>
            </w:r>
          </w:p>
        </w:tc>
        <w:tc>
          <w:tcPr>
            <w:tcW w:w="1424" w:type="dxa"/>
            <w:tcBorders>
              <w:top w:val="nil"/>
              <w:left w:val="nil"/>
              <w:bottom w:val="single" w:sz="4" w:space="0" w:color="auto"/>
              <w:right w:val="single" w:sz="4" w:space="0" w:color="auto"/>
            </w:tcBorders>
            <w:shd w:val="clear" w:color="auto" w:fill="C6EFCE"/>
            <w:noWrap/>
          </w:tcPr>
          <w:p w14:paraId="625C94C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nil"/>
              <w:left w:val="nil"/>
              <w:bottom w:val="single" w:sz="4" w:space="0" w:color="auto"/>
              <w:right w:val="single" w:sz="4" w:space="0" w:color="auto"/>
            </w:tcBorders>
            <w:shd w:val="clear" w:color="auto" w:fill="C6EFCE"/>
            <w:noWrap/>
          </w:tcPr>
          <w:p w14:paraId="14C50159" w14:textId="70E2579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Výstavba</w:t>
            </w:r>
            <w:r w:rsidR="00AB26B3" w:rsidRPr="00AB26B3">
              <w:rPr>
                <w:noProof/>
                <w:spacing w:val="-6"/>
                <w:lang w:val="sk-SK"/>
              </w:rPr>
              <w:t xml:space="preserve"> a </w:t>
            </w:r>
            <w:r w:rsidRPr="00AB26B3">
              <w:rPr>
                <w:noProof/>
                <w:spacing w:val="-6"/>
                <w:lang w:val="sk-SK"/>
              </w:rPr>
              <w:t>renovácia súdnych budov – úprava zoznamu – začatie verejných súťaží</w:t>
            </w:r>
          </w:p>
        </w:tc>
        <w:tc>
          <w:tcPr>
            <w:tcW w:w="1552" w:type="dxa"/>
            <w:tcBorders>
              <w:top w:val="nil"/>
              <w:left w:val="nil"/>
              <w:bottom w:val="single" w:sz="4" w:space="0" w:color="auto"/>
              <w:right w:val="single" w:sz="4" w:space="0" w:color="auto"/>
            </w:tcBorders>
            <w:shd w:val="clear" w:color="auto" w:fill="C6EFCE"/>
            <w:noWrap/>
          </w:tcPr>
          <w:p w14:paraId="64D15F63" w14:textId="5AA1985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Zoznam projektov obnovy</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príslušným zákonom</w:t>
            </w:r>
            <w:r w:rsidR="00AB26B3" w:rsidRPr="00AB26B3">
              <w:rPr>
                <w:noProof/>
                <w:spacing w:val="-6"/>
                <w:lang w:val="sk-SK"/>
              </w:rPr>
              <w:t xml:space="preserve"> o </w:t>
            </w:r>
            <w:r w:rsidRPr="00AB26B3">
              <w:rPr>
                <w:noProof/>
                <w:spacing w:val="-6"/>
                <w:lang w:val="sk-SK"/>
              </w:rPr>
              <w:t>revízii súdnej mapy podľa míľnika 14 4.3/Q4 2022; vyhlásenie verejných súťaží</w:t>
            </w:r>
          </w:p>
        </w:tc>
        <w:tc>
          <w:tcPr>
            <w:tcW w:w="992" w:type="dxa"/>
            <w:tcBorders>
              <w:top w:val="nil"/>
              <w:left w:val="nil"/>
              <w:bottom w:val="single" w:sz="4" w:space="0" w:color="auto"/>
              <w:right w:val="single" w:sz="4" w:space="0" w:color="auto"/>
            </w:tcBorders>
            <w:shd w:val="clear" w:color="auto" w:fill="C6EFCE"/>
            <w:noWrap/>
          </w:tcPr>
          <w:p w14:paraId="4F4551A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315B253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10AFF19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48D33D2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22" w:type="dxa"/>
            <w:tcBorders>
              <w:top w:val="nil"/>
              <w:left w:val="nil"/>
              <w:bottom w:val="single" w:sz="4" w:space="0" w:color="auto"/>
              <w:right w:val="single" w:sz="4" w:space="0" w:color="auto"/>
            </w:tcBorders>
            <w:shd w:val="clear" w:color="auto" w:fill="C6EFCE"/>
            <w:noWrap/>
          </w:tcPr>
          <w:p w14:paraId="6ADE46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885" w:type="dxa"/>
            <w:tcBorders>
              <w:top w:val="nil"/>
              <w:left w:val="nil"/>
              <w:bottom w:val="single" w:sz="4" w:space="0" w:color="auto"/>
              <w:right w:val="single" w:sz="4" w:space="0" w:color="auto"/>
            </w:tcBorders>
            <w:shd w:val="clear" w:color="auto" w:fill="C6EFCE"/>
            <w:noWrap/>
          </w:tcPr>
          <w:p w14:paraId="6C52F32B" w14:textId="6C180735" w:rsidR="00302FC1" w:rsidRPr="00AB26B3" w:rsidRDefault="00D64F26">
            <w:pPr>
              <w:pStyle w:val="P68B1DB1-Normal12"/>
              <w:spacing w:after="0" w:line="240" w:lineRule="auto"/>
              <w:rPr>
                <w:noProof/>
                <w:spacing w:val="-6"/>
                <w:lang w:val="sk-SK"/>
              </w:rPr>
            </w:pPr>
            <w:r w:rsidRPr="00AB26B3">
              <w:rPr>
                <w:noProof/>
                <w:spacing w:val="-6"/>
                <w:lang w:val="sk-SK"/>
              </w:rPr>
              <w:t>Úprava zoznamu projektov</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revíziou súdnej mapy, ako bola prijatá</w:t>
            </w:r>
            <w:r w:rsidR="00AB26B3" w:rsidRPr="00AB26B3">
              <w:rPr>
                <w:noProof/>
                <w:spacing w:val="-6"/>
                <w:lang w:val="sk-SK"/>
              </w:rPr>
              <w:t xml:space="preserve"> v </w:t>
            </w:r>
            <w:r w:rsidRPr="00AB26B3">
              <w:rPr>
                <w:noProof/>
                <w:spacing w:val="-6"/>
                <w:lang w:val="sk-SK"/>
              </w:rPr>
              <w:t>zákone.</w:t>
            </w:r>
          </w:p>
          <w:p w14:paraId="45479E26" w14:textId="150E373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verejných súťaží týkajúcich sa správnych súdov.</w:t>
            </w:r>
            <w:r w:rsidR="00AB26B3" w:rsidRPr="00AB26B3">
              <w:rPr>
                <w:noProof/>
                <w:spacing w:val="-6"/>
                <w:lang w:val="sk-SK"/>
              </w:rPr>
              <w:t xml:space="preserve"> V </w:t>
            </w:r>
            <w:r w:rsidRPr="00AB26B3">
              <w:rPr>
                <w:noProof/>
                <w:spacing w:val="-6"/>
                <w:lang w:val="sk-SK"/>
              </w:rPr>
              <w:t>podmienkach verejného obstarávania sa stanoví, že novopostavené budovy musia dosiahnuť primárnu energetickú náročnosť, ktorá je aspoň</w:t>
            </w:r>
            <w:r w:rsidR="00AB26B3" w:rsidRPr="00AB26B3">
              <w:rPr>
                <w:noProof/>
                <w:spacing w:val="-6"/>
                <w:lang w:val="sk-SK"/>
              </w:rPr>
              <w:t xml:space="preserve"> o </w:t>
            </w:r>
            <w:r w:rsidRPr="00AB26B3">
              <w:rPr>
                <w:noProof/>
                <w:spacing w:val="-6"/>
                <w:lang w:val="sk-SK"/>
              </w:rPr>
              <w:t>20</w:t>
            </w:r>
            <w:r w:rsidR="00AB26B3" w:rsidRPr="00AB26B3">
              <w:rPr>
                <w:noProof/>
                <w:spacing w:val="-6"/>
                <w:lang w:val="sk-SK"/>
              </w:rPr>
              <w:t> %</w:t>
            </w:r>
            <w:r w:rsidRPr="00AB26B3">
              <w:rPr>
                <w:noProof/>
                <w:spacing w:val="-6"/>
                <w:lang w:val="sk-SK"/>
              </w:rPr>
              <w:t xml:space="preserve"> nižšia ako požiadavka na budovy</w:t>
            </w:r>
            <w:r w:rsidR="00AB26B3" w:rsidRPr="00AB26B3">
              <w:rPr>
                <w:noProof/>
                <w:spacing w:val="-6"/>
                <w:lang w:val="sk-SK"/>
              </w:rPr>
              <w:t xml:space="preserve"> s </w:t>
            </w:r>
            <w:r w:rsidRPr="00AB26B3">
              <w:rPr>
                <w:noProof/>
                <w:spacing w:val="-6"/>
                <w:lang w:val="sk-SK"/>
              </w:rPr>
              <w:t>takmer nulovou spotrebou energie (budova</w:t>
            </w:r>
            <w:r w:rsidR="00AB26B3" w:rsidRPr="00AB26B3">
              <w:rPr>
                <w:noProof/>
                <w:spacing w:val="-6"/>
                <w:lang w:val="sk-SK"/>
              </w:rPr>
              <w:t xml:space="preserve"> s </w:t>
            </w:r>
            <w:r w:rsidRPr="00AB26B3">
              <w:rPr>
                <w:noProof/>
                <w:spacing w:val="-6"/>
                <w:lang w:val="sk-SK"/>
              </w:rPr>
              <w:t>takmer nulovou spotrebou energie, vnútroštátne smernice).</w:t>
            </w:r>
          </w:p>
        </w:tc>
      </w:tr>
      <w:tr w:rsidR="00302FC1" w:rsidRPr="00AB26B3" w14:paraId="39343BF4" w14:textId="77777777">
        <w:trPr>
          <w:trHeight w:val="309"/>
          <w:jc w:val="center"/>
        </w:trPr>
        <w:tc>
          <w:tcPr>
            <w:tcW w:w="592" w:type="dxa"/>
            <w:tcBorders>
              <w:top w:val="nil"/>
              <w:left w:val="single" w:sz="4" w:space="0" w:color="auto"/>
              <w:bottom w:val="single" w:sz="4" w:space="0" w:color="auto"/>
              <w:right w:val="single" w:sz="4" w:space="0" w:color="auto"/>
            </w:tcBorders>
            <w:shd w:val="clear" w:color="auto" w:fill="C6EFCE"/>
            <w:noWrap/>
          </w:tcPr>
          <w:p w14:paraId="591D105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228</w:t>
            </w:r>
          </w:p>
        </w:tc>
        <w:tc>
          <w:tcPr>
            <w:tcW w:w="1976" w:type="dxa"/>
            <w:gridSpan w:val="2"/>
            <w:tcBorders>
              <w:top w:val="nil"/>
              <w:left w:val="nil"/>
              <w:bottom w:val="single" w:sz="4" w:space="0" w:color="auto"/>
              <w:right w:val="single" w:sz="4" w:space="0" w:color="auto"/>
            </w:tcBorders>
            <w:shd w:val="clear" w:color="auto" w:fill="C6EFCE"/>
            <w:noWrap/>
          </w:tcPr>
          <w:p w14:paraId="4B08916D" w14:textId="5C6D5EF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16733_Zručnosti</w:t>
            </w:r>
            <w:r w:rsidR="00AB26B3" w:rsidRPr="00AB26B3">
              <w:rPr>
                <w:noProof/>
                <w:spacing w:val="-6"/>
                <w:lang w:val="sk-SK"/>
              </w:rPr>
              <w:t xml:space="preserve"> a </w:t>
            </w:r>
            <w:r w:rsidRPr="00AB26B3">
              <w:rPr>
                <w:noProof/>
                <w:spacing w:val="-6"/>
                <w:lang w:val="sk-SK"/>
              </w:rPr>
              <w:t>digitálne zručnosti sudcov</w:t>
            </w:r>
            <w:r w:rsidR="00AB26B3" w:rsidRPr="00AB26B3">
              <w:rPr>
                <w:noProof/>
                <w:spacing w:val="-6"/>
                <w:lang w:val="sk-SK"/>
              </w:rPr>
              <w:t xml:space="preserve"> a </w:t>
            </w:r>
            <w:r w:rsidRPr="00AB26B3">
              <w:rPr>
                <w:noProof/>
                <w:spacing w:val="-6"/>
                <w:lang w:val="sk-SK"/>
              </w:rPr>
              <w:t>justičných zamestnancov</w:t>
            </w:r>
          </w:p>
        </w:tc>
        <w:tc>
          <w:tcPr>
            <w:tcW w:w="1424" w:type="dxa"/>
            <w:tcBorders>
              <w:top w:val="nil"/>
              <w:left w:val="nil"/>
              <w:bottom w:val="single" w:sz="4" w:space="0" w:color="auto"/>
              <w:right w:val="single" w:sz="4" w:space="0" w:color="auto"/>
            </w:tcBorders>
            <w:shd w:val="clear" w:color="auto" w:fill="C6EFCE"/>
            <w:noWrap/>
          </w:tcPr>
          <w:p w14:paraId="22BFE8C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97" w:type="dxa"/>
            <w:tcBorders>
              <w:top w:val="nil"/>
              <w:left w:val="nil"/>
              <w:bottom w:val="single" w:sz="4" w:space="0" w:color="auto"/>
              <w:right w:val="single" w:sz="4" w:space="0" w:color="auto"/>
            </w:tcBorders>
            <w:shd w:val="clear" w:color="auto" w:fill="C6EFCE"/>
            <w:noWrap/>
          </w:tcPr>
          <w:p w14:paraId="3752D105" w14:textId="770AE55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Odborná príprava – sudcovia</w:t>
            </w:r>
            <w:r w:rsidR="00AB26B3" w:rsidRPr="00AB26B3">
              <w:rPr>
                <w:noProof/>
                <w:spacing w:val="-6"/>
                <w:lang w:val="sk-SK"/>
              </w:rPr>
              <w:t xml:space="preserve"> a </w:t>
            </w:r>
            <w:r w:rsidRPr="00AB26B3">
              <w:rPr>
                <w:noProof/>
                <w:spacing w:val="-6"/>
                <w:lang w:val="sk-SK"/>
              </w:rPr>
              <w:t>administratívni pracovníci</w:t>
            </w:r>
          </w:p>
        </w:tc>
        <w:tc>
          <w:tcPr>
            <w:tcW w:w="1552" w:type="dxa"/>
            <w:tcBorders>
              <w:top w:val="nil"/>
              <w:left w:val="nil"/>
              <w:bottom w:val="single" w:sz="4" w:space="0" w:color="auto"/>
              <w:right w:val="single" w:sz="4" w:space="0" w:color="auto"/>
            </w:tcBorders>
            <w:shd w:val="clear" w:color="auto" w:fill="C6EFCE"/>
            <w:noWrap/>
          </w:tcPr>
          <w:p w14:paraId="7F2990C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nil"/>
              <w:left w:val="nil"/>
              <w:bottom w:val="single" w:sz="4" w:space="0" w:color="auto"/>
              <w:right w:val="single" w:sz="4" w:space="0" w:color="auto"/>
            </w:tcBorders>
            <w:shd w:val="clear" w:color="auto" w:fill="C6EFCE"/>
            <w:noWrap/>
          </w:tcPr>
          <w:p w14:paraId="78A3BB3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sudcov zapísaných na národnej škole sudcov</w:t>
            </w:r>
          </w:p>
        </w:tc>
        <w:tc>
          <w:tcPr>
            <w:tcW w:w="857" w:type="dxa"/>
            <w:tcBorders>
              <w:top w:val="nil"/>
              <w:left w:val="nil"/>
              <w:bottom w:val="single" w:sz="4" w:space="0" w:color="auto"/>
              <w:right w:val="single" w:sz="4" w:space="0" w:color="auto"/>
            </w:tcBorders>
            <w:shd w:val="clear" w:color="auto" w:fill="C6EFCE"/>
            <w:noWrap/>
          </w:tcPr>
          <w:p w14:paraId="3C53261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10</w:t>
            </w:r>
          </w:p>
        </w:tc>
        <w:tc>
          <w:tcPr>
            <w:tcW w:w="587" w:type="dxa"/>
            <w:tcBorders>
              <w:top w:val="nil"/>
              <w:left w:val="nil"/>
              <w:bottom w:val="single" w:sz="4" w:space="0" w:color="auto"/>
              <w:right w:val="single" w:sz="4" w:space="0" w:color="auto"/>
            </w:tcBorders>
            <w:shd w:val="clear" w:color="auto" w:fill="C6EFCE"/>
            <w:noWrap/>
          </w:tcPr>
          <w:p w14:paraId="5CE948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25</w:t>
            </w:r>
          </w:p>
        </w:tc>
        <w:tc>
          <w:tcPr>
            <w:tcW w:w="846" w:type="dxa"/>
            <w:tcBorders>
              <w:top w:val="nil"/>
              <w:left w:val="nil"/>
              <w:bottom w:val="single" w:sz="4" w:space="0" w:color="auto"/>
              <w:right w:val="single" w:sz="4" w:space="0" w:color="auto"/>
            </w:tcBorders>
            <w:shd w:val="clear" w:color="auto" w:fill="C6EFCE"/>
            <w:noWrap/>
          </w:tcPr>
          <w:p w14:paraId="7C83B26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22" w:type="dxa"/>
            <w:tcBorders>
              <w:top w:val="nil"/>
              <w:left w:val="nil"/>
              <w:bottom w:val="single" w:sz="4" w:space="0" w:color="auto"/>
              <w:right w:val="single" w:sz="4" w:space="0" w:color="auto"/>
            </w:tcBorders>
            <w:shd w:val="clear" w:color="auto" w:fill="C6EFCE"/>
            <w:noWrap/>
          </w:tcPr>
          <w:p w14:paraId="636100F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85" w:type="dxa"/>
            <w:tcBorders>
              <w:top w:val="nil"/>
              <w:left w:val="nil"/>
              <w:bottom w:val="single" w:sz="4" w:space="0" w:color="auto"/>
              <w:right w:val="single" w:sz="4" w:space="0" w:color="auto"/>
            </w:tcBorders>
            <w:shd w:val="clear" w:color="auto" w:fill="C6EFCE"/>
            <w:noWrap/>
          </w:tcPr>
          <w:p w14:paraId="1B702B2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dodatočných sudcovských súdov zapísaných do národnej školy sudcov, 1 sudca audítorského súdu zapísaný do národnej školy sudcov. Tým sa celkový počet sudcov, ktorí sa zúčastňujú na odbornej príprave, zvýši na 25.</w:t>
            </w:r>
          </w:p>
        </w:tc>
      </w:tr>
      <w:tr w:rsidR="00302FC1" w:rsidRPr="00AB26B3" w14:paraId="25029D4E" w14:textId="77777777">
        <w:trPr>
          <w:trHeight w:val="309"/>
          <w:jc w:val="center"/>
        </w:trPr>
        <w:tc>
          <w:tcPr>
            <w:tcW w:w="592" w:type="dxa"/>
            <w:tcBorders>
              <w:top w:val="nil"/>
              <w:left w:val="single" w:sz="4" w:space="0" w:color="auto"/>
              <w:bottom w:val="single" w:sz="4" w:space="0" w:color="auto"/>
              <w:right w:val="single" w:sz="4" w:space="0" w:color="auto"/>
            </w:tcBorders>
            <w:shd w:val="clear" w:color="auto" w:fill="C6EFCE"/>
            <w:noWrap/>
          </w:tcPr>
          <w:p w14:paraId="23ECCFB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229</w:t>
            </w:r>
          </w:p>
        </w:tc>
        <w:tc>
          <w:tcPr>
            <w:tcW w:w="1976" w:type="dxa"/>
            <w:gridSpan w:val="2"/>
            <w:tcBorders>
              <w:top w:val="nil"/>
              <w:left w:val="nil"/>
              <w:bottom w:val="single" w:sz="4" w:space="0" w:color="auto"/>
              <w:right w:val="single" w:sz="4" w:space="0" w:color="auto"/>
            </w:tcBorders>
            <w:shd w:val="clear" w:color="auto" w:fill="C6EFCE"/>
            <w:noWrap/>
          </w:tcPr>
          <w:p w14:paraId="115E57AA" w14:textId="452494B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14 – 4.3. Zlepšiť efektívnosť justičného systému – 16727 Digitálna transformácia justície (elektronická justícia)</w:t>
            </w:r>
          </w:p>
        </w:tc>
        <w:tc>
          <w:tcPr>
            <w:tcW w:w="1424" w:type="dxa"/>
            <w:tcBorders>
              <w:top w:val="nil"/>
              <w:left w:val="nil"/>
              <w:bottom w:val="single" w:sz="4" w:space="0" w:color="auto"/>
              <w:right w:val="single" w:sz="4" w:space="0" w:color="auto"/>
            </w:tcBorders>
            <w:shd w:val="clear" w:color="auto" w:fill="C6EFCE"/>
            <w:noWrap/>
          </w:tcPr>
          <w:p w14:paraId="6B55D8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nil"/>
              <w:left w:val="nil"/>
              <w:bottom w:val="single" w:sz="4" w:space="0" w:color="auto"/>
              <w:right w:val="single" w:sz="4" w:space="0" w:color="auto"/>
            </w:tcBorders>
            <w:shd w:val="clear" w:color="auto" w:fill="C6EFCE"/>
            <w:noWrap/>
          </w:tcPr>
          <w:p w14:paraId="5764FB25" w14:textId="30E60E4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záznamových systémov</w:t>
            </w:r>
            <w:r w:rsidR="00AB26B3" w:rsidRPr="00AB26B3">
              <w:rPr>
                <w:noProof/>
                <w:spacing w:val="-6"/>
                <w:lang w:val="sk-SK"/>
              </w:rPr>
              <w:t xml:space="preserve"> a </w:t>
            </w:r>
            <w:r w:rsidRPr="00AB26B3">
              <w:rPr>
                <w:noProof/>
                <w:spacing w:val="-6"/>
                <w:lang w:val="sk-SK"/>
              </w:rPr>
              <w:t>IT justičných systémov</w:t>
            </w:r>
          </w:p>
        </w:tc>
        <w:tc>
          <w:tcPr>
            <w:tcW w:w="1552" w:type="dxa"/>
            <w:tcBorders>
              <w:top w:val="nil"/>
              <w:left w:val="nil"/>
              <w:bottom w:val="single" w:sz="4" w:space="0" w:color="auto"/>
              <w:right w:val="single" w:sz="4" w:space="0" w:color="auto"/>
            </w:tcBorders>
            <w:shd w:val="clear" w:color="auto" w:fill="C6EFCE"/>
            <w:noWrap/>
          </w:tcPr>
          <w:p w14:paraId="5803A61D" w14:textId="4F7DB2F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Správy</w:t>
            </w:r>
            <w:r w:rsidR="00AB26B3" w:rsidRPr="00AB26B3">
              <w:rPr>
                <w:noProof/>
                <w:spacing w:val="-6"/>
                <w:lang w:val="sk-SK"/>
              </w:rPr>
              <w:t xml:space="preserve"> o </w:t>
            </w:r>
            <w:r w:rsidRPr="00AB26B3">
              <w:rPr>
                <w:noProof/>
                <w:spacing w:val="-6"/>
                <w:lang w:val="sk-SK"/>
              </w:rPr>
              <w:t xml:space="preserve">audite projektov na potvrdenie dodržiavania zmluvných záväzkov </w:t>
            </w:r>
          </w:p>
        </w:tc>
        <w:tc>
          <w:tcPr>
            <w:tcW w:w="992" w:type="dxa"/>
            <w:tcBorders>
              <w:top w:val="nil"/>
              <w:left w:val="nil"/>
              <w:bottom w:val="single" w:sz="4" w:space="0" w:color="auto"/>
              <w:right w:val="single" w:sz="4" w:space="0" w:color="auto"/>
            </w:tcBorders>
            <w:shd w:val="clear" w:color="auto" w:fill="C6EFCE"/>
            <w:noWrap/>
          </w:tcPr>
          <w:p w14:paraId="1F08810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244B936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0261F14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02718F4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22" w:type="dxa"/>
            <w:tcBorders>
              <w:top w:val="nil"/>
              <w:left w:val="nil"/>
              <w:bottom w:val="single" w:sz="4" w:space="0" w:color="auto"/>
              <w:right w:val="single" w:sz="4" w:space="0" w:color="auto"/>
            </w:tcBorders>
            <w:shd w:val="clear" w:color="auto" w:fill="C6EFCE"/>
            <w:noWrap/>
          </w:tcPr>
          <w:p w14:paraId="59934F6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85" w:type="dxa"/>
            <w:tcBorders>
              <w:top w:val="nil"/>
              <w:left w:val="nil"/>
              <w:bottom w:val="single" w:sz="4" w:space="0" w:color="auto"/>
              <w:right w:val="single" w:sz="4" w:space="0" w:color="auto"/>
            </w:tcBorders>
            <w:shd w:val="clear" w:color="auto" w:fill="C6EFCE"/>
            <w:noWrap/>
          </w:tcPr>
          <w:p w14:paraId="0359BF0A" w14:textId="766B4ED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úradného dôkazu prostredníctvom príslušnej dokumentácie (osvedčenia</w:t>
            </w:r>
            <w:r w:rsidR="00AB26B3" w:rsidRPr="00AB26B3">
              <w:rPr>
                <w:noProof/>
                <w:spacing w:val="-6"/>
                <w:lang w:val="sk-SK"/>
              </w:rPr>
              <w:t xml:space="preserve"> o </w:t>
            </w:r>
            <w:r w:rsidRPr="00AB26B3">
              <w:rPr>
                <w:noProof/>
                <w:spacing w:val="-6"/>
                <w:lang w:val="sk-SK"/>
              </w:rPr>
              <w:t>dokončení, protokoly</w:t>
            </w:r>
            <w:r w:rsidR="00AB26B3" w:rsidRPr="00AB26B3">
              <w:rPr>
                <w:noProof/>
                <w:spacing w:val="-6"/>
                <w:lang w:val="sk-SK"/>
              </w:rPr>
              <w:t xml:space="preserve"> o </w:t>
            </w:r>
            <w:r w:rsidRPr="00AB26B3">
              <w:rPr>
                <w:noProof/>
                <w:spacing w:val="-6"/>
                <w:lang w:val="sk-SK"/>
              </w:rPr>
              <w:t>kvalitatívnom</w:t>
            </w:r>
            <w:r w:rsidR="00AB26B3" w:rsidRPr="00AB26B3">
              <w:rPr>
                <w:noProof/>
                <w:spacing w:val="-6"/>
                <w:lang w:val="sk-SK"/>
              </w:rPr>
              <w:t xml:space="preserve"> a </w:t>
            </w:r>
            <w:r w:rsidRPr="00AB26B3">
              <w:rPr>
                <w:noProof/>
                <w:spacing w:val="-6"/>
                <w:lang w:val="sk-SK"/>
              </w:rPr>
              <w:t>kvantitatívnom prijatí</w:t>
            </w:r>
            <w:r w:rsidR="00AB26B3" w:rsidRPr="00AB26B3">
              <w:rPr>
                <w:noProof/>
                <w:spacing w:val="-6"/>
                <w:lang w:val="sk-SK"/>
              </w:rPr>
              <w:t xml:space="preserve"> a </w:t>
            </w:r>
            <w:r w:rsidRPr="00AB26B3">
              <w:rPr>
                <w:noProof/>
                <w:spacing w:val="-6"/>
                <w:lang w:val="sk-SK"/>
              </w:rPr>
              <w:t>vystavené faktúry)</w:t>
            </w:r>
            <w:r w:rsidR="00AB26B3" w:rsidRPr="00AB26B3">
              <w:rPr>
                <w:noProof/>
                <w:spacing w:val="-6"/>
                <w:lang w:val="sk-SK"/>
              </w:rPr>
              <w:t xml:space="preserve"> o </w:t>
            </w:r>
            <w:r w:rsidRPr="00AB26B3">
              <w:rPr>
                <w:noProof/>
                <w:spacing w:val="-6"/>
                <w:lang w:val="sk-SK"/>
              </w:rPr>
              <w:t>riadnom</w:t>
            </w:r>
            <w:r w:rsidR="00AB26B3" w:rsidRPr="00AB26B3">
              <w:rPr>
                <w:noProof/>
                <w:spacing w:val="-6"/>
                <w:lang w:val="sk-SK"/>
              </w:rPr>
              <w:t xml:space="preserve"> a </w:t>
            </w:r>
            <w:r w:rsidRPr="00AB26B3">
              <w:rPr>
                <w:noProof/>
                <w:spacing w:val="-6"/>
                <w:lang w:val="sk-SK"/>
              </w:rPr>
              <w:t>včasnom plnení všetkých zmluvných záväzkov splatných ku dňu predloženia externému audítorovi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projektovými kalendármi, ktoré sa vzťahujú na všetky prvky dvoch čiastkových projektov (systémy súdnych záznamov</w:t>
            </w:r>
            <w:r w:rsidR="00AB26B3" w:rsidRPr="00AB26B3">
              <w:rPr>
                <w:noProof/>
                <w:spacing w:val="-6"/>
                <w:lang w:val="sk-SK"/>
              </w:rPr>
              <w:t xml:space="preserve"> a </w:t>
            </w:r>
            <w:r w:rsidRPr="00AB26B3">
              <w:rPr>
                <w:noProof/>
                <w:spacing w:val="-6"/>
                <w:lang w:val="sk-SK"/>
              </w:rPr>
              <w:t>modernizácia IT justičných systémov (OSDDY-PP, Dvor audítorov, národný register trestov),</w:t>
            </w:r>
            <w:r w:rsidR="00AB26B3" w:rsidRPr="00AB26B3">
              <w:rPr>
                <w:noProof/>
                <w:spacing w:val="-6"/>
                <w:lang w:val="sk-SK"/>
              </w:rPr>
              <w:t xml:space="preserve"> a </w:t>
            </w:r>
            <w:r w:rsidRPr="00AB26B3">
              <w:rPr>
                <w:noProof/>
                <w:spacing w:val="-6"/>
                <w:lang w:val="sk-SK"/>
              </w:rPr>
              <w:t>to vhodnými prostriedkami (ako sú správy</w:t>
            </w:r>
            <w:r w:rsidR="00AB26B3" w:rsidRPr="00AB26B3">
              <w:rPr>
                <w:noProof/>
                <w:spacing w:val="-6"/>
                <w:lang w:val="sk-SK"/>
              </w:rPr>
              <w:t xml:space="preserve"> o </w:t>
            </w:r>
            <w:r w:rsidRPr="00AB26B3">
              <w:rPr>
                <w:noProof/>
                <w:spacing w:val="-6"/>
                <w:lang w:val="sk-SK"/>
              </w:rPr>
              <w:t>audite projektov, osvedčenia</w:t>
            </w:r>
            <w:r w:rsidR="00AB26B3" w:rsidRPr="00AB26B3">
              <w:rPr>
                <w:noProof/>
                <w:spacing w:val="-6"/>
                <w:lang w:val="sk-SK"/>
              </w:rPr>
              <w:t xml:space="preserve"> o </w:t>
            </w:r>
            <w:r w:rsidRPr="00AB26B3">
              <w:rPr>
                <w:noProof/>
                <w:spacing w:val="-6"/>
                <w:lang w:val="sk-SK"/>
              </w:rPr>
              <w:t>kvalitatívnom/kvantitatívnom doručení</w:t>
            </w:r>
            <w:r w:rsidR="00AB26B3" w:rsidRPr="00AB26B3">
              <w:rPr>
                <w:noProof/>
                <w:spacing w:val="-6"/>
                <w:lang w:val="sk-SK"/>
              </w:rPr>
              <w:t xml:space="preserve"> a </w:t>
            </w:r>
            <w:r w:rsidRPr="00AB26B3">
              <w:rPr>
                <w:noProof/>
                <w:spacing w:val="-6"/>
                <w:lang w:val="sk-SK"/>
              </w:rPr>
              <w:t>dôkazy</w:t>
            </w:r>
            <w:r w:rsidR="00AB26B3" w:rsidRPr="00AB26B3">
              <w:rPr>
                <w:noProof/>
                <w:spacing w:val="-6"/>
                <w:lang w:val="sk-SK"/>
              </w:rPr>
              <w:t xml:space="preserve"> o </w:t>
            </w:r>
            <w:r w:rsidRPr="00AB26B3">
              <w:rPr>
                <w:noProof/>
                <w:spacing w:val="-6"/>
                <w:lang w:val="sk-SK"/>
              </w:rPr>
              <w:t>vyplatení).</w:t>
            </w:r>
          </w:p>
        </w:tc>
      </w:tr>
      <w:tr w:rsidR="00302FC1" w:rsidRPr="00AB26B3" w14:paraId="421B0CDF" w14:textId="77777777">
        <w:trPr>
          <w:trHeight w:val="309"/>
          <w:jc w:val="center"/>
        </w:trPr>
        <w:tc>
          <w:tcPr>
            <w:tcW w:w="592" w:type="dxa"/>
            <w:tcBorders>
              <w:top w:val="nil"/>
              <w:left w:val="single" w:sz="4" w:space="0" w:color="auto"/>
              <w:bottom w:val="single" w:sz="4" w:space="0" w:color="auto"/>
              <w:right w:val="single" w:sz="4" w:space="0" w:color="auto"/>
            </w:tcBorders>
            <w:shd w:val="clear" w:color="auto" w:fill="C6EFCE"/>
            <w:noWrap/>
            <w:hideMark/>
          </w:tcPr>
          <w:p w14:paraId="7059756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230</w:t>
            </w:r>
          </w:p>
        </w:tc>
        <w:tc>
          <w:tcPr>
            <w:tcW w:w="1976" w:type="dxa"/>
            <w:gridSpan w:val="2"/>
            <w:tcBorders>
              <w:top w:val="nil"/>
              <w:left w:val="nil"/>
              <w:bottom w:val="single" w:sz="4" w:space="0" w:color="auto"/>
              <w:right w:val="single" w:sz="4" w:space="0" w:color="auto"/>
            </w:tcBorders>
            <w:shd w:val="clear" w:color="auto" w:fill="C6EFCE"/>
            <w:noWrap/>
            <w:hideMark/>
          </w:tcPr>
          <w:p w14:paraId="5A321DB0" w14:textId="276983F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14 – 4.3. Zlepšiť efektívnosť justičného systému – 16575 Urýchlenie výkonu spravodlivosti</w:t>
            </w:r>
          </w:p>
        </w:tc>
        <w:tc>
          <w:tcPr>
            <w:tcW w:w="1424" w:type="dxa"/>
            <w:tcBorders>
              <w:top w:val="nil"/>
              <w:left w:val="nil"/>
              <w:bottom w:val="single" w:sz="4" w:space="0" w:color="auto"/>
              <w:right w:val="single" w:sz="4" w:space="0" w:color="auto"/>
            </w:tcBorders>
            <w:shd w:val="clear" w:color="auto" w:fill="C6EFCE"/>
            <w:noWrap/>
            <w:hideMark/>
          </w:tcPr>
          <w:p w14:paraId="4FA9C2D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Míľnik</w:t>
            </w:r>
          </w:p>
        </w:tc>
        <w:tc>
          <w:tcPr>
            <w:tcW w:w="1397" w:type="dxa"/>
            <w:tcBorders>
              <w:top w:val="nil"/>
              <w:left w:val="nil"/>
              <w:bottom w:val="single" w:sz="4" w:space="0" w:color="auto"/>
              <w:right w:val="single" w:sz="4" w:space="0" w:color="auto"/>
            </w:tcBorders>
            <w:shd w:val="clear" w:color="auto" w:fill="C6EFCE"/>
            <w:noWrap/>
            <w:hideMark/>
          </w:tcPr>
          <w:p w14:paraId="3EA4FDD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 nástroj na vykonávanie úloh súdnych úradníkov</w:t>
            </w:r>
          </w:p>
        </w:tc>
        <w:tc>
          <w:tcPr>
            <w:tcW w:w="1552" w:type="dxa"/>
            <w:tcBorders>
              <w:top w:val="nil"/>
              <w:left w:val="nil"/>
              <w:bottom w:val="single" w:sz="4" w:space="0" w:color="auto"/>
              <w:right w:val="single" w:sz="4" w:space="0" w:color="auto"/>
            </w:tcBorders>
            <w:shd w:val="clear" w:color="auto" w:fill="C6EFCE"/>
            <w:noWrap/>
            <w:hideMark/>
          </w:tcPr>
          <w:p w14:paraId="5AAAD002" w14:textId="6F007BD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p>
        </w:tc>
        <w:tc>
          <w:tcPr>
            <w:tcW w:w="992" w:type="dxa"/>
            <w:tcBorders>
              <w:top w:val="nil"/>
              <w:left w:val="nil"/>
              <w:bottom w:val="single" w:sz="4" w:space="0" w:color="auto"/>
              <w:right w:val="single" w:sz="4" w:space="0" w:color="auto"/>
            </w:tcBorders>
            <w:shd w:val="clear" w:color="auto" w:fill="C6EFCE"/>
            <w:noWrap/>
            <w:hideMark/>
          </w:tcPr>
          <w:p w14:paraId="65FAD1B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57" w:type="dxa"/>
            <w:tcBorders>
              <w:top w:val="nil"/>
              <w:left w:val="nil"/>
              <w:bottom w:val="single" w:sz="4" w:space="0" w:color="auto"/>
              <w:right w:val="single" w:sz="4" w:space="0" w:color="auto"/>
            </w:tcBorders>
            <w:shd w:val="clear" w:color="auto" w:fill="C6EFCE"/>
            <w:noWrap/>
            <w:hideMark/>
          </w:tcPr>
          <w:p w14:paraId="624B3B8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587" w:type="dxa"/>
            <w:tcBorders>
              <w:top w:val="nil"/>
              <w:left w:val="nil"/>
              <w:bottom w:val="single" w:sz="4" w:space="0" w:color="auto"/>
              <w:right w:val="single" w:sz="4" w:space="0" w:color="auto"/>
            </w:tcBorders>
            <w:shd w:val="clear" w:color="auto" w:fill="C6EFCE"/>
            <w:noWrap/>
            <w:hideMark/>
          </w:tcPr>
          <w:p w14:paraId="7B37AE2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46" w:type="dxa"/>
            <w:tcBorders>
              <w:top w:val="nil"/>
              <w:left w:val="nil"/>
              <w:bottom w:val="single" w:sz="4" w:space="0" w:color="auto"/>
              <w:right w:val="single" w:sz="4" w:space="0" w:color="auto"/>
            </w:tcBorders>
            <w:shd w:val="clear" w:color="auto" w:fill="C6EFCE"/>
            <w:noWrap/>
            <w:hideMark/>
          </w:tcPr>
          <w:p w14:paraId="53883DCD" w14:textId="0AAFDA8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22" w:type="dxa"/>
            <w:tcBorders>
              <w:top w:val="nil"/>
              <w:left w:val="nil"/>
              <w:bottom w:val="single" w:sz="4" w:space="0" w:color="auto"/>
              <w:right w:val="single" w:sz="4" w:space="0" w:color="auto"/>
            </w:tcBorders>
            <w:shd w:val="clear" w:color="auto" w:fill="C6EFCE"/>
            <w:noWrap/>
            <w:hideMark/>
          </w:tcPr>
          <w:p w14:paraId="2CB7D11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85" w:type="dxa"/>
            <w:tcBorders>
              <w:top w:val="nil"/>
              <w:left w:val="nil"/>
              <w:bottom w:val="single" w:sz="4" w:space="0" w:color="auto"/>
              <w:right w:val="single" w:sz="4" w:space="0" w:color="auto"/>
            </w:tcBorders>
            <w:shd w:val="clear" w:color="auto" w:fill="C6EFCE"/>
            <w:noWrap/>
            <w:hideMark/>
          </w:tcPr>
          <w:p w14:paraId="22DE381A" w14:textId="2BF6157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s </w:t>
            </w:r>
            <w:r w:rsidRPr="00AB26B3">
              <w:rPr>
                <w:noProof/>
                <w:spacing w:val="-6"/>
                <w:lang w:val="sk-SK"/>
              </w:rPr>
              <w:t>cieľom vytvoriť dočasný systém odmien založený na vývoji nástroja výkonnosti súdnych úradníkov,</w:t>
            </w:r>
            <w:r w:rsidR="00AB26B3" w:rsidRPr="00AB26B3">
              <w:rPr>
                <w:noProof/>
                <w:spacing w:val="-6"/>
                <w:lang w:val="sk-SK"/>
              </w:rPr>
              <w:t xml:space="preserve"> v </w:t>
            </w:r>
            <w:r w:rsidRPr="00AB26B3">
              <w:rPr>
                <w:noProof/>
                <w:spacing w:val="-6"/>
                <w:lang w:val="sk-SK"/>
              </w:rPr>
              <w:t>ktorom sa stanovia strategické ciele</w:t>
            </w:r>
            <w:r w:rsidR="00AB26B3" w:rsidRPr="00AB26B3">
              <w:rPr>
                <w:noProof/>
                <w:spacing w:val="-6"/>
                <w:lang w:val="sk-SK"/>
              </w:rPr>
              <w:t xml:space="preserve"> a </w:t>
            </w:r>
            <w:r w:rsidRPr="00AB26B3">
              <w:rPr>
                <w:noProof/>
                <w:spacing w:val="-6"/>
                <w:lang w:val="sk-SK"/>
              </w:rPr>
              <w:t>zavedú objektívne kľúčové ukazovatele výkonnosti (ako je čas na splnenie povinnosti, individuálna výkonnosť</w:t>
            </w:r>
            <w:r w:rsidR="00AB26B3" w:rsidRPr="00AB26B3">
              <w:rPr>
                <w:noProof/>
                <w:spacing w:val="-6"/>
                <w:lang w:val="sk-SK"/>
              </w:rPr>
              <w:t xml:space="preserve"> z </w:t>
            </w:r>
            <w:r w:rsidRPr="00AB26B3">
              <w:rPr>
                <w:noProof/>
                <w:spacing w:val="-6"/>
                <w:lang w:val="sk-SK"/>
              </w:rPr>
              <w:t>hľadiska času, komunikácie</w:t>
            </w:r>
            <w:r w:rsidR="00AB26B3" w:rsidRPr="00AB26B3">
              <w:rPr>
                <w:noProof/>
                <w:spacing w:val="-6"/>
                <w:lang w:val="sk-SK"/>
              </w:rPr>
              <w:t xml:space="preserve"> a </w:t>
            </w:r>
            <w:r w:rsidRPr="00AB26B3">
              <w:rPr>
                <w:noProof/>
                <w:spacing w:val="-6"/>
                <w:lang w:val="sk-SK"/>
              </w:rPr>
              <w:t>motivácie) podľa oddelení a/alebo kategórie úradníkov</w:t>
            </w:r>
            <w:r w:rsidR="00AB26B3" w:rsidRPr="00AB26B3">
              <w:rPr>
                <w:noProof/>
                <w:spacing w:val="-6"/>
                <w:lang w:val="sk-SK"/>
              </w:rPr>
              <w:t xml:space="preserve"> a </w:t>
            </w:r>
            <w:r w:rsidRPr="00AB26B3">
              <w:rPr>
                <w:noProof/>
                <w:spacing w:val="-6"/>
                <w:lang w:val="sk-SK"/>
              </w:rPr>
              <w:t>poskytnú sa presné</w:t>
            </w:r>
            <w:r w:rsidR="00AB26B3" w:rsidRPr="00AB26B3">
              <w:rPr>
                <w:noProof/>
                <w:spacing w:val="-6"/>
                <w:lang w:val="sk-SK"/>
              </w:rPr>
              <w:t xml:space="preserve"> a </w:t>
            </w:r>
            <w:r w:rsidRPr="00AB26B3">
              <w:rPr>
                <w:noProof/>
                <w:spacing w:val="-6"/>
                <w:lang w:val="sk-SK"/>
              </w:rPr>
              <w:t>objektívne údaje</w:t>
            </w:r>
            <w:r w:rsidR="00AB26B3" w:rsidRPr="00AB26B3">
              <w:rPr>
                <w:noProof/>
                <w:spacing w:val="-6"/>
                <w:lang w:val="sk-SK"/>
              </w:rPr>
              <w:t xml:space="preserve"> o </w:t>
            </w:r>
            <w:r w:rsidRPr="00AB26B3">
              <w:rPr>
                <w:noProof/>
                <w:spacing w:val="-6"/>
                <w:lang w:val="sk-SK"/>
              </w:rPr>
              <w:t>prideľovaní odmien; prémie, ktoré sa majú vyplatiť</w:t>
            </w:r>
            <w:r w:rsidR="00AB26B3" w:rsidRPr="00AB26B3">
              <w:rPr>
                <w:noProof/>
                <w:spacing w:val="-6"/>
                <w:lang w:val="sk-SK"/>
              </w:rPr>
              <w:t xml:space="preserve"> v </w:t>
            </w:r>
            <w:r w:rsidRPr="00AB26B3">
              <w:rPr>
                <w:noProof/>
                <w:spacing w:val="-6"/>
                <w:lang w:val="sk-SK"/>
              </w:rPr>
              <w:t>prvom štvrťroku po skončení príslušného roka na základe výsledkov za daný rok.</w:t>
            </w:r>
          </w:p>
        </w:tc>
      </w:tr>
      <w:tr w:rsidR="00302FC1" w:rsidRPr="00AB26B3" w14:paraId="77CF32AC" w14:textId="77777777">
        <w:trPr>
          <w:trHeight w:val="309"/>
          <w:jc w:val="center"/>
        </w:trPr>
        <w:tc>
          <w:tcPr>
            <w:tcW w:w="592" w:type="dxa"/>
            <w:tcBorders>
              <w:top w:val="nil"/>
              <w:left w:val="single" w:sz="4" w:space="0" w:color="auto"/>
              <w:bottom w:val="single" w:sz="4" w:space="0" w:color="auto"/>
              <w:right w:val="single" w:sz="4" w:space="0" w:color="auto"/>
            </w:tcBorders>
            <w:shd w:val="clear" w:color="auto" w:fill="C6EFCE"/>
            <w:noWrap/>
            <w:hideMark/>
          </w:tcPr>
          <w:p w14:paraId="22C98F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231</w:t>
            </w:r>
          </w:p>
        </w:tc>
        <w:tc>
          <w:tcPr>
            <w:tcW w:w="1976" w:type="dxa"/>
            <w:gridSpan w:val="2"/>
            <w:tcBorders>
              <w:top w:val="nil"/>
              <w:left w:val="nil"/>
              <w:bottom w:val="single" w:sz="4" w:space="0" w:color="auto"/>
              <w:right w:val="single" w:sz="4" w:space="0" w:color="auto"/>
            </w:tcBorders>
            <w:shd w:val="clear" w:color="auto" w:fill="C6EFCE"/>
            <w:noWrap/>
            <w:hideMark/>
          </w:tcPr>
          <w:p w14:paraId="29863B6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14 – 4.3. Zlepšiť efektívnosť justičného systému – 16292_Nové justičné budovy</w:t>
            </w:r>
          </w:p>
        </w:tc>
        <w:tc>
          <w:tcPr>
            <w:tcW w:w="1424" w:type="dxa"/>
            <w:tcBorders>
              <w:top w:val="nil"/>
              <w:left w:val="nil"/>
              <w:bottom w:val="single" w:sz="4" w:space="0" w:color="auto"/>
              <w:right w:val="single" w:sz="4" w:space="0" w:color="auto"/>
            </w:tcBorders>
            <w:shd w:val="clear" w:color="auto" w:fill="C6EFCE"/>
            <w:noWrap/>
            <w:hideMark/>
          </w:tcPr>
          <w:p w14:paraId="1DA12BD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Míľnik</w:t>
            </w:r>
          </w:p>
        </w:tc>
        <w:tc>
          <w:tcPr>
            <w:tcW w:w="1397" w:type="dxa"/>
            <w:tcBorders>
              <w:top w:val="nil"/>
              <w:left w:val="nil"/>
              <w:bottom w:val="single" w:sz="4" w:space="0" w:color="auto"/>
              <w:right w:val="single" w:sz="4" w:space="0" w:color="auto"/>
            </w:tcBorders>
            <w:shd w:val="clear" w:color="auto" w:fill="C6EFCE"/>
            <w:noWrap/>
            <w:hideMark/>
          </w:tcPr>
          <w:p w14:paraId="4B1BC0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Zmluvy </w:t>
            </w:r>
          </w:p>
        </w:tc>
        <w:tc>
          <w:tcPr>
            <w:tcW w:w="1552" w:type="dxa"/>
            <w:tcBorders>
              <w:top w:val="nil"/>
              <w:left w:val="nil"/>
              <w:bottom w:val="single" w:sz="4" w:space="0" w:color="auto"/>
              <w:right w:val="single" w:sz="4" w:space="0" w:color="auto"/>
            </w:tcBorders>
            <w:shd w:val="clear" w:color="auto" w:fill="C6EFCE"/>
            <w:noWrap/>
            <w:hideMark/>
          </w:tcPr>
          <w:p w14:paraId="02A1CB9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Zadávanie zákaziek</w:t>
            </w:r>
          </w:p>
        </w:tc>
        <w:tc>
          <w:tcPr>
            <w:tcW w:w="992" w:type="dxa"/>
            <w:tcBorders>
              <w:top w:val="nil"/>
              <w:left w:val="nil"/>
              <w:bottom w:val="single" w:sz="4" w:space="0" w:color="auto"/>
              <w:right w:val="single" w:sz="4" w:space="0" w:color="auto"/>
            </w:tcBorders>
            <w:shd w:val="clear" w:color="auto" w:fill="C6EFCE"/>
            <w:noWrap/>
            <w:hideMark/>
          </w:tcPr>
          <w:p w14:paraId="140C48E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57" w:type="dxa"/>
            <w:tcBorders>
              <w:top w:val="nil"/>
              <w:left w:val="nil"/>
              <w:bottom w:val="single" w:sz="4" w:space="0" w:color="auto"/>
              <w:right w:val="single" w:sz="4" w:space="0" w:color="auto"/>
            </w:tcBorders>
            <w:shd w:val="clear" w:color="auto" w:fill="C6EFCE"/>
            <w:noWrap/>
            <w:hideMark/>
          </w:tcPr>
          <w:p w14:paraId="3655B91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587" w:type="dxa"/>
            <w:tcBorders>
              <w:top w:val="nil"/>
              <w:left w:val="nil"/>
              <w:bottom w:val="single" w:sz="4" w:space="0" w:color="auto"/>
              <w:right w:val="single" w:sz="4" w:space="0" w:color="auto"/>
            </w:tcBorders>
            <w:shd w:val="clear" w:color="auto" w:fill="C6EFCE"/>
            <w:noWrap/>
            <w:hideMark/>
          </w:tcPr>
          <w:p w14:paraId="11AA527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46" w:type="dxa"/>
            <w:tcBorders>
              <w:top w:val="nil"/>
              <w:left w:val="nil"/>
              <w:bottom w:val="single" w:sz="4" w:space="0" w:color="auto"/>
              <w:right w:val="single" w:sz="4" w:space="0" w:color="auto"/>
            </w:tcBorders>
            <w:shd w:val="clear" w:color="auto" w:fill="C6EFCE"/>
            <w:noWrap/>
            <w:hideMark/>
          </w:tcPr>
          <w:p w14:paraId="4E297D8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22" w:type="dxa"/>
            <w:tcBorders>
              <w:top w:val="nil"/>
              <w:left w:val="nil"/>
              <w:bottom w:val="single" w:sz="4" w:space="0" w:color="auto"/>
              <w:right w:val="single" w:sz="4" w:space="0" w:color="auto"/>
            </w:tcBorders>
            <w:shd w:val="clear" w:color="auto" w:fill="C6EFCE"/>
            <w:noWrap/>
            <w:hideMark/>
          </w:tcPr>
          <w:p w14:paraId="28C1CB5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85" w:type="dxa"/>
            <w:tcBorders>
              <w:top w:val="nil"/>
              <w:left w:val="nil"/>
              <w:bottom w:val="single" w:sz="4" w:space="0" w:color="auto"/>
              <w:right w:val="single" w:sz="4" w:space="0" w:color="auto"/>
            </w:tcBorders>
            <w:shd w:val="clear" w:color="auto" w:fill="C6EFCE"/>
            <w:noWrap/>
            <w:hideMark/>
          </w:tcPr>
          <w:p w14:paraId="2DA3530D" w14:textId="77777777" w:rsidR="00302FC1" w:rsidRPr="00AB26B3" w:rsidRDefault="00D64F26">
            <w:pPr>
              <w:pStyle w:val="P68B1DB1-Normal12"/>
              <w:spacing w:after="0" w:line="240" w:lineRule="auto"/>
              <w:jc w:val="both"/>
              <w:rPr>
                <w:noProof/>
                <w:spacing w:val="-6"/>
                <w:lang w:val="sk-SK"/>
              </w:rPr>
            </w:pPr>
            <w:r w:rsidRPr="00AB26B3">
              <w:rPr>
                <w:noProof/>
                <w:spacing w:val="-6"/>
                <w:lang w:val="sk-SK"/>
              </w:rPr>
              <w:t>Zadávanie zákaziek na stavebné projekty, ktoré neboli ovplyvnené revíziou súdnej mapy.</w:t>
            </w:r>
          </w:p>
          <w:p w14:paraId="6DB5F043" w14:textId="7847802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 podmienkach zadania zákazky sa stanoví, že nové budovy, ktoré sa majú postaviť, musia dosiahnuť primárnu energetickú náročnosť, ktorá je aspoň</w:t>
            </w:r>
            <w:r w:rsidR="00AB26B3" w:rsidRPr="00AB26B3">
              <w:rPr>
                <w:noProof/>
                <w:spacing w:val="-6"/>
                <w:lang w:val="sk-SK"/>
              </w:rPr>
              <w:t xml:space="preserve"> o </w:t>
            </w:r>
            <w:r w:rsidRPr="00AB26B3">
              <w:rPr>
                <w:noProof/>
                <w:spacing w:val="-6"/>
                <w:lang w:val="sk-SK"/>
              </w:rPr>
              <w:t>20</w:t>
            </w:r>
            <w:r w:rsidR="00AB26B3" w:rsidRPr="00AB26B3">
              <w:rPr>
                <w:noProof/>
                <w:spacing w:val="-6"/>
                <w:lang w:val="sk-SK"/>
              </w:rPr>
              <w:t> %</w:t>
            </w:r>
            <w:r w:rsidRPr="00AB26B3">
              <w:rPr>
                <w:noProof/>
                <w:spacing w:val="-6"/>
                <w:lang w:val="sk-SK"/>
              </w:rPr>
              <w:t xml:space="preserve"> nižšia ako požiadavka na budovy</w:t>
            </w:r>
            <w:r w:rsidR="00AB26B3" w:rsidRPr="00AB26B3">
              <w:rPr>
                <w:noProof/>
                <w:spacing w:val="-6"/>
                <w:lang w:val="sk-SK"/>
              </w:rPr>
              <w:t xml:space="preserve"> s </w:t>
            </w:r>
            <w:r w:rsidRPr="00AB26B3">
              <w:rPr>
                <w:noProof/>
                <w:spacing w:val="-6"/>
                <w:lang w:val="sk-SK"/>
              </w:rPr>
              <w:t>takmer nulovou spotrebou energie (budova</w:t>
            </w:r>
            <w:r w:rsidR="00AB26B3" w:rsidRPr="00AB26B3">
              <w:rPr>
                <w:noProof/>
                <w:spacing w:val="-6"/>
                <w:lang w:val="sk-SK"/>
              </w:rPr>
              <w:t xml:space="preserve"> s </w:t>
            </w:r>
            <w:r w:rsidRPr="00AB26B3">
              <w:rPr>
                <w:noProof/>
                <w:spacing w:val="-6"/>
                <w:lang w:val="sk-SK"/>
              </w:rPr>
              <w:t>takmer nulovou spotrebou energie, vnútroštátne smernice).</w:t>
            </w:r>
          </w:p>
        </w:tc>
      </w:tr>
      <w:tr w:rsidR="00302FC1" w:rsidRPr="00AB26B3" w14:paraId="7DDA8B03"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62D7E5E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232</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0F9B74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16575 Urýchlenie výkonu spravodlivosti</w:t>
            </w:r>
          </w:p>
        </w:tc>
        <w:tc>
          <w:tcPr>
            <w:tcW w:w="1424" w:type="dxa"/>
            <w:tcBorders>
              <w:top w:val="single" w:sz="4" w:space="0" w:color="auto"/>
              <w:left w:val="nil"/>
              <w:bottom w:val="single" w:sz="4" w:space="0" w:color="auto"/>
              <w:right w:val="single" w:sz="4" w:space="0" w:color="auto"/>
            </w:tcBorders>
            <w:shd w:val="clear" w:color="auto" w:fill="C6EFCE"/>
            <w:noWrap/>
          </w:tcPr>
          <w:p w14:paraId="59C9C6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2CD7BBBB" w14:textId="7CED25E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Revízia súdnej mapy – primárne právne predpisy – občianske</w:t>
            </w:r>
            <w:r w:rsidR="00AB26B3" w:rsidRPr="00AB26B3">
              <w:rPr>
                <w:noProof/>
                <w:spacing w:val="-6"/>
                <w:lang w:val="sk-SK"/>
              </w:rPr>
              <w:t xml:space="preserve"> a </w:t>
            </w:r>
            <w:r w:rsidRPr="00AB26B3">
              <w:rPr>
                <w:noProof/>
                <w:spacing w:val="-6"/>
                <w:lang w:val="sk-SK"/>
              </w:rPr>
              <w:t>trestné</w:t>
            </w:r>
          </w:p>
        </w:tc>
        <w:tc>
          <w:tcPr>
            <w:tcW w:w="1552" w:type="dxa"/>
            <w:tcBorders>
              <w:top w:val="single" w:sz="4" w:space="0" w:color="auto"/>
              <w:left w:val="nil"/>
              <w:bottom w:val="single" w:sz="4" w:space="0" w:color="auto"/>
              <w:right w:val="single" w:sz="4" w:space="0" w:color="auto"/>
            </w:tcBorders>
            <w:shd w:val="clear" w:color="auto" w:fill="C6EFCE"/>
            <w:noWrap/>
          </w:tcPr>
          <w:p w14:paraId="6B49C9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p>
        </w:tc>
        <w:tc>
          <w:tcPr>
            <w:tcW w:w="992" w:type="dxa"/>
            <w:tcBorders>
              <w:top w:val="single" w:sz="4" w:space="0" w:color="auto"/>
              <w:left w:val="nil"/>
              <w:bottom w:val="single" w:sz="4" w:space="0" w:color="auto"/>
              <w:right w:val="single" w:sz="4" w:space="0" w:color="auto"/>
            </w:tcBorders>
            <w:shd w:val="clear" w:color="auto" w:fill="C6EFCE"/>
            <w:noWrap/>
          </w:tcPr>
          <w:p w14:paraId="08C23CC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1EA2B62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633396F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4D3277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22" w:type="dxa"/>
            <w:tcBorders>
              <w:top w:val="single" w:sz="4" w:space="0" w:color="auto"/>
              <w:left w:val="nil"/>
              <w:bottom w:val="single" w:sz="4" w:space="0" w:color="auto"/>
              <w:right w:val="single" w:sz="4" w:space="0" w:color="auto"/>
            </w:tcBorders>
            <w:shd w:val="clear" w:color="auto" w:fill="C6EFCE"/>
            <w:noWrap/>
          </w:tcPr>
          <w:p w14:paraId="240D8C2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85" w:type="dxa"/>
            <w:tcBorders>
              <w:top w:val="single" w:sz="4" w:space="0" w:color="auto"/>
              <w:left w:val="nil"/>
              <w:bottom w:val="single" w:sz="4" w:space="0" w:color="auto"/>
              <w:right w:val="single" w:sz="4" w:space="0" w:color="auto"/>
            </w:tcBorders>
            <w:shd w:val="clear" w:color="auto" w:fill="C6EFCE"/>
            <w:noWrap/>
          </w:tcPr>
          <w:p w14:paraId="36C6A5FC" w14:textId="4E52B841" w:rsidR="00302FC1" w:rsidRPr="00AB26B3" w:rsidRDefault="00D64F26">
            <w:pPr>
              <w:pStyle w:val="P68B1DB1-Normal12"/>
              <w:spacing w:after="0" w:line="240" w:lineRule="auto"/>
              <w:rPr>
                <w:noProof/>
                <w:spacing w:val="-6"/>
                <w:lang w:val="sk-SK"/>
              </w:rPr>
            </w:pPr>
            <w:r w:rsidRPr="00AB26B3">
              <w:rPr>
                <w:noProof/>
                <w:spacing w:val="-6"/>
                <w:lang w:val="sk-SK"/>
              </w:rPr>
              <w:t>Nadobudnutie účinnosti primárnych právnych predpisov na revíziu súdnej mapy pre občianske</w:t>
            </w:r>
            <w:r w:rsidR="00AB26B3" w:rsidRPr="00AB26B3">
              <w:rPr>
                <w:noProof/>
                <w:spacing w:val="-6"/>
                <w:lang w:val="sk-SK"/>
              </w:rPr>
              <w:t xml:space="preserve"> a </w:t>
            </w:r>
            <w:r w:rsidRPr="00AB26B3">
              <w:rPr>
                <w:noProof/>
                <w:spacing w:val="-6"/>
                <w:lang w:val="sk-SK"/>
              </w:rPr>
              <w:t>trestné súdnictvo.</w:t>
            </w:r>
          </w:p>
        </w:tc>
      </w:tr>
      <w:tr w:rsidR="00302FC1" w:rsidRPr="00AB26B3" w14:paraId="721B144F"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4413E37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233</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4A09D2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16292_Nové justičné budovy</w:t>
            </w:r>
          </w:p>
        </w:tc>
        <w:tc>
          <w:tcPr>
            <w:tcW w:w="1424" w:type="dxa"/>
            <w:tcBorders>
              <w:top w:val="single" w:sz="4" w:space="0" w:color="auto"/>
              <w:left w:val="nil"/>
              <w:bottom w:val="single" w:sz="4" w:space="0" w:color="auto"/>
              <w:right w:val="single" w:sz="4" w:space="0" w:color="auto"/>
            </w:tcBorders>
            <w:shd w:val="clear" w:color="auto" w:fill="C6EFCE"/>
            <w:noWrap/>
          </w:tcPr>
          <w:p w14:paraId="75E122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58ECF0CF" w14:textId="23CFBA9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Výstavba</w:t>
            </w:r>
            <w:r w:rsidR="00AB26B3" w:rsidRPr="00AB26B3">
              <w:rPr>
                <w:noProof/>
                <w:spacing w:val="-6"/>
                <w:lang w:val="sk-SK"/>
              </w:rPr>
              <w:t xml:space="preserve"> a </w:t>
            </w:r>
            <w:r w:rsidRPr="00AB26B3">
              <w:rPr>
                <w:noProof/>
                <w:spacing w:val="-6"/>
                <w:lang w:val="sk-SK"/>
              </w:rPr>
              <w:t>renovácia súdnych budov – začatie verejných súťaží</w:t>
            </w:r>
          </w:p>
        </w:tc>
        <w:tc>
          <w:tcPr>
            <w:tcW w:w="1552" w:type="dxa"/>
            <w:tcBorders>
              <w:top w:val="single" w:sz="4" w:space="0" w:color="auto"/>
              <w:left w:val="nil"/>
              <w:bottom w:val="single" w:sz="4" w:space="0" w:color="auto"/>
              <w:right w:val="single" w:sz="4" w:space="0" w:color="auto"/>
            </w:tcBorders>
            <w:shd w:val="clear" w:color="auto" w:fill="C6EFCE"/>
            <w:noWrap/>
          </w:tcPr>
          <w:p w14:paraId="14DF082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verejných súťaží</w:t>
            </w:r>
          </w:p>
        </w:tc>
        <w:tc>
          <w:tcPr>
            <w:tcW w:w="992" w:type="dxa"/>
            <w:tcBorders>
              <w:top w:val="single" w:sz="4" w:space="0" w:color="auto"/>
              <w:left w:val="nil"/>
              <w:bottom w:val="single" w:sz="4" w:space="0" w:color="auto"/>
              <w:right w:val="single" w:sz="4" w:space="0" w:color="auto"/>
            </w:tcBorders>
            <w:shd w:val="clear" w:color="auto" w:fill="C6EFCE"/>
            <w:noWrap/>
          </w:tcPr>
          <w:p w14:paraId="4B48503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3039AFC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3019842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5DEF35E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22" w:type="dxa"/>
            <w:tcBorders>
              <w:top w:val="single" w:sz="4" w:space="0" w:color="auto"/>
              <w:left w:val="nil"/>
              <w:bottom w:val="single" w:sz="4" w:space="0" w:color="auto"/>
              <w:right w:val="single" w:sz="4" w:space="0" w:color="auto"/>
            </w:tcBorders>
            <w:shd w:val="clear" w:color="auto" w:fill="C6EFCE"/>
            <w:noWrap/>
          </w:tcPr>
          <w:p w14:paraId="3CF42D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885" w:type="dxa"/>
            <w:tcBorders>
              <w:top w:val="single" w:sz="4" w:space="0" w:color="auto"/>
              <w:left w:val="nil"/>
              <w:bottom w:val="single" w:sz="4" w:space="0" w:color="auto"/>
              <w:right w:val="single" w:sz="4" w:space="0" w:color="auto"/>
            </w:tcBorders>
            <w:shd w:val="clear" w:color="auto" w:fill="C6EFCE"/>
            <w:noWrap/>
          </w:tcPr>
          <w:p w14:paraId="7E909202" w14:textId="38C1C09A" w:rsidR="00302FC1" w:rsidRPr="00AB26B3" w:rsidRDefault="00D64F26">
            <w:pPr>
              <w:pStyle w:val="P68B1DB1-Normal12"/>
              <w:spacing w:after="0" w:line="240" w:lineRule="auto"/>
              <w:rPr>
                <w:noProof/>
                <w:spacing w:val="-6"/>
                <w:lang w:val="sk-SK"/>
              </w:rPr>
            </w:pPr>
            <w:r w:rsidRPr="00AB26B3">
              <w:rPr>
                <w:noProof/>
                <w:spacing w:val="-6"/>
                <w:lang w:val="sk-SK"/>
              </w:rPr>
              <w:t>Úprava zoznamu projektov</w:t>
            </w:r>
            <w:r w:rsidR="00AB26B3" w:rsidRPr="00AB26B3">
              <w:rPr>
                <w:noProof/>
                <w:spacing w:val="-6"/>
                <w:lang w:val="sk-SK"/>
              </w:rPr>
              <w:t xml:space="preserve"> v </w:t>
            </w:r>
            <w:r w:rsidRPr="00AB26B3">
              <w:rPr>
                <w:noProof/>
                <w:spacing w:val="-6"/>
                <w:lang w:val="sk-SK"/>
              </w:rPr>
              <w:t>súlade so zákonom</w:t>
            </w:r>
            <w:r w:rsidR="00AB26B3" w:rsidRPr="00AB26B3">
              <w:rPr>
                <w:noProof/>
                <w:spacing w:val="-6"/>
                <w:lang w:val="sk-SK"/>
              </w:rPr>
              <w:t xml:space="preserve"> o </w:t>
            </w:r>
            <w:r w:rsidRPr="00AB26B3">
              <w:rPr>
                <w:noProof/>
                <w:spacing w:val="-6"/>
                <w:lang w:val="sk-SK"/>
              </w:rPr>
              <w:t>revízii súdnej mapy.</w:t>
            </w:r>
          </w:p>
          <w:p w14:paraId="0B3E5A4E" w14:textId="1274460D" w:rsidR="00302FC1" w:rsidRPr="00AB26B3" w:rsidRDefault="00D64F26">
            <w:pPr>
              <w:pStyle w:val="P68B1DB1-Normal12"/>
              <w:spacing w:after="0" w:line="240" w:lineRule="auto"/>
              <w:rPr>
                <w:noProof/>
                <w:spacing w:val="-6"/>
                <w:lang w:val="sk-SK"/>
              </w:rPr>
            </w:pPr>
            <w:r w:rsidRPr="00AB26B3">
              <w:rPr>
                <w:noProof/>
                <w:spacing w:val="-6"/>
                <w:lang w:val="sk-SK"/>
              </w:rPr>
              <w:t>Vyhlásenie verejnej súťaže na projekty týkajúce sa občianskych</w:t>
            </w:r>
            <w:r w:rsidR="00AB26B3" w:rsidRPr="00AB26B3">
              <w:rPr>
                <w:noProof/>
                <w:spacing w:val="-6"/>
                <w:lang w:val="sk-SK"/>
              </w:rPr>
              <w:t xml:space="preserve"> a </w:t>
            </w:r>
            <w:r w:rsidRPr="00AB26B3">
              <w:rPr>
                <w:noProof/>
                <w:spacing w:val="-6"/>
                <w:lang w:val="sk-SK"/>
              </w:rPr>
              <w:t>trestných súdov zahrnutých do revidovaného zoznamu renovácií.</w:t>
            </w:r>
            <w:r w:rsidR="00AB26B3" w:rsidRPr="00AB26B3">
              <w:rPr>
                <w:noProof/>
                <w:spacing w:val="-6"/>
                <w:lang w:val="sk-SK"/>
              </w:rPr>
              <w:t xml:space="preserve"> V </w:t>
            </w:r>
            <w:r w:rsidRPr="00AB26B3">
              <w:rPr>
                <w:noProof/>
                <w:spacing w:val="-6"/>
                <w:lang w:val="sk-SK"/>
              </w:rPr>
              <w:t>podmienkach verejného obstarávania sa stanoví, že nové budovy, ktoré sa majú postaviť, musia dosiahnuť primárnu energetickú náročnosť, ktorá je aspoň</w:t>
            </w:r>
            <w:r w:rsidR="00AB26B3" w:rsidRPr="00AB26B3">
              <w:rPr>
                <w:noProof/>
                <w:spacing w:val="-6"/>
                <w:lang w:val="sk-SK"/>
              </w:rPr>
              <w:t xml:space="preserve"> o </w:t>
            </w:r>
            <w:r w:rsidRPr="00AB26B3">
              <w:rPr>
                <w:noProof/>
                <w:spacing w:val="-6"/>
                <w:lang w:val="sk-SK"/>
              </w:rPr>
              <w:t>20</w:t>
            </w:r>
            <w:r w:rsidR="00AB26B3" w:rsidRPr="00AB26B3">
              <w:rPr>
                <w:noProof/>
                <w:spacing w:val="-6"/>
                <w:lang w:val="sk-SK"/>
              </w:rPr>
              <w:t> %</w:t>
            </w:r>
            <w:r w:rsidRPr="00AB26B3">
              <w:rPr>
                <w:noProof/>
                <w:spacing w:val="-6"/>
                <w:lang w:val="sk-SK"/>
              </w:rPr>
              <w:t xml:space="preserve"> nižšia ako požiadavka na budovy</w:t>
            </w:r>
            <w:r w:rsidR="00AB26B3" w:rsidRPr="00AB26B3">
              <w:rPr>
                <w:noProof/>
                <w:spacing w:val="-6"/>
                <w:lang w:val="sk-SK"/>
              </w:rPr>
              <w:t xml:space="preserve"> s </w:t>
            </w:r>
            <w:r w:rsidRPr="00AB26B3">
              <w:rPr>
                <w:noProof/>
                <w:spacing w:val="-6"/>
                <w:lang w:val="sk-SK"/>
              </w:rPr>
              <w:t>takmer nulovou spotrebou energie (budova</w:t>
            </w:r>
            <w:r w:rsidR="00AB26B3" w:rsidRPr="00AB26B3">
              <w:rPr>
                <w:noProof/>
                <w:spacing w:val="-6"/>
                <w:lang w:val="sk-SK"/>
              </w:rPr>
              <w:t xml:space="preserve"> s </w:t>
            </w:r>
            <w:r w:rsidRPr="00AB26B3">
              <w:rPr>
                <w:noProof/>
                <w:spacing w:val="-6"/>
                <w:lang w:val="sk-SK"/>
              </w:rPr>
              <w:t>takmer nulovou spotrebou energie, vnútroštátne smernice).</w:t>
            </w:r>
          </w:p>
        </w:tc>
      </w:tr>
      <w:tr w:rsidR="00302FC1" w:rsidRPr="00AB26B3" w14:paraId="4DE34604"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13E720D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234</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24E2F7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16575 Urýchlenie výkonu spravodlivosti</w:t>
            </w:r>
          </w:p>
        </w:tc>
        <w:tc>
          <w:tcPr>
            <w:tcW w:w="1424" w:type="dxa"/>
            <w:tcBorders>
              <w:top w:val="single" w:sz="4" w:space="0" w:color="auto"/>
              <w:left w:val="nil"/>
              <w:bottom w:val="single" w:sz="4" w:space="0" w:color="auto"/>
              <w:right w:val="single" w:sz="4" w:space="0" w:color="auto"/>
            </w:tcBorders>
            <w:shd w:val="clear" w:color="auto" w:fill="C6EFCE"/>
            <w:noWrap/>
          </w:tcPr>
          <w:p w14:paraId="323EA45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2833CDE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Funkčná súdna polícia</w:t>
            </w:r>
          </w:p>
        </w:tc>
        <w:tc>
          <w:tcPr>
            <w:tcW w:w="1552" w:type="dxa"/>
            <w:tcBorders>
              <w:top w:val="single" w:sz="4" w:space="0" w:color="auto"/>
              <w:left w:val="nil"/>
              <w:bottom w:val="single" w:sz="4" w:space="0" w:color="auto"/>
              <w:right w:val="single" w:sz="4" w:space="0" w:color="auto"/>
            </w:tcBorders>
            <w:shd w:val="clear" w:color="auto" w:fill="C6EFCE"/>
            <w:noWrap/>
          </w:tcPr>
          <w:p w14:paraId="666F4CD8" w14:textId="1BD0369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Justičná polícia plne funkčná</w:t>
            </w:r>
            <w:r w:rsidR="00AB26B3" w:rsidRPr="00AB26B3">
              <w:rPr>
                <w:noProof/>
                <w:spacing w:val="-6"/>
                <w:lang w:val="sk-SK"/>
              </w:rPr>
              <w:t xml:space="preserve"> a </w:t>
            </w:r>
            <w:r w:rsidRPr="00AB26B3">
              <w:rPr>
                <w:noProof/>
                <w:spacing w:val="-6"/>
                <w:lang w:val="sk-SK"/>
              </w:rPr>
              <w:t>funkčná na ústrednej aj regionálnej úrovni</w:t>
            </w:r>
          </w:p>
        </w:tc>
        <w:tc>
          <w:tcPr>
            <w:tcW w:w="992" w:type="dxa"/>
            <w:tcBorders>
              <w:top w:val="single" w:sz="4" w:space="0" w:color="auto"/>
              <w:left w:val="nil"/>
              <w:bottom w:val="single" w:sz="4" w:space="0" w:color="auto"/>
              <w:right w:val="single" w:sz="4" w:space="0" w:color="auto"/>
            </w:tcBorders>
            <w:shd w:val="clear" w:color="auto" w:fill="C6EFCE"/>
            <w:noWrap/>
          </w:tcPr>
          <w:p w14:paraId="56E3D53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7D772AD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5FB2889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5F2EDBA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22" w:type="dxa"/>
            <w:tcBorders>
              <w:top w:val="single" w:sz="4" w:space="0" w:color="auto"/>
              <w:left w:val="nil"/>
              <w:bottom w:val="single" w:sz="4" w:space="0" w:color="auto"/>
              <w:right w:val="single" w:sz="4" w:space="0" w:color="auto"/>
            </w:tcBorders>
            <w:shd w:val="clear" w:color="auto" w:fill="C6EFCE"/>
            <w:noWrap/>
          </w:tcPr>
          <w:p w14:paraId="23AD647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885" w:type="dxa"/>
            <w:tcBorders>
              <w:top w:val="single" w:sz="4" w:space="0" w:color="auto"/>
              <w:left w:val="nil"/>
              <w:bottom w:val="single" w:sz="4" w:space="0" w:color="auto"/>
              <w:right w:val="single" w:sz="4" w:space="0" w:color="auto"/>
            </w:tcBorders>
            <w:shd w:val="clear" w:color="auto" w:fill="C6EFCE"/>
            <w:noWrap/>
          </w:tcPr>
          <w:p w14:paraId="4DF512E9" w14:textId="05BB14E5" w:rsidR="00302FC1" w:rsidRPr="00AB26B3" w:rsidRDefault="00D64F26">
            <w:pPr>
              <w:pStyle w:val="P68B1DB1-Normal12"/>
              <w:spacing w:before="120" w:after="0" w:line="240" w:lineRule="auto"/>
              <w:jc w:val="both"/>
              <w:rPr>
                <w:rFonts w:eastAsia="Times New Roman"/>
                <w:noProof/>
                <w:spacing w:val="-6"/>
                <w:lang w:val="sk-SK"/>
              </w:rPr>
            </w:pPr>
            <w:r w:rsidRPr="00AB26B3">
              <w:rPr>
                <w:noProof/>
                <w:spacing w:val="-6"/>
                <w:lang w:val="sk-SK"/>
              </w:rPr>
              <w:t>Sfunkčnenie justičnej polície vo všetkých jej právomociach,</w:t>
            </w:r>
            <w:r w:rsidR="00AB26B3" w:rsidRPr="00AB26B3">
              <w:rPr>
                <w:noProof/>
                <w:spacing w:val="-6"/>
                <w:lang w:val="sk-SK"/>
              </w:rPr>
              <w:t xml:space="preserve"> a </w:t>
            </w:r>
            <w:r w:rsidRPr="00AB26B3">
              <w:rPr>
                <w:noProof/>
                <w:spacing w:val="-6"/>
                <w:lang w:val="sk-SK"/>
              </w:rPr>
              <w:t>to na úrovni ústrednej správy, ako aj na regionálnej úrovni</w:t>
            </w:r>
            <w:r w:rsidR="00AB26B3" w:rsidRPr="00AB26B3">
              <w:rPr>
                <w:noProof/>
                <w:spacing w:val="-6"/>
                <w:lang w:val="sk-SK"/>
              </w:rPr>
              <w:t xml:space="preserve"> v </w:t>
            </w:r>
            <w:r w:rsidRPr="00AB26B3">
              <w:rPr>
                <w:noProof/>
                <w:spacing w:val="-6"/>
                <w:lang w:val="sk-SK"/>
              </w:rPr>
              <w:t>rámci súdov</w:t>
            </w:r>
          </w:p>
        </w:tc>
      </w:tr>
      <w:tr w:rsidR="00302FC1" w:rsidRPr="00AB26B3" w14:paraId="2FB95CA7"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2301EB5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235</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1BADFA97" w14:textId="59C9DE5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16733_Zručnosti</w:t>
            </w:r>
            <w:r w:rsidR="00AB26B3" w:rsidRPr="00AB26B3">
              <w:rPr>
                <w:noProof/>
                <w:spacing w:val="-6"/>
                <w:lang w:val="sk-SK"/>
              </w:rPr>
              <w:t xml:space="preserve"> a </w:t>
            </w:r>
            <w:r w:rsidRPr="00AB26B3">
              <w:rPr>
                <w:noProof/>
                <w:spacing w:val="-6"/>
                <w:lang w:val="sk-SK"/>
              </w:rPr>
              <w:t>digitálne zručnosti sudcov</w:t>
            </w:r>
            <w:r w:rsidR="00AB26B3" w:rsidRPr="00AB26B3">
              <w:rPr>
                <w:noProof/>
                <w:spacing w:val="-6"/>
                <w:lang w:val="sk-SK"/>
              </w:rPr>
              <w:t xml:space="preserve"> a </w:t>
            </w:r>
            <w:r w:rsidRPr="00AB26B3">
              <w:rPr>
                <w:noProof/>
                <w:spacing w:val="-6"/>
                <w:lang w:val="sk-SK"/>
              </w:rPr>
              <w:t>justičných zamestnancov</w:t>
            </w:r>
          </w:p>
        </w:tc>
        <w:tc>
          <w:tcPr>
            <w:tcW w:w="1424" w:type="dxa"/>
            <w:tcBorders>
              <w:top w:val="single" w:sz="4" w:space="0" w:color="auto"/>
              <w:left w:val="nil"/>
              <w:bottom w:val="single" w:sz="4" w:space="0" w:color="auto"/>
              <w:right w:val="single" w:sz="4" w:space="0" w:color="auto"/>
            </w:tcBorders>
            <w:shd w:val="clear" w:color="auto" w:fill="C6EFCE"/>
            <w:noWrap/>
          </w:tcPr>
          <w:p w14:paraId="7C733D1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6BFC353C" w14:textId="4F05089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Odborná príprava – sudcovia</w:t>
            </w:r>
            <w:r w:rsidR="00AB26B3" w:rsidRPr="00AB26B3">
              <w:rPr>
                <w:noProof/>
                <w:spacing w:val="-6"/>
                <w:lang w:val="sk-SK"/>
              </w:rPr>
              <w:t xml:space="preserve"> a </w:t>
            </w:r>
            <w:r w:rsidRPr="00AB26B3">
              <w:rPr>
                <w:noProof/>
                <w:spacing w:val="-6"/>
                <w:lang w:val="sk-SK"/>
              </w:rPr>
              <w:t>administratívni pracovníci</w:t>
            </w:r>
          </w:p>
        </w:tc>
        <w:tc>
          <w:tcPr>
            <w:tcW w:w="1552" w:type="dxa"/>
            <w:tcBorders>
              <w:top w:val="single" w:sz="4" w:space="0" w:color="auto"/>
              <w:left w:val="nil"/>
              <w:bottom w:val="single" w:sz="4" w:space="0" w:color="auto"/>
              <w:right w:val="single" w:sz="4" w:space="0" w:color="auto"/>
            </w:tcBorders>
            <w:shd w:val="clear" w:color="auto" w:fill="C6EFCE"/>
            <w:noWrap/>
          </w:tcPr>
          <w:p w14:paraId="391360B8" w14:textId="1AFDA61C" w:rsidR="00302FC1" w:rsidRPr="00AB26B3" w:rsidRDefault="00D64F26">
            <w:pPr>
              <w:pStyle w:val="P68B1DB1-Normal12"/>
              <w:spacing w:after="0" w:line="240" w:lineRule="auto"/>
              <w:rPr>
                <w:noProof/>
                <w:spacing w:val="-6"/>
                <w:lang w:val="sk-SK"/>
              </w:rPr>
            </w:pPr>
            <w:r w:rsidRPr="00AB26B3">
              <w:rPr>
                <w:noProof/>
                <w:spacing w:val="-6"/>
                <w:lang w:val="sk-SK"/>
              </w:rPr>
              <w:t>Správa osvedčujúca vykonanie zmien vo vzdelávacom programe Národnej školy sudcov</w:t>
            </w:r>
            <w:r w:rsidR="00AB26B3" w:rsidRPr="00AB26B3">
              <w:rPr>
                <w:noProof/>
                <w:spacing w:val="-6"/>
                <w:lang w:val="sk-SK"/>
              </w:rPr>
              <w:t xml:space="preserve"> a </w:t>
            </w:r>
            <w:r w:rsidRPr="00AB26B3">
              <w:rPr>
                <w:noProof/>
                <w:spacing w:val="-6"/>
                <w:lang w:val="sk-SK"/>
              </w:rPr>
              <w:t>zápis sudcov</w:t>
            </w:r>
            <w:r w:rsidR="00AB26B3" w:rsidRPr="00AB26B3">
              <w:rPr>
                <w:noProof/>
                <w:spacing w:val="-6"/>
                <w:lang w:val="sk-SK"/>
              </w:rPr>
              <w:t xml:space="preserve"> a </w:t>
            </w:r>
            <w:r w:rsidRPr="00AB26B3">
              <w:rPr>
                <w:noProof/>
                <w:spacing w:val="-6"/>
                <w:lang w:val="sk-SK"/>
              </w:rPr>
              <w:t>úradníkov do celoživotného vzdelávania</w:t>
            </w:r>
          </w:p>
        </w:tc>
        <w:tc>
          <w:tcPr>
            <w:tcW w:w="992" w:type="dxa"/>
            <w:tcBorders>
              <w:top w:val="single" w:sz="4" w:space="0" w:color="auto"/>
              <w:left w:val="nil"/>
              <w:bottom w:val="single" w:sz="4" w:space="0" w:color="auto"/>
              <w:right w:val="single" w:sz="4" w:space="0" w:color="auto"/>
            </w:tcBorders>
            <w:shd w:val="clear" w:color="auto" w:fill="C6EFCE"/>
            <w:noWrap/>
          </w:tcPr>
          <w:p w14:paraId="377240E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35315B8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4192047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19C1433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22" w:type="dxa"/>
            <w:tcBorders>
              <w:top w:val="single" w:sz="4" w:space="0" w:color="auto"/>
              <w:left w:val="nil"/>
              <w:bottom w:val="single" w:sz="4" w:space="0" w:color="auto"/>
              <w:right w:val="single" w:sz="4" w:space="0" w:color="auto"/>
            </w:tcBorders>
            <w:shd w:val="clear" w:color="auto" w:fill="C6EFCE"/>
            <w:noWrap/>
          </w:tcPr>
          <w:p w14:paraId="263B3D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885" w:type="dxa"/>
            <w:tcBorders>
              <w:top w:val="single" w:sz="4" w:space="0" w:color="auto"/>
              <w:left w:val="nil"/>
              <w:bottom w:val="single" w:sz="4" w:space="0" w:color="auto"/>
              <w:right w:val="single" w:sz="4" w:space="0" w:color="auto"/>
            </w:tcBorders>
            <w:shd w:val="clear" w:color="auto" w:fill="C6EFCE"/>
            <w:noWrap/>
          </w:tcPr>
          <w:p w14:paraId="429A1830" w14:textId="59C1E35A" w:rsidR="00AB26B3" w:rsidRPr="00AB26B3" w:rsidRDefault="00D64F26">
            <w:pPr>
              <w:pStyle w:val="P68B1DB1-Normal12"/>
              <w:spacing w:after="0" w:line="240" w:lineRule="auto"/>
              <w:rPr>
                <w:noProof/>
                <w:spacing w:val="-6"/>
                <w:lang w:val="sk-SK"/>
              </w:rPr>
            </w:pPr>
            <w:r w:rsidRPr="00AB26B3">
              <w:rPr>
                <w:noProof/>
                <w:spacing w:val="-6"/>
                <w:lang w:val="sk-SK"/>
              </w:rPr>
              <w:t>Dokončenie projektov zahrnutých do reformy zručností</w:t>
            </w:r>
            <w:r w:rsidR="00AB26B3" w:rsidRPr="00AB26B3">
              <w:rPr>
                <w:noProof/>
                <w:spacing w:val="-6"/>
                <w:lang w:val="sk-SK"/>
              </w:rPr>
              <w:t xml:space="preserve"> a </w:t>
            </w:r>
            <w:r w:rsidRPr="00AB26B3">
              <w:rPr>
                <w:noProof/>
                <w:spacing w:val="-6"/>
                <w:lang w:val="sk-SK"/>
              </w:rPr>
              <w:t>digitálnych zručností sudcov</w:t>
            </w:r>
            <w:r w:rsidR="00AB26B3" w:rsidRPr="00AB26B3">
              <w:rPr>
                <w:noProof/>
                <w:spacing w:val="-6"/>
                <w:lang w:val="sk-SK"/>
              </w:rPr>
              <w:t xml:space="preserve"> a </w:t>
            </w:r>
            <w:r w:rsidRPr="00AB26B3">
              <w:rPr>
                <w:noProof/>
                <w:spacing w:val="-6"/>
                <w:lang w:val="sk-SK"/>
              </w:rPr>
              <w:t>justičných zamestnancov s</w:t>
            </w:r>
            <w:r w:rsidR="00AB26B3" w:rsidRPr="00AB26B3">
              <w:rPr>
                <w:noProof/>
                <w:spacing w:val="-6"/>
                <w:lang w:val="sk-SK"/>
              </w:rPr>
              <w:t>:</w:t>
            </w:r>
          </w:p>
          <w:p w14:paraId="437BDD16" w14:textId="5B060760" w:rsidR="00302FC1" w:rsidRPr="00AB26B3" w:rsidRDefault="00D64F26">
            <w:pPr>
              <w:pStyle w:val="P68B1DB1-Normal12"/>
              <w:numPr>
                <w:ilvl w:val="0"/>
                <w:numId w:val="43"/>
              </w:numPr>
              <w:spacing w:before="120" w:after="0" w:line="240" w:lineRule="auto"/>
              <w:jc w:val="both"/>
              <w:rPr>
                <w:noProof/>
                <w:spacing w:val="-6"/>
                <w:lang w:val="sk-SK"/>
              </w:rPr>
            </w:pPr>
            <w:r w:rsidRPr="00AB26B3">
              <w:rPr>
                <w:noProof/>
                <w:spacing w:val="-6"/>
                <w:lang w:val="sk-SK"/>
              </w:rPr>
              <w:t>7029 sudcov</w:t>
            </w:r>
            <w:r w:rsidR="00AB26B3" w:rsidRPr="00AB26B3">
              <w:rPr>
                <w:noProof/>
                <w:spacing w:val="-6"/>
                <w:lang w:val="sk-SK"/>
              </w:rPr>
              <w:t xml:space="preserve"> a </w:t>
            </w:r>
            <w:r w:rsidRPr="00AB26B3">
              <w:rPr>
                <w:noProof/>
                <w:spacing w:val="-6"/>
                <w:lang w:val="sk-SK"/>
              </w:rPr>
              <w:t>úradníkov zapísaných do celoživotného vzdelávania, ktorí absolvovali aspoň jedno školenie (seminár).</w:t>
            </w:r>
          </w:p>
          <w:p w14:paraId="01DD6BD7" w14:textId="7A26ABA0" w:rsidR="00302FC1" w:rsidRPr="00AB26B3" w:rsidRDefault="00D64F26">
            <w:pPr>
              <w:pStyle w:val="P68B1DB1-Normal12"/>
              <w:spacing w:before="120" w:after="0" w:line="240" w:lineRule="auto"/>
              <w:ind w:left="360"/>
              <w:jc w:val="both"/>
              <w:rPr>
                <w:noProof/>
                <w:spacing w:val="-6"/>
                <w:lang w:val="sk-SK"/>
              </w:rPr>
            </w:pPr>
            <w:r w:rsidRPr="00AB26B3">
              <w:rPr>
                <w:noProof/>
                <w:spacing w:val="-6"/>
                <w:lang w:val="sk-SK"/>
              </w:rPr>
              <w:t>2. Vzdelávací program pre súdnych úradníkov</w:t>
            </w:r>
            <w:r w:rsidR="00AB26B3" w:rsidRPr="00AB26B3">
              <w:rPr>
                <w:noProof/>
                <w:spacing w:val="-6"/>
                <w:lang w:val="sk-SK"/>
              </w:rPr>
              <w:t xml:space="preserve"> v </w:t>
            </w:r>
            <w:r w:rsidRPr="00AB26B3">
              <w:rPr>
                <w:noProof/>
                <w:spacing w:val="-6"/>
                <w:lang w:val="sk-SK"/>
              </w:rPr>
              <w:t>rámci Národnej školy sudcov</w:t>
            </w:r>
            <w:r w:rsidR="00AB26B3" w:rsidRPr="00AB26B3">
              <w:rPr>
                <w:noProof/>
                <w:spacing w:val="-6"/>
                <w:lang w:val="sk-SK"/>
              </w:rPr>
              <w:t xml:space="preserve"> v </w:t>
            </w:r>
            <w:r w:rsidRPr="00AB26B3">
              <w:rPr>
                <w:noProof/>
                <w:spacing w:val="-6"/>
                <w:lang w:val="sk-SK"/>
              </w:rPr>
              <w:t>prevádzke</w:t>
            </w:r>
          </w:p>
          <w:p w14:paraId="267EB83A" w14:textId="40A8312C" w:rsidR="00302FC1" w:rsidRPr="00AB26B3" w:rsidRDefault="00D64F26">
            <w:pPr>
              <w:pStyle w:val="P68B1DB1-Normal12"/>
              <w:numPr>
                <w:ilvl w:val="0"/>
                <w:numId w:val="44"/>
              </w:numPr>
              <w:spacing w:before="120" w:after="0" w:line="240" w:lineRule="auto"/>
              <w:jc w:val="both"/>
              <w:rPr>
                <w:noProof/>
                <w:spacing w:val="-6"/>
                <w:lang w:val="sk-SK"/>
              </w:rPr>
            </w:pPr>
            <w:r w:rsidRPr="00AB26B3">
              <w:rPr>
                <w:noProof/>
                <w:spacing w:val="-6"/>
                <w:lang w:val="sk-SK"/>
              </w:rPr>
              <w:t>Zmeny výberových kritérií</w:t>
            </w:r>
            <w:r w:rsidR="00AB26B3" w:rsidRPr="00AB26B3">
              <w:rPr>
                <w:noProof/>
                <w:spacing w:val="-6"/>
                <w:lang w:val="sk-SK"/>
              </w:rPr>
              <w:t xml:space="preserve"> v </w:t>
            </w:r>
            <w:r w:rsidRPr="00AB26B3">
              <w:rPr>
                <w:noProof/>
                <w:spacing w:val="-6"/>
                <w:lang w:val="sk-SK"/>
              </w:rPr>
              <w:t xml:space="preserve">súlade </w:t>
            </w:r>
            <w:r w:rsidRPr="00AB26B3">
              <w:rPr>
                <w:noProof/>
                <w:spacing w:val="-6"/>
                <w:u w:val="single"/>
                <w:lang w:val="sk-SK"/>
              </w:rPr>
              <w:t>so</w:t>
            </w:r>
            <w:r w:rsidRPr="00AB26B3">
              <w:rPr>
                <w:noProof/>
                <w:spacing w:val="-6"/>
                <w:lang w:val="sk-SK"/>
              </w:rPr>
              <w:t xml:space="preserve">zákonom </w:t>
            </w:r>
            <w:r w:rsidR="00AB26B3" w:rsidRPr="00AB26B3">
              <w:rPr>
                <w:noProof/>
                <w:spacing w:val="-6"/>
                <w:lang w:val="sk-SK"/>
              </w:rPr>
              <w:t>č. </w:t>
            </w:r>
            <w:r w:rsidRPr="00AB26B3">
              <w:rPr>
                <w:noProof/>
                <w:spacing w:val="-6"/>
                <w:lang w:val="sk-SK"/>
              </w:rPr>
              <w:t>4871/2021</w:t>
            </w:r>
            <w:r w:rsidR="00AB26B3" w:rsidRPr="00AB26B3">
              <w:rPr>
                <w:noProof/>
                <w:spacing w:val="-6"/>
                <w:lang w:val="sk-SK"/>
              </w:rPr>
              <w:t xml:space="preserve"> a </w:t>
            </w:r>
            <w:r w:rsidRPr="00AB26B3">
              <w:rPr>
                <w:noProof/>
                <w:spacing w:val="-6"/>
                <w:lang w:val="sk-SK"/>
              </w:rPr>
              <w:t>zavedený vzdelávací program</w:t>
            </w:r>
          </w:p>
          <w:p w14:paraId="666E477C" w14:textId="4A8F82F2" w:rsidR="00302FC1" w:rsidRPr="00AB26B3" w:rsidRDefault="00D64F26">
            <w:pPr>
              <w:pStyle w:val="P68B1DB1-Normal15"/>
              <w:spacing w:before="120" w:after="0" w:line="240" w:lineRule="auto"/>
              <w:rPr>
                <w:b/>
                <w:noProof/>
                <w:color w:val="006100"/>
                <w:spacing w:val="-6"/>
                <w:lang w:val="sk-SK"/>
              </w:rPr>
            </w:pPr>
            <w:r w:rsidRPr="00AB26B3">
              <w:rPr>
                <w:noProof/>
                <w:color w:val="006100"/>
                <w:spacing w:val="-6"/>
                <w:lang w:val="sk-SK"/>
              </w:rPr>
              <w:t>Zmeny vo vzdelávacom programe Národnej školy sudcov zamerané najmä na zlepšenie praktickej odbornej prípravy</w:t>
            </w:r>
            <w:r w:rsidR="00AB26B3" w:rsidRPr="00AB26B3">
              <w:rPr>
                <w:noProof/>
                <w:color w:val="006100"/>
                <w:spacing w:val="-6"/>
                <w:lang w:val="sk-SK"/>
              </w:rPr>
              <w:t xml:space="preserve"> a </w:t>
            </w:r>
            <w:r w:rsidRPr="00AB26B3">
              <w:rPr>
                <w:noProof/>
                <w:color w:val="006100"/>
                <w:spacing w:val="-6"/>
                <w:lang w:val="sk-SK"/>
              </w:rPr>
              <w:t>poskytovanie kurzov</w:t>
            </w:r>
            <w:r w:rsidR="00AB26B3" w:rsidRPr="00AB26B3">
              <w:rPr>
                <w:noProof/>
                <w:color w:val="006100"/>
                <w:spacing w:val="-6"/>
                <w:lang w:val="sk-SK"/>
              </w:rPr>
              <w:t xml:space="preserve"> v </w:t>
            </w:r>
            <w:r w:rsidRPr="00AB26B3">
              <w:rPr>
                <w:noProof/>
                <w:color w:val="006100"/>
                <w:spacing w:val="-6"/>
                <w:lang w:val="sk-SK"/>
              </w:rPr>
              <w:t>súlade</w:t>
            </w:r>
            <w:r w:rsidR="00AB26B3" w:rsidRPr="00AB26B3">
              <w:rPr>
                <w:noProof/>
                <w:color w:val="006100"/>
                <w:spacing w:val="-6"/>
                <w:lang w:val="sk-SK"/>
              </w:rPr>
              <w:t xml:space="preserve"> s </w:t>
            </w:r>
            <w:r w:rsidRPr="00AB26B3">
              <w:rPr>
                <w:noProof/>
                <w:color w:val="006100"/>
                <w:spacing w:val="-6"/>
                <w:lang w:val="sk-SK"/>
              </w:rPr>
              <w:t>uvedeným zákonom. Poskytovanie celoživotného vzdelávania sudcom</w:t>
            </w:r>
            <w:r w:rsidR="00AB26B3" w:rsidRPr="00AB26B3">
              <w:rPr>
                <w:noProof/>
                <w:color w:val="006100"/>
                <w:spacing w:val="-6"/>
                <w:lang w:val="sk-SK"/>
              </w:rPr>
              <w:t xml:space="preserve"> a </w:t>
            </w:r>
            <w:r w:rsidRPr="00AB26B3">
              <w:rPr>
                <w:noProof/>
                <w:color w:val="006100"/>
                <w:spacing w:val="-6"/>
                <w:lang w:val="sk-SK"/>
              </w:rPr>
              <w:t>súdnym úradníkom</w:t>
            </w:r>
            <w:r w:rsidR="00AB26B3" w:rsidRPr="00AB26B3">
              <w:rPr>
                <w:noProof/>
                <w:color w:val="006100"/>
                <w:spacing w:val="-6"/>
                <w:lang w:val="sk-SK"/>
              </w:rPr>
              <w:t xml:space="preserve"> v </w:t>
            </w:r>
            <w:r w:rsidRPr="00AB26B3">
              <w:rPr>
                <w:noProof/>
                <w:color w:val="006100"/>
                <w:spacing w:val="-6"/>
                <w:lang w:val="sk-SK"/>
              </w:rPr>
              <w:t>rôznych oblastiach podľa uvedeného zákona; pre sudcov je takáto odborná príprava predpokladom profesijného postupu.</w:t>
            </w:r>
            <w:r w:rsidRPr="00AB26B3">
              <w:rPr>
                <w:noProof/>
                <w:spacing w:val="-6"/>
                <w:lang w:val="sk-SK"/>
              </w:rPr>
              <w:t xml:space="preserve"> </w:t>
            </w:r>
          </w:p>
        </w:tc>
      </w:tr>
      <w:tr w:rsidR="00302FC1" w:rsidRPr="00AB26B3" w14:paraId="2F2A12B9"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75244F2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236</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0CFC846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16575 Urýchlenie výkonu spravodlivosti</w:t>
            </w:r>
          </w:p>
        </w:tc>
        <w:tc>
          <w:tcPr>
            <w:tcW w:w="1424" w:type="dxa"/>
            <w:tcBorders>
              <w:top w:val="single" w:sz="4" w:space="0" w:color="auto"/>
              <w:left w:val="nil"/>
              <w:bottom w:val="single" w:sz="4" w:space="0" w:color="auto"/>
              <w:right w:val="single" w:sz="4" w:space="0" w:color="auto"/>
            </w:tcBorders>
            <w:shd w:val="clear" w:color="auto" w:fill="C6EFCE"/>
            <w:noWrap/>
          </w:tcPr>
          <w:p w14:paraId="4E6F133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1640211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Revízia súdnej mapy —</w:t>
            </w:r>
          </w:p>
        </w:tc>
        <w:tc>
          <w:tcPr>
            <w:tcW w:w="1552" w:type="dxa"/>
            <w:tcBorders>
              <w:top w:val="single" w:sz="4" w:space="0" w:color="auto"/>
              <w:left w:val="nil"/>
              <w:bottom w:val="single" w:sz="4" w:space="0" w:color="auto"/>
              <w:right w:val="single" w:sz="4" w:space="0" w:color="auto"/>
            </w:tcBorders>
            <w:shd w:val="clear" w:color="auto" w:fill="C6EFCE"/>
            <w:noWrap/>
          </w:tcPr>
          <w:p w14:paraId="3542EEA3"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Osvedčenia potvrdzujúce funkciu všetkých dotknutých súdov </w:t>
            </w:r>
          </w:p>
        </w:tc>
        <w:tc>
          <w:tcPr>
            <w:tcW w:w="992" w:type="dxa"/>
            <w:tcBorders>
              <w:top w:val="single" w:sz="4" w:space="0" w:color="auto"/>
              <w:left w:val="nil"/>
              <w:bottom w:val="single" w:sz="4" w:space="0" w:color="auto"/>
              <w:right w:val="single" w:sz="4" w:space="0" w:color="auto"/>
            </w:tcBorders>
            <w:shd w:val="clear" w:color="auto" w:fill="C6EFCE"/>
            <w:noWrap/>
          </w:tcPr>
          <w:p w14:paraId="63C9B74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4C893DB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4811794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6166BD4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22" w:type="dxa"/>
            <w:tcBorders>
              <w:top w:val="single" w:sz="4" w:space="0" w:color="auto"/>
              <w:left w:val="nil"/>
              <w:bottom w:val="single" w:sz="4" w:space="0" w:color="auto"/>
              <w:right w:val="single" w:sz="4" w:space="0" w:color="auto"/>
            </w:tcBorders>
            <w:shd w:val="clear" w:color="auto" w:fill="C6EFCE"/>
            <w:noWrap/>
          </w:tcPr>
          <w:p w14:paraId="3D7781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885" w:type="dxa"/>
            <w:tcBorders>
              <w:top w:val="single" w:sz="4" w:space="0" w:color="auto"/>
              <w:left w:val="nil"/>
              <w:bottom w:val="single" w:sz="4" w:space="0" w:color="auto"/>
              <w:right w:val="single" w:sz="4" w:space="0" w:color="auto"/>
            </w:tcBorders>
            <w:shd w:val="clear" w:color="auto" w:fill="C6EFCE"/>
            <w:noWrap/>
          </w:tcPr>
          <w:p w14:paraId="2CB8232C" w14:textId="3FF6AFCE" w:rsidR="00302FC1" w:rsidRPr="00AB26B3" w:rsidRDefault="00D64F26">
            <w:pPr>
              <w:pStyle w:val="P68B1DB1-Normal12"/>
              <w:rPr>
                <w:noProof/>
                <w:spacing w:val="-6"/>
                <w:lang w:val="sk-SK"/>
              </w:rPr>
            </w:pPr>
            <w:r w:rsidRPr="00AB26B3">
              <w:rPr>
                <w:noProof/>
                <w:spacing w:val="-6"/>
                <w:lang w:val="sk-SK"/>
              </w:rPr>
              <w:t>Vydávanie osvedčení správnymi orgánmi súdov, ktorých sa týka revízia správnych</w:t>
            </w:r>
            <w:r w:rsidR="00AB26B3" w:rsidRPr="00AB26B3">
              <w:rPr>
                <w:noProof/>
                <w:spacing w:val="-6"/>
                <w:lang w:val="sk-SK"/>
              </w:rPr>
              <w:t xml:space="preserve"> a </w:t>
            </w:r>
            <w:r w:rsidRPr="00AB26B3">
              <w:rPr>
                <w:noProof/>
                <w:spacing w:val="-6"/>
                <w:lang w:val="sk-SK"/>
              </w:rPr>
              <w:t>občianskoprávnych/trestných súdnych máp potvrdzujúcich, že fungujú, ako sa stanovuje</w:t>
            </w:r>
            <w:r w:rsidR="00AB26B3" w:rsidRPr="00AB26B3">
              <w:rPr>
                <w:noProof/>
                <w:spacing w:val="-6"/>
                <w:lang w:val="sk-SK"/>
              </w:rPr>
              <w:t xml:space="preserve"> v </w:t>
            </w:r>
            <w:r w:rsidRPr="00AB26B3">
              <w:rPr>
                <w:noProof/>
                <w:spacing w:val="-6"/>
                <w:lang w:val="sk-SK"/>
              </w:rPr>
              <w:t xml:space="preserve">zákone. </w:t>
            </w:r>
          </w:p>
        </w:tc>
      </w:tr>
      <w:tr w:rsidR="00302FC1" w:rsidRPr="00AB26B3" w14:paraId="691144CE"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7C1CFE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237</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7F5B5BC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16292_Nové justičné budovy</w:t>
            </w:r>
          </w:p>
        </w:tc>
        <w:tc>
          <w:tcPr>
            <w:tcW w:w="1424" w:type="dxa"/>
            <w:tcBorders>
              <w:top w:val="single" w:sz="4" w:space="0" w:color="auto"/>
              <w:left w:val="nil"/>
              <w:bottom w:val="single" w:sz="4" w:space="0" w:color="auto"/>
              <w:right w:val="single" w:sz="4" w:space="0" w:color="auto"/>
            </w:tcBorders>
            <w:shd w:val="clear" w:color="auto" w:fill="C6EFCE"/>
            <w:noWrap/>
          </w:tcPr>
          <w:p w14:paraId="6EDD740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40BA19EC" w14:textId="60DBF64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Dokončené stavebné</w:t>
            </w:r>
            <w:r w:rsidR="00AB26B3" w:rsidRPr="00AB26B3">
              <w:rPr>
                <w:noProof/>
                <w:spacing w:val="-6"/>
                <w:lang w:val="sk-SK"/>
              </w:rPr>
              <w:t xml:space="preserve"> a </w:t>
            </w:r>
            <w:r w:rsidRPr="00AB26B3">
              <w:rPr>
                <w:noProof/>
                <w:spacing w:val="-6"/>
                <w:lang w:val="sk-SK"/>
              </w:rPr>
              <w:t>renovačné práce – vydané osvedčenia</w:t>
            </w:r>
            <w:r w:rsidR="00AB26B3" w:rsidRPr="00AB26B3">
              <w:rPr>
                <w:noProof/>
                <w:spacing w:val="-6"/>
                <w:lang w:val="sk-SK"/>
              </w:rPr>
              <w:t xml:space="preserve"> o </w:t>
            </w:r>
            <w:r w:rsidRPr="00AB26B3">
              <w:rPr>
                <w:noProof/>
                <w:spacing w:val="-6"/>
                <w:lang w:val="sk-SK"/>
              </w:rPr>
              <w:t xml:space="preserve">elektronickej totožnosti </w:t>
            </w:r>
          </w:p>
        </w:tc>
        <w:tc>
          <w:tcPr>
            <w:tcW w:w="1552" w:type="dxa"/>
            <w:tcBorders>
              <w:top w:val="single" w:sz="4" w:space="0" w:color="auto"/>
              <w:left w:val="nil"/>
              <w:bottom w:val="single" w:sz="4" w:space="0" w:color="auto"/>
              <w:right w:val="single" w:sz="4" w:space="0" w:color="auto"/>
            </w:tcBorders>
            <w:shd w:val="clear" w:color="auto" w:fill="C6EFCE"/>
            <w:noWrap/>
          </w:tcPr>
          <w:p w14:paraId="3E814EAC" w14:textId="084F1313" w:rsidR="00302FC1" w:rsidRPr="00AB26B3" w:rsidRDefault="00D64F26">
            <w:pPr>
              <w:pStyle w:val="P68B1DB1-Normal12"/>
              <w:spacing w:after="0" w:line="240" w:lineRule="auto"/>
              <w:rPr>
                <w:noProof/>
                <w:spacing w:val="-6"/>
                <w:lang w:val="sk-SK"/>
              </w:rPr>
            </w:pPr>
            <w:r w:rsidRPr="00AB26B3">
              <w:rPr>
                <w:noProof/>
                <w:spacing w:val="-6"/>
                <w:lang w:val="sk-SK"/>
              </w:rPr>
              <w:t>Dokončenie všetkých stavebných</w:t>
            </w:r>
            <w:r w:rsidR="00AB26B3" w:rsidRPr="00AB26B3">
              <w:rPr>
                <w:noProof/>
                <w:spacing w:val="-6"/>
                <w:lang w:val="sk-SK"/>
              </w:rPr>
              <w:t xml:space="preserve"> a </w:t>
            </w:r>
            <w:r w:rsidRPr="00AB26B3">
              <w:rPr>
                <w:noProof/>
                <w:spacing w:val="-6"/>
                <w:lang w:val="sk-SK"/>
              </w:rPr>
              <w:t>renovačných prác financovaných</w:t>
            </w:r>
            <w:r w:rsidR="00AB26B3" w:rsidRPr="00AB26B3">
              <w:rPr>
                <w:noProof/>
                <w:spacing w:val="-6"/>
                <w:lang w:val="sk-SK"/>
              </w:rPr>
              <w:t xml:space="preserve"> v </w:t>
            </w:r>
            <w:r w:rsidRPr="00AB26B3">
              <w:rPr>
                <w:noProof/>
                <w:spacing w:val="-6"/>
                <w:lang w:val="sk-SK"/>
              </w:rPr>
              <w:t>rámci Mechanizmu na podporu obnovy</w:t>
            </w:r>
            <w:r w:rsidR="00AB26B3" w:rsidRPr="00AB26B3">
              <w:rPr>
                <w:noProof/>
                <w:spacing w:val="-6"/>
                <w:lang w:val="sk-SK"/>
              </w:rPr>
              <w:t xml:space="preserve"> a </w:t>
            </w:r>
            <w:r w:rsidRPr="00AB26B3">
              <w:rPr>
                <w:noProof/>
                <w:spacing w:val="-6"/>
                <w:lang w:val="sk-SK"/>
              </w:rPr>
              <w:t>odolnosti; vydávanie osvedčení</w:t>
            </w:r>
            <w:r w:rsidR="00AB26B3" w:rsidRPr="00AB26B3">
              <w:rPr>
                <w:noProof/>
                <w:spacing w:val="-6"/>
                <w:lang w:val="sk-SK"/>
              </w:rPr>
              <w:t xml:space="preserve"> o </w:t>
            </w:r>
            <w:r w:rsidRPr="00AB26B3">
              <w:rPr>
                <w:noProof/>
                <w:spacing w:val="-6"/>
                <w:lang w:val="sk-SK"/>
              </w:rPr>
              <w:t xml:space="preserve">elektronickej totožnosti pre justičné budovy </w:t>
            </w:r>
          </w:p>
        </w:tc>
        <w:tc>
          <w:tcPr>
            <w:tcW w:w="992" w:type="dxa"/>
            <w:tcBorders>
              <w:top w:val="single" w:sz="4" w:space="0" w:color="auto"/>
              <w:left w:val="nil"/>
              <w:bottom w:val="single" w:sz="4" w:space="0" w:color="auto"/>
              <w:right w:val="single" w:sz="4" w:space="0" w:color="auto"/>
            </w:tcBorders>
            <w:shd w:val="clear" w:color="auto" w:fill="C6EFCE"/>
            <w:noWrap/>
          </w:tcPr>
          <w:p w14:paraId="01B3F17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6F42C83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7008582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0B2A9D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22" w:type="dxa"/>
            <w:tcBorders>
              <w:top w:val="single" w:sz="4" w:space="0" w:color="auto"/>
              <w:left w:val="nil"/>
              <w:bottom w:val="single" w:sz="4" w:space="0" w:color="auto"/>
              <w:right w:val="single" w:sz="4" w:space="0" w:color="auto"/>
            </w:tcBorders>
            <w:shd w:val="clear" w:color="auto" w:fill="C6EFCE"/>
            <w:noWrap/>
          </w:tcPr>
          <w:p w14:paraId="7CDA76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885" w:type="dxa"/>
            <w:tcBorders>
              <w:top w:val="single" w:sz="4" w:space="0" w:color="auto"/>
              <w:left w:val="nil"/>
              <w:bottom w:val="single" w:sz="4" w:space="0" w:color="auto"/>
              <w:right w:val="single" w:sz="4" w:space="0" w:color="auto"/>
            </w:tcBorders>
            <w:shd w:val="clear" w:color="auto" w:fill="C6EFCE"/>
            <w:noWrap/>
          </w:tcPr>
          <w:p w14:paraId="64093D1E" w14:textId="29989A6F" w:rsidR="00302FC1" w:rsidRPr="00AB26B3" w:rsidRDefault="00D64F26">
            <w:pPr>
              <w:pStyle w:val="P68B1DB1-ListParagraph19"/>
              <w:numPr>
                <w:ilvl w:val="0"/>
                <w:numId w:val="47"/>
              </w:numPr>
              <w:spacing w:before="120" w:after="0" w:line="240" w:lineRule="auto"/>
              <w:ind w:left="273" w:hanging="295"/>
              <w:jc w:val="both"/>
              <w:rPr>
                <w:noProof/>
                <w:spacing w:val="-6"/>
                <w:lang w:val="sk-SK"/>
              </w:rPr>
            </w:pPr>
            <w:r w:rsidRPr="00AB26B3">
              <w:rPr>
                <w:noProof/>
                <w:spacing w:val="-6"/>
                <w:lang w:val="sk-SK"/>
              </w:rPr>
              <w:t>Dokončenie stavebných</w:t>
            </w:r>
            <w:r w:rsidR="00AB26B3" w:rsidRPr="00AB26B3">
              <w:rPr>
                <w:noProof/>
                <w:spacing w:val="-6"/>
                <w:lang w:val="sk-SK"/>
              </w:rPr>
              <w:t xml:space="preserve"> a </w:t>
            </w:r>
            <w:r w:rsidRPr="00AB26B3">
              <w:rPr>
                <w:noProof/>
                <w:spacing w:val="-6"/>
                <w:lang w:val="sk-SK"/>
              </w:rPr>
              <w:t>renovačných prác financovaných</w:t>
            </w:r>
            <w:r w:rsidR="00AB26B3" w:rsidRPr="00AB26B3">
              <w:rPr>
                <w:noProof/>
                <w:spacing w:val="-6"/>
                <w:lang w:val="sk-SK"/>
              </w:rPr>
              <w:t xml:space="preserve"> v </w:t>
            </w:r>
            <w:r w:rsidRPr="00AB26B3">
              <w:rPr>
                <w:noProof/>
                <w:spacing w:val="-6"/>
                <w:lang w:val="sk-SK"/>
              </w:rPr>
              <w:t>rámci Mechanizmu na podporu obnovy</w:t>
            </w:r>
            <w:r w:rsidR="00AB26B3" w:rsidRPr="00AB26B3">
              <w:rPr>
                <w:noProof/>
                <w:spacing w:val="-6"/>
                <w:lang w:val="sk-SK"/>
              </w:rPr>
              <w:t xml:space="preserve"> a </w:t>
            </w:r>
            <w:r w:rsidRPr="00AB26B3">
              <w:rPr>
                <w:noProof/>
                <w:spacing w:val="-6"/>
                <w:lang w:val="sk-SK"/>
              </w:rPr>
              <w:t>odolnosti.</w:t>
            </w:r>
          </w:p>
          <w:p w14:paraId="517AA4CE" w14:textId="599AEFB0" w:rsidR="00302FC1" w:rsidRPr="00AB26B3" w:rsidRDefault="00D64F26">
            <w:pPr>
              <w:pStyle w:val="P68B1DB1-ListParagraph19"/>
              <w:numPr>
                <w:ilvl w:val="0"/>
                <w:numId w:val="47"/>
              </w:numPr>
              <w:spacing w:before="120" w:after="0" w:line="240" w:lineRule="auto"/>
              <w:ind w:left="273" w:hanging="295"/>
              <w:jc w:val="both"/>
              <w:rPr>
                <w:noProof/>
                <w:spacing w:val="-6"/>
                <w:lang w:val="sk-SK"/>
              </w:rPr>
            </w:pPr>
            <w:r w:rsidRPr="00AB26B3">
              <w:rPr>
                <w:noProof/>
                <w:spacing w:val="-6"/>
                <w:lang w:val="sk-SK"/>
              </w:rPr>
              <w:t>Vydávanie osvedčení</w:t>
            </w:r>
            <w:r w:rsidR="00AB26B3" w:rsidRPr="00AB26B3">
              <w:rPr>
                <w:noProof/>
                <w:spacing w:val="-6"/>
                <w:lang w:val="sk-SK"/>
              </w:rPr>
              <w:t xml:space="preserve"> o </w:t>
            </w:r>
            <w:r w:rsidRPr="00AB26B3">
              <w:rPr>
                <w:noProof/>
                <w:spacing w:val="-6"/>
                <w:lang w:val="sk-SK"/>
              </w:rPr>
              <w:t xml:space="preserve">elektronickej totožnosti pre všetky súdne budovy, ktoré vlastnia alebo ktorým bolo udelené povolenie, prostredníctvom platformy elektronickej totožnosti.  </w:t>
            </w:r>
          </w:p>
        </w:tc>
      </w:tr>
      <w:tr w:rsidR="00302FC1" w:rsidRPr="00AB26B3" w14:paraId="04EE2079"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5689881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238</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75370B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16575 Urýchlenie výkonu spravodlivosti</w:t>
            </w:r>
          </w:p>
        </w:tc>
        <w:tc>
          <w:tcPr>
            <w:tcW w:w="1424" w:type="dxa"/>
            <w:tcBorders>
              <w:top w:val="single" w:sz="4" w:space="0" w:color="auto"/>
              <w:left w:val="nil"/>
              <w:bottom w:val="single" w:sz="4" w:space="0" w:color="auto"/>
              <w:right w:val="single" w:sz="4" w:space="0" w:color="auto"/>
            </w:tcBorders>
            <w:shd w:val="clear" w:color="auto" w:fill="C6EFCE"/>
            <w:noWrap/>
          </w:tcPr>
          <w:p w14:paraId="5BB4FDB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49752D44" w14:textId="093086E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Odborná príprava</w:t>
            </w:r>
            <w:r w:rsidR="00AB26B3" w:rsidRPr="00AB26B3">
              <w:rPr>
                <w:noProof/>
                <w:spacing w:val="-6"/>
                <w:lang w:val="sk-SK"/>
              </w:rPr>
              <w:t xml:space="preserve"> v </w:t>
            </w:r>
            <w:r w:rsidRPr="00AB26B3">
              <w:rPr>
                <w:noProof/>
                <w:spacing w:val="-6"/>
                <w:lang w:val="sk-SK"/>
              </w:rPr>
              <w:t>oblasti mediácie</w:t>
            </w:r>
            <w:r w:rsidR="00AB26B3" w:rsidRPr="00AB26B3">
              <w:rPr>
                <w:noProof/>
                <w:spacing w:val="-6"/>
                <w:lang w:val="sk-SK"/>
              </w:rPr>
              <w:t xml:space="preserve"> a </w:t>
            </w:r>
            <w:r w:rsidRPr="00AB26B3">
              <w:rPr>
                <w:noProof/>
                <w:spacing w:val="-6"/>
                <w:lang w:val="sk-SK"/>
              </w:rPr>
              <w:t xml:space="preserve">jednotného digitálneho systému pre mediačné centrá </w:t>
            </w:r>
          </w:p>
        </w:tc>
        <w:tc>
          <w:tcPr>
            <w:tcW w:w="1552" w:type="dxa"/>
            <w:tcBorders>
              <w:top w:val="single" w:sz="4" w:space="0" w:color="auto"/>
              <w:left w:val="nil"/>
              <w:bottom w:val="single" w:sz="4" w:space="0" w:color="auto"/>
              <w:right w:val="single" w:sz="4" w:space="0" w:color="auto"/>
            </w:tcBorders>
            <w:shd w:val="clear" w:color="auto" w:fill="C6EFCE"/>
            <w:noWrap/>
          </w:tcPr>
          <w:p w14:paraId="2174AED1" w14:textId="231540E9" w:rsidR="00302FC1" w:rsidRPr="00AB26B3" w:rsidRDefault="00D64F26">
            <w:pPr>
              <w:pStyle w:val="P68B1DB1-Normal12"/>
              <w:spacing w:after="0" w:line="240" w:lineRule="auto"/>
              <w:rPr>
                <w:noProof/>
                <w:spacing w:val="-6"/>
                <w:lang w:val="sk-SK"/>
              </w:rPr>
            </w:pPr>
            <w:r w:rsidRPr="00AB26B3">
              <w:rPr>
                <w:noProof/>
                <w:spacing w:val="-6"/>
                <w:lang w:val="sk-SK"/>
              </w:rPr>
              <w:t>Poskytovanie odbornej prípravy</w:t>
            </w:r>
            <w:r w:rsidR="00AB26B3" w:rsidRPr="00AB26B3">
              <w:rPr>
                <w:noProof/>
                <w:spacing w:val="-6"/>
                <w:lang w:val="sk-SK"/>
              </w:rPr>
              <w:t xml:space="preserve"> v </w:t>
            </w:r>
            <w:r w:rsidRPr="00AB26B3">
              <w:rPr>
                <w:noProof/>
                <w:spacing w:val="-6"/>
                <w:lang w:val="sk-SK"/>
              </w:rPr>
              <w:t>oblasti mediácie; jednotný digitálny systém pre mediačné centrá online</w:t>
            </w:r>
            <w:r w:rsidR="00AB26B3" w:rsidRPr="00AB26B3">
              <w:rPr>
                <w:noProof/>
                <w:spacing w:val="-6"/>
                <w:lang w:val="sk-SK"/>
              </w:rPr>
              <w:t xml:space="preserve"> a </w:t>
            </w:r>
            <w:r w:rsidRPr="00AB26B3">
              <w:rPr>
                <w:noProof/>
                <w:spacing w:val="-6"/>
                <w:lang w:val="sk-SK"/>
              </w:rPr>
              <w:t xml:space="preserve">prístupný </w:t>
            </w:r>
          </w:p>
        </w:tc>
        <w:tc>
          <w:tcPr>
            <w:tcW w:w="992" w:type="dxa"/>
            <w:tcBorders>
              <w:top w:val="single" w:sz="4" w:space="0" w:color="auto"/>
              <w:left w:val="nil"/>
              <w:bottom w:val="single" w:sz="4" w:space="0" w:color="auto"/>
              <w:right w:val="single" w:sz="4" w:space="0" w:color="auto"/>
            </w:tcBorders>
            <w:shd w:val="clear" w:color="auto" w:fill="C6EFCE"/>
            <w:noWrap/>
          </w:tcPr>
          <w:p w14:paraId="14633DE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3E498BD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2685E22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7941334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22" w:type="dxa"/>
            <w:tcBorders>
              <w:top w:val="single" w:sz="4" w:space="0" w:color="auto"/>
              <w:left w:val="nil"/>
              <w:bottom w:val="single" w:sz="4" w:space="0" w:color="auto"/>
              <w:right w:val="single" w:sz="4" w:space="0" w:color="auto"/>
            </w:tcBorders>
            <w:shd w:val="clear" w:color="auto" w:fill="C6EFCE"/>
            <w:noWrap/>
          </w:tcPr>
          <w:p w14:paraId="555A01F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885" w:type="dxa"/>
            <w:tcBorders>
              <w:top w:val="single" w:sz="4" w:space="0" w:color="auto"/>
              <w:left w:val="nil"/>
              <w:bottom w:val="single" w:sz="4" w:space="0" w:color="auto"/>
              <w:right w:val="single" w:sz="4" w:space="0" w:color="auto"/>
            </w:tcBorders>
            <w:shd w:val="clear" w:color="auto" w:fill="C6EFCE"/>
            <w:noWrap/>
          </w:tcPr>
          <w:p w14:paraId="499BB327" w14:textId="77777777" w:rsidR="00AB26B3" w:rsidRPr="00AB26B3" w:rsidRDefault="00D64F26">
            <w:pPr>
              <w:pStyle w:val="P68B1DB1-ListParagraph19"/>
              <w:numPr>
                <w:ilvl w:val="0"/>
                <w:numId w:val="46"/>
              </w:numPr>
              <w:spacing w:after="0" w:line="240" w:lineRule="auto"/>
              <w:ind w:left="262" w:hanging="327"/>
              <w:rPr>
                <w:noProof/>
                <w:spacing w:val="-6"/>
                <w:lang w:val="sk-SK"/>
              </w:rPr>
            </w:pPr>
            <w:r w:rsidRPr="00AB26B3">
              <w:rPr>
                <w:noProof/>
                <w:spacing w:val="-6"/>
                <w:lang w:val="sk-SK"/>
              </w:rPr>
              <w:t>Poskytovanie školení</w:t>
            </w:r>
            <w:r w:rsidR="00AB26B3" w:rsidRPr="00AB26B3">
              <w:rPr>
                <w:noProof/>
                <w:spacing w:val="-6"/>
                <w:lang w:val="sk-SK"/>
              </w:rPr>
              <w:t xml:space="preserve"> o </w:t>
            </w:r>
            <w:r w:rsidRPr="00AB26B3">
              <w:rPr>
                <w:noProof/>
                <w:spacing w:val="-6"/>
                <w:lang w:val="sk-SK"/>
              </w:rPr>
              <w:t>mediácii zo strany každého akreditovaného subjektu odborníkom pracujúcim</w:t>
            </w:r>
            <w:r w:rsidR="00AB26B3" w:rsidRPr="00AB26B3">
              <w:rPr>
                <w:noProof/>
                <w:spacing w:val="-6"/>
                <w:lang w:val="sk-SK"/>
              </w:rPr>
              <w:t xml:space="preserve"> v </w:t>
            </w:r>
            <w:r w:rsidRPr="00AB26B3">
              <w:rPr>
                <w:noProof/>
                <w:spacing w:val="-6"/>
                <w:lang w:val="sk-SK"/>
              </w:rPr>
              <w:t>oblasti práva a/alebo mediátorom</w:t>
            </w:r>
          </w:p>
          <w:p w14:paraId="17F74A67" w14:textId="6498810D" w:rsidR="00302FC1" w:rsidRPr="00AB26B3" w:rsidRDefault="00D64F26">
            <w:pPr>
              <w:pStyle w:val="P68B1DB1-Normal12"/>
              <w:spacing w:after="0" w:line="240" w:lineRule="auto"/>
              <w:ind w:left="273" w:hanging="273"/>
              <w:rPr>
                <w:b/>
                <w:noProof/>
                <w:spacing w:val="-6"/>
                <w:lang w:val="sk-SK"/>
              </w:rPr>
            </w:pPr>
            <w:r w:rsidRPr="00AB26B3">
              <w:rPr>
                <w:noProof/>
                <w:spacing w:val="-6"/>
                <w:lang w:val="sk-SK"/>
              </w:rPr>
              <w:t>II) Jednotný digitálny systém mediačných centier je online</w:t>
            </w:r>
            <w:r w:rsidR="00AB26B3" w:rsidRPr="00AB26B3">
              <w:rPr>
                <w:noProof/>
                <w:spacing w:val="-6"/>
                <w:lang w:val="sk-SK"/>
              </w:rPr>
              <w:t xml:space="preserve"> a </w:t>
            </w:r>
            <w:r w:rsidRPr="00AB26B3">
              <w:rPr>
                <w:noProof/>
                <w:spacing w:val="-6"/>
                <w:lang w:val="sk-SK"/>
              </w:rPr>
              <w:t>prístupný koncovým používateľom.</w:t>
            </w:r>
          </w:p>
        </w:tc>
      </w:tr>
      <w:tr w:rsidR="00302FC1" w:rsidRPr="00AB26B3" w14:paraId="7E78E847" w14:textId="77777777">
        <w:trPr>
          <w:trHeight w:val="309"/>
          <w:jc w:val="center"/>
        </w:trPr>
        <w:tc>
          <w:tcPr>
            <w:tcW w:w="592" w:type="dxa"/>
            <w:tcBorders>
              <w:top w:val="single" w:sz="4" w:space="0" w:color="auto"/>
              <w:left w:val="single" w:sz="4" w:space="0" w:color="auto"/>
              <w:bottom w:val="single" w:sz="4" w:space="0" w:color="auto"/>
              <w:right w:val="single" w:sz="4" w:space="0" w:color="auto"/>
            </w:tcBorders>
            <w:shd w:val="clear" w:color="auto" w:fill="C6EFCE"/>
            <w:noWrap/>
          </w:tcPr>
          <w:p w14:paraId="3E60674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239</w:t>
            </w:r>
          </w:p>
        </w:tc>
        <w:tc>
          <w:tcPr>
            <w:tcW w:w="1976" w:type="dxa"/>
            <w:gridSpan w:val="2"/>
            <w:tcBorders>
              <w:top w:val="single" w:sz="4" w:space="0" w:color="auto"/>
              <w:left w:val="nil"/>
              <w:bottom w:val="single" w:sz="4" w:space="0" w:color="auto"/>
              <w:right w:val="single" w:sz="4" w:space="0" w:color="auto"/>
            </w:tcBorders>
            <w:shd w:val="clear" w:color="auto" w:fill="C6EFCE"/>
            <w:noWrap/>
          </w:tcPr>
          <w:p w14:paraId="1366AD7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14 – 4.3. Zlepšiť efektívnosť justičného systému – 16727_Digitálna transformácia justície (elektronická justícia)</w:t>
            </w:r>
          </w:p>
        </w:tc>
        <w:tc>
          <w:tcPr>
            <w:tcW w:w="1424" w:type="dxa"/>
            <w:tcBorders>
              <w:top w:val="single" w:sz="4" w:space="0" w:color="auto"/>
              <w:left w:val="nil"/>
              <w:bottom w:val="single" w:sz="4" w:space="0" w:color="auto"/>
              <w:right w:val="single" w:sz="4" w:space="0" w:color="auto"/>
            </w:tcBorders>
            <w:shd w:val="clear" w:color="auto" w:fill="C6EFCE"/>
            <w:noWrap/>
          </w:tcPr>
          <w:p w14:paraId="651886B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7" w:type="dxa"/>
            <w:tcBorders>
              <w:top w:val="single" w:sz="4" w:space="0" w:color="auto"/>
              <w:left w:val="nil"/>
              <w:bottom w:val="single" w:sz="4" w:space="0" w:color="auto"/>
              <w:right w:val="single" w:sz="4" w:space="0" w:color="auto"/>
            </w:tcBorders>
            <w:shd w:val="clear" w:color="auto" w:fill="C6EFCE"/>
            <w:noWrap/>
          </w:tcPr>
          <w:p w14:paraId="78F40871" w14:textId="11F7AD4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Vedenie záznamov</w:t>
            </w:r>
            <w:r w:rsidR="00AB26B3" w:rsidRPr="00AB26B3">
              <w:rPr>
                <w:noProof/>
                <w:spacing w:val="-6"/>
                <w:lang w:val="sk-SK"/>
              </w:rPr>
              <w:t xml:space="preserve"> a </w:t>
            </w:r>
            <w:r w:rsidRPr="00AB26B3">
              <w:rPr>
                <w:noProof/>
                <w:spacing w:val="-6"/>
                <w:lang w:val="sk-SK"/>
              </w:rPr>
              <w:t>modernizácia IT</w:t>
            </w:r>
          </w:p>
        </w:tc>
        <w:tc>
          <w:tcPr>
            <w:tcW w:w="1552" w:type="dxa"/>
            <w:tcBorders>
              <w:top w:val="single" w:sz="4" w:space="0" w:color="auto"/>
              <w:left w:val="nil"/>
              <w:bottom w:val="single" w:sz="4" w:space="0" w:color="auto"/>
              <w:right w:val="single" w:sz="4" w:space="0" w:color="auto"/>
            </w:tcBorders>
            <w:shd w:val="clear" w:color="auto" w:fill="C6EFCE"/>
            <w:noWrap/>
          </w:tcPr>
          <w:p w14:paraId="7FD8CB98" w14:textId="6662E638" w:rsidR="00302FC1" w:rsidRPr="00AB26B3" w:rsidRDefault="00D64F26">
            <w:pPr>
              <w:pStyle w:val="P68B1DB1-Normal12"/>
              <w:spacing w:after="0" w:line="240" w:lineRule="auto"/>
              <w:rPr>
                <w:noProof/>
                <w:spacing w:val="-6"/>
                <w:lang w:val="sk-SK"/>
              </w:rPr>
            </w:pPr>
            <w:r w:rsidRPr="00AB26B3">
              <w:rPr>
                <w:noProof/>
                <w:spacing w:val="-6"/>
                <w:lang w:val="sk-SK"/>
              </w:rPr>
              <w:t>Poskytovanie vedenia záznamov</w:t>
            </w:r>
            <w:r w:rsidR="00AB26B3" w:rsidRPr="00AB26B3">
              <w:rPr>
                <w:noProof/>
                <w:spacing w:val="-6"/>
                <w:lang w:val="sk-SK"/>
              </w:rPr>
              <w:t xml:space="preserve"> o </w:t>
            </w:r>
            <w:r w:rsidRPr="00AB26B3">
              <w:rPr>
                <w:noProof/>
                <w:spacing w:val="-6"/>
                <w:lang w:val="sk-SK"/>
              </w:rPr>
              <w:t>súdoch</w:t>
            </w:r>
            <w:r w:rsidR="00AB26B3" w:rsidRPr="00AB26B3">
              <w:rPr>
                <w:noProof/>
                <w:spacing w:val="-6"/>
                <w:lang w:val="sk-SK"/>
              </w:rPr>
              <w:t xml:space="preserve"> a </w:t>
            </w:r>
            <w:r w:rsidRPr="00AB26B3">
              <w:rPr>
                <w:noProof/>
                <w:spacing w:val="-6"/>
                <w:lang w:val="sk-SK"/>
              </w:rPr>
              <w:t>aktualizáciách IT, ktoré sa vzťahujú na všetky čiastkové projekty</w:t>
            </w:r>
          </w:p>
        </w:tc>
        <w:tc>
          <w:tcPr>
            <w:tcW w:w="992" w:type="dxa"/>
            <w:tcBorders>
              <w:top w:val="single" w:sz="4" w:space="0" w:color="auto"/>
              <w:left w:val="nil"/>
              <w:bottom w:val="single" w:sz="4" w:space="0" w:color="auto"/>
              <w:right w:val="single" w:sz="4" w:space="0" w:color="auto"/>
            </w:tcBorders>
            <w:shd w:val="clear" w:color="auto" w:fill="C6EFCE"/>
            <w:noWrap/>
          </w:tcPr>
          <w:p w14:paraId="3B0792A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2C9139F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single" w:sz="4" w:space="0" w:color="auto"/>
              <w:left w:val="nil"/>
              <w:bottom w:val="single" w:sz="4" w:space="0" w:color="auto"/>
              <w:right w:val="single" w:sz="4" w:space="0" w:color="auto"/>
            </w:tcBorders>
            <w:shd w:val="clear" w:color="auto" w:fill="C6EFCE"/>
            <w:noWrap/>
          </w:tcPr>
          <w:p w14:paraId="5A69FF9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single" w:sz="4" w:space="0" w:color="auto"/>
              <w:left w:val="nil"/>
              <w:bottom w:val="single" w:sz="4" w:space="0" w:color="auto"/>
              <w:right w:val="single" w:sz="4" w:space="0" w:color="auto"/>
            </w:tcBorders>
            <w:shd w:val="clear" w:color="auto" w:fill="C6EFCE"/>
            <w:noWrap/>
          </w:tcPr>
          <w:p w14:paraId="2F7F208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22" w:type="dxa"/>
            <w:tcBorders>
              <w:top w:val="single" w:sz="4" w:space="0" w:color="auto"/>
              <w:left w:val="nil"/>
              <w:bottom w:val="single" w:sz="4" w:space="0" w:color="auto"/>
              <w:right w:val="single" w:sz="4" w:space="0" w:color="auto"/>
            </w:tcBorders>
            <w:shd w:val="clear" w:color="auto" w:fill="C6EFCE"/>
            <w:noWrap/>
          </w:tcPr>
          <w:p w14:paraId="3B10426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885" w:type="dxa"/>
            <w:tcBorders>
              <w:top w:val="single" w:sz="4" w:space="0" w:color="auto"/>
              <w:left w:val="nil"/>
              <w:bottom w:val="single" w:sz="4" w:space="0" w:color="auto"/>
              <w:right w:val="single" w:sz="4" w:space="0" w:color="auto"/>
            </w:tcBorders>
            <w:shd w:val="clear" w:color="auto" w:fill="C6EFCE"/>
            <w:noWrap/>
          </w:tcPr>
          <w:p w14:paraId="638DB741" w14:textId="77777777" w:rsidR="00AB26B3" w:rsidRPr="00AB26B3" w:rsidRDefault="00D64F26">
            <w:pPr>
              <w:pStyle w:val="P68B1DB1-Normal12"/>
              <w:spacing w:after="0" w:line="240" w:lineRule="auto"/>
              <w:rPr>
                <w:noProof/>
                <w:spacing w:val="-6"/>
                <w:lang w:val="sk-SK"/>
              </w:rPr>
            </w:pPr>
            <w:r w:rsidRPr="00AB26B3">
              <w:rPr>
                <w:noProof/>
                <w:spacing w:val="-6"/>
                <w:lang w:val="sk-SK"/>
              </w:rPr>
              <w:t>Dodanie všetkých zmluvných prvkov týkajúcich sa</w:t>
            </w:r>
            <w:r w:rsidR="00AB26B3" w:rsidRPr="00AB26B3">
              <w:rPr>
                <w:noProof/>
                <w:spacing w:val="-6"/>
                <w:lang w:val="sk-SK"/>
              </w:rPr>
              <w:t>:</w:t>
            </w:r>
          </w:p>
          <w:p w14:paraId="61E5C7C8" w14:textId="2C9ECF91" w:rsidR="00302FC1" w:rsidRPr="00AB26B3" w:rsidRDefault="00D64F26">
            <w:pPr>
              <w:pStyle w:val="P68B1DB1-Normal12"/>
              <w:spacing w:before="120" w:after="0" w:line="240" w:lineRule="auto"/>
              <w:ind w:left="360"/>
              <w:jc w:val="both"/>
              <w:rPr>
                <w:noProof/>
                <w:spacing w:val="-6"/>
                <w:lang w:val="sk-SK"/>
              </w:rPr>
            </w:pPr>
            <w:r w:rsidRPr="00AB26B3">
              <w:rPr>
                <w:noProof/>
                <w:spacing w:val="-6"/>
                <w:lang w:val="sk-SK"/>
              </w:rPr>
              <w:t>I) Systém vedenia záznamov súdov</w:t>
            </w:r>
          </w:p>
          <w:p w14:paraId="54B72B14" w14:textId="65B824FA" w:rsidR="00AB26B3" w:rsidRPr="00AB26B3" w:rsidRDefault="00D64F26">
            <w:pPr>
              <w:pStyle w:val="P68B1DB1-Normal12"/>
              <w:spacing w:before="120" w:after="0" w:line="259" w:lineRule="auto"/>
              <w:ind w:left="314"/>
              <w:contextualSpacing/>
              <w:jc w:val="both"/>
              <w:rPr>
                <w:noProof/>
                <w:spacing w:val="-6"/>
                <w:lang w:val="sk-SK"/>
              </w:rPr>
            </w:pPr>
            <w:r w:rsidRPr="00AB26B3">
              <w:rPr>
                <w:noProof/>
                <w:spacing w:val="-6"/>
                <w:lang w:val="sk-SK"/>
              </w:rPr>
              <w:t>II) IT systémy sektora spravodlivosti pre občianske</w:t>
            </w:r>
            <w:r w:rsidR="00AB26B3" w:rsidRPr="00AB26B3">
              <w:rPr>
                <w:noProof/>
                <w:spacing w:val="-6"/>
                <w:lang w:val="sk-SK"/>
              </w:rPr>
              <w:t xml:space="preserve"> a </w:t>
            </w:r>
            <w:r w:rsidRPr="00AB26B3">
              <w:rPr>
                <w:noProof/>
                <w:spacing w:val="-6"/>
                <w:lang w:val="sk-SK"/>
              </w:rPr>
              <w:t>trestné súdy, dvor audítorov</w:t>
            </w:r>
            <w:r w:rsidR="00AB26B3" w:rsidRPr="00AB26B3">
              <w:rPr>
                <w:noProof/>
                <w:spacing w:val="-6"/>
                <w:lang w:val="sk-SK"/>
              </w:rPr>
              <w:t xml:space="preserve"> a </w:t>
            </w:r>
            <w:r w:rsidRPr="00AB26B3">
              <w:rPr>
                <w:noProof/>
                <w:spacing w:val="-6"/>
                <w:lang w:val="sk-SK"/>
              </w:rPr>
              <w:t>vnútroštátne registre trestov</w:t>
            </w:r>
            <w:r w:rsidR="00AB26B3" w:rsidRPr="00AB26B3">
              <w:rPr>
                <w:noProof/>
                <w:spacing w:val="-6"/>
                <w:lang w:val="sk-SK"/>
              </w:rPr>
              <w:t>.</w:t>
            </w:r>
          </w:p>
          <w:p w14:paraId="5008D8FB" w14:textId="75338661"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bl>
    <w:p w14:paraId="7F73D67D" w14:textId="7777777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15FC0">
          <w:headerReference w:type="even" r:id="rId244"/>
          <w:headerReference w:type="default" r:id="rId245"/>
          <w:footerReference w:type="even" r:id="rId246"/>
          <w:footerReference w:type="default" r:id="rId247"/>
          <w:headerReference w:type="first" r:id="rId248"/>
          <w:footerReference w:type="first" r:id="rId249"/>
          <w:pgSz w:w="16839" w:h="11907" w:orient="landscape"/>
          <w:pgMar w:top="720" w:right="720" w:bottom="720" w:left="720" w:header="709" w:footer="212" w:gutter="0"/>
          <w:cols w:space="720"/>
          <w:docGrid w:linePitch="360"/>
        </w:sectPr>
      </w:pPr>
    </w:p>
    <w:p w14:paraId="70EEC7C0"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O. KOMPONENT 4.4: POSILNENIE FINANČNÉHO SEKTORA A KAPITÁLOVÝCH TRHOV</w:t>
      </w:r>
    </w:p>
    <w:p w14:paraId="00C4D97A" w14:textId="2B1190E2"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Cieľom tohto komponentu gréckeho plánu obnovy</w:t>
      </w:r>
      <w:r w:rsidR="00AB26B3" w:rsidRPr="00AB26B3">
        <w:rPr>
          <w:noProof/>
          <w:spacing w:val="-6"/>
          <w:lang w:val="sk-SK"/>
        </w:rPr>
        <w:t xml:space="preserve"> a </w:t>
      </w:r>
      <w:r w:rsidRPr="00AB26B3">
        <w:rPr>
          <w:noProof/>
          <w:spacing w:val="-6"/>
          <w:lang w:val="sk-SK"/>
        </w:rPr>
        <w:t>odolnosti je posilniť kapacitu finančného systému na podporu rozvoja hospodárstva prostredníctvom poskytovania financovania spoločnostiam</w:t>
      </w:r>
      <w:r w:rsidR="00AB26B3" w:rsidRPr="00AB26B3">
        <w:rPr>
          <w:noProof/>
          <w:spacing w:val="-6"/>
          <w:lang w:val="sk-SK"/>
        </w:rPr>
        <w:t xml:space="preserve"> a </w:t>
      </w:r>
      <w:r w:rsidRPr="00AB26B3">
        <w:rPr>
          <w:noProof/>
          <w:spacing w:val="-6"/>
          <w:lang w:val="sk-SK"/>
        </w:rPr>
        <w:t>jednotlivcom na rozvoj nových činností. Podporuje riešenie vysokých nesplácaných expozícií</w:t>
      </w:r>
      <w:r w:rsidR="00AB26B3" w:rsidRPr="00AB26B3">
        <w:rPr>
          <w:noProof/>
          <w:spacing w:val="-6"/>
          <w:lang w:val="sk-SK"/>
        </w:rPr>
        <w:t xml:space="preserve"> a </w:t>
      </w:r>
      <w:r w:rsidRPr="00AB26B3">
        <w:rPr>
          <w:noProof/>
          <w:spacing w:val="-6"/>
          <w:lang w:val="sk-SK"/>
        </w:rPr>
        <w:t>nesplácaných úverov</w:t>
      </w:r>
      <w:r w:rsidR="00AB26B3" w:rsidRPr="00AB26B3">
        <w:rPr>
          <w:noProof/>
          <w:spacing w:val="-6"/>
          <w:lang w:val="sk-SK"/>
        </w:rPr>
        <w:t xml:space="preserve"> v </w:t>
      </w:r>
      <w:r w:rsidRPr="00AB26B3">
        <w:rPr>
          <w:noProof/>
          <w:spacing w:val="-6"/>
          <w:lang w:val="sk-SK"/>
        </w:rPr>
        <w:t>gréckom bankovom sektore</w:t>
      </w:r>
      <w:r w:rsidR="00AB26B3" w:rsidRPr="00AB26B3">
        <w:rPr>
          <w:noProof/>
          <w:spacing w:val="-6"/>
          <w:lang w:val="sk-SK"/>
        </w:rPr>
        <w:t xml:space="preserve"> a </w:t>
      </w:r>
      <w:r w:rsidRPr="00AB26B3">
        <w:rPr>
          <w:noProof/>
          <w:spacing w:val="-6"/>
          <w:lang w:val="sk-SK"/>
        </w:rPr>
        <w:t>zároveň zlepšuje prístup</w:t>
      </w:r>
      <w:r w:rsidR="00AB26B3" w:rsidRPr="00AB26B3">
        <w:rPr>
          <w:noProof/>
          <w:spacing w:val="-6"/>
          <w:lang w:val="sk-SK"/>
        </w:rPr>
        <w:t xml:space="preserve"> k </w:t>
      </w:r>
      <w:r w:rsidRPr="00AB26B3">
        <w:rPr>
          <w:noProof/>
          <w:spacing w:val="-6"/>
          <w:lang w:val="sk-SK"/>
        </w:rPr>
        <w:t>informáciám</w:t>
      </w:r>
      <w:r w:rsidR="00AB26B3" w:rsidRPr="00AB26B3">
        <w:rPr>
          <w:noProof/>
          <w:spacing w:val="-6"/>
          <w:lang w:val="sk-SK"/>
        </w:rPr>
        <w:t xml:space="preserve"> o </w:t>
      </w:r>
      <w:r w:rsidRPr="00AB26B3">
        <w:rPr>
          <w:noProof/>
          <w:spacing w:val="-6"/>
          <w:lang w:val="sk-SK"/>
        </w:rPr>
        <w:t>úverových profiloch spoločností</w:t>
      </w:r>
      <w:r w:rsidR="00AB26B3" w:rsidRPr="00AB26B3">
        <w:rPr>
          <w:noProof/>
          <w:spacing w:val="-6"/>
          <w:lang w:val="sk-SK"/>
        </w:rPr>
        <w:t xml:space="preserve"> a </w:t>
      </w:r>
      <w:r w:rsidRPr="00AB26B3">
        <w:rPr>
          <w:noProof/>
          <w:spacing w:val="-6"/>
          <w:lang w:val="sk-SK"/>
        </w:rPr>
        <w:t>jednotlivcov na trhu</w:t>
      </w:r>
      <w:r w:rsidR="00AB26B3" w:rsidRPr="00AB26B3">
        <w:rPr>
          <w:noProof/>
          <w:spacing w:val="-6"/>
          <w:lang w:val="sk-SK"/>
        </w:rPr>
        <w:t>.</w:t>
      </w:r>
    </w:p>
    <w:p w14:paraId="64E4EE9C" w14:textId="643CF288" w:rsidR="00AB26B3" w:rsidRPr="00AB26B3" w:rsidRDefault="00D64F26">
      <w:pPr>
        <w:pStyle w:val="P68B1DB1-Normal5"/>
        <w:spacing w:before="120" w:after="120" w:line="240" w:lineRule="auto"/>
        <w:jc w:val="both"/>
        <w:rPr>
          <w:noProof/>
          <w:spacing w:val="-6"/>
          <w:lang w:val="sk-SK"/>
        </w:rPr>
      </w:pPr>
      <w:r w:rsidRPr="00AB26B3">
        <w:rPr>
          <w:noProof/>
          <w:spacing w:val="-6"/>
          <w:lang w:val="sk-SK"/>
        </w:rPr>
        <w:t>Komponent podporuje aj riešenie súkromnej zadlženosti</w:t>
      </w:r>
      <w:r w:rsidR="00AB26B3" w:rsidRPr="00AB26B3">
        <w:rPr>
          <w:noProof/>
          <w:spacing w:val="-6"/>
          <w:lang w:val="sk-SK"/>
        </w:rPr>
        <w:t xml:space="preserve"> a </w:t>
      </w:r>
      <w:r w:rsidRPr="00AB26B3">
        <w:rPr>
          <w:noProof/>
          <w:spacing w:val="-6"/>
          <w:lang w:val="sk-SK"/>
        </w:rPr>
        <w:t>posilňuje kapitálové trhy. Štrukturálne zmeny</w:t>
      </w:r>
      <w:r w:rsidR="00AB26B3" w:rsidRPr="00AB26B3">
        <w:rPr>
          <w:noProof/>
          <w:spacing w:val="-6"/>
          <w:lang w:val="sk-SK"/>
        </w:rPr>
        <w:t xml:space="preserve"> v </w:t>
      </w:r>
      <w:r w:rsidRPr="00AB26B3">
        <w:rPr>
          <w:noProof/>
          <w:spacing w:val="-6"/>
          <w:lang w:val="sk-SK"/>
        </w:rPr>
        <w:t>týchto dvoch oblastiach prispejú</w:t>
      </w:r>
      <w:r w:rsidR="00AB26B3" w:rsidRPr="00AB26B3">
        <w:rPr>
          <w:noProof/>
          <w:spacing w:val="-6"/>
          <w:lang w:val="sk-SK"/>
        </w:rPr>
        <w:t xml:space="preserve"> k </w:t>
      </w:r>
      <w:r w:rsidRPr="00AB26B3">
        <w:rPr>
          <w:noProof/>
          <w:spacing w:val="-6"/>
          <w:lang w:val="sk-SK"/>
        </w:rPr>
        <w:t>rastu</w:t>
      </w:r>
      <w:r w:rsidR="00AB26B3" w:rsidRPr="00AB26B3">
        <w:rPr>
          <w:noProof/>
          <w:spacing w:val="-6"/>
          <w:lang w:val="sk-SK"/>
        </w:rPr>
        <w:t xml:space="preserve"> a </w:t>
      </w:r>
      <w:r w:rsidRPr="00AB26B3">
        <w:rPr>
          <w:noProof/>
          <w:spacing w:val="-6"/>
          <w:lang w:val="sk-SK"/>
        </w:rPr>
        <w:t>zvýšia hospodársku odolnosť Grécka voči budúcim otrasom</w:t>
      </w:r>
      <w:r w:rsidR="00AB26B3" w:rsidRPr="00AB26B3">
        <w:rPr>
          <w:noProof/>
          <w:spacing w:val="-6"/>
          <w:lang w:val="sk-SK"/>
        </w:rPr>
        <w:t>.</w:t>
      </w:r>
    </w:p>
    <w:p w14:paraId="6683BE64" w14:textId="0F097A6B" w:rsidR="00AB26B3" w:rsidRPr="00AB26B3" w:rsidRDefault="00D64F26">
      <w:pPr>
        <w:pStyle w:val="P68B1DB1-Normal5"/>
        <w:spacing w:before="120" w:after="120" w:line="240" w:lineRule="auto"/>
        <w:jc w:val="both"/>
        <w:rPr>
          <w:noProof/>
          <w:spacing w:val="-6"/>
          <w:lang w:val="sk-SK"/>
        </w:rPr>
      </w:pPr>
      <w:r w:rsidRPr="00AB26B3">
        <w:rPr>
          <w:noProof/>
          <w:spacing w:val="-6"/>
          <w:lang w:val="sk-SK"/>
        </w:rPr>
        <w:t>Reformy</w:t>
      </w:r>
      <w:r w:rsidR="00AB26B3" w:rsidRPr="00AB26B3">
        <w:rPr>
          <w:noProof/>
          <w:spacing w:val="-6"/>
          <w:lang w:val="sk-SK"/>
        </w:rPr>
        <w:t xml:space="preserve"> v </w:t>
      </w:r>
      <w:r w:rsidRPr="00AB26B3">
        <w:rPr>
          <w:noProof/>
          <w:spacing w:val="-6"/>
          <w:lang w:val="sk-SK"/>
        </w:rPr>
        <w:t>rámci tohto komponentu pozostávajú z</w:t>
      </w:r>
      <w:r w:rsidR="00AB26B3" w:rsidRPr="00AB26B3">
        <w:rPr>
          <w:noProof/>
          <w:spacing w:val="-6"/>
          <w:lang w:val="sk-SK"/>
        </w:rPr>
        <w:t>:</w:t>
      </w:r>
    </w:p>
    <w:p w14:paraId="24113C5E" w14:textId="77777777" w:rsidR="00AB26B3" w:rsidRPr="00AB26B3" w:rsidRDefault="00D64F26">
      <w:pPr>
        <w:pStyle w:val="P68B1DB1-Normal5"/>
        <w:numPr>
          <w:ilvl w:val="0"/>
          <w:numId w:val="49"/>
        </w:numPr>
        <w:spacing w:before="120" w:after="120" w:line="240" w:lineRule="auto"/>
        <w:ind w:left="360"/>
        <w:jc w:val="both"/>
        <w:rPr>
          <w:noProof/>
          <w:spacing w:val="-6"/>
          <w:lang w:val="sk-SK"/>
        </w:rPr>
      </w:pPr>
      <w:r w:rsidRPr="00AB26B3">
        <w:rPr>
          <w:noProof/>
          <w:spacing w:val="-6"/>
          <w:lang w:val="sk-SK"/>
        </w:rPr>
        <w:t>Posilnený dohľad nad kapitálovým trhom</w:t>
      </w:r>
      <w:r w:rsidR="00AB26B3" w:rsidRPr="00AB26B3">
        <w:rPr>
          <w:noProof/>
          <w:spacing w:val="-6"/>
          <w:lang w:val="sk-SK"/>
        </w:rPr>
        <w:t xml:space="preserve"> a </w:t>
      </w:r>
      <w:r w:rsidRPr="00AB26B3">
        <w:rPr>
          <w:noProof/>
          <w:spacing w:val="-6"/>
          <w:lang w:val="sk-SK"/>
        </w:rPr>
        <w:t>dôveryhodnosť</w:t>
      </w:r>
    </w:p>
    <w:p w14:paraId="3EBA179B" w14:textId="77777777" w:rsidR="00AB26B3" w:rsidRPr="00AB26B3" w:rsidRDefault="00D64F26">
      <w:pPr>
        <w:pStyle w:val="P68B1DB1-Normal5"/>
        <w:numPr>
          <w:ilvl w:val="0"/>
          <w:numId w:val="49"/>
        </w:numPr>
        <w:spacing w:before="120" w:after="120" w:line="240" w:lineRule="auto"/>
        <w:ind w:left="360"/>
        <w:jc w:val="both"/>
        <w:rPr>
          <w:noProof/>
          <w:spacing w:val="-6"/>
          <w:lang w:val="sk-SK"/>
        </w:rPr>
      </w:pPr>
      <w:r w:rsidRPr="00AB26B3">
        <w:rPr>
          <w:noProof/>
          <w:spacing w:val="-6"/>
          <w:lang w:val="sk-SK"/>
        </w:rPr>
        <w:t>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w:t>
      </w:r>
    </w:p>
    <w:p w14:paraId="1BCD128B" w14:textId="77777777" w:rsidR="00AB26B3" w:rsidRPr="00AB26B3" w:rsidRDefault="00D64F26">
      <w:pPr>
        <w:pStyle w:val="P68B1DB1-Normal7"/>
        <w:numPr>
          <w:ilvl w:val="0"/>
          <w:numId w:val="49"/>
        </w:numPr>
        <w:spacing w:before="120" w:after="120" w:line="240" w:lineRule="auto"/>
        <w:ind w:left="360"/>
        <w:jc w:val="both"/>
        <w:rPr>
          <w:noProof/>
          <w:spacing w:val="-6"/>
          <w:lang w:val="sk-SK"/>
        </w:rPr>
      </w:pPr>
      <w:r w:rsidRPr="00AB26B3">
        <w:rPr>
          <w:noProof/>
          <w:spacing w:val="-6"/>
          <w:lang w:val="sk-SK"/>
        </w:rPr>
        <w:t>Modernizácia digitálnej infraštruktúry potrebnej na realizáciu nového jednotného rámca pre platobnú neschopnosť na reštrukturalizáciu dlhu</w:t>
      </w:r>
      <w:r w:rsidR="00AB26B3" w:rsidRPr="00AB26B3">
        <w:rPr>
          <w:noProof/>
          <w:spacing w:val="-6"/>
          <w:lang w:val="sk-SK"/>
        </w:rPr>
        <w:t xml:space="preserve"> a </w:t>
      </w:r>
      <w:r w:rsidRPr="00AB26B3">
        <w:rPr>
          <w:noProof/>
          <w:spacing w:val="-6"/>
          <w:lang w:val="sk-SK"/>
        </w:rPr>
        <w:t>druhú šancu</w:t>
      </w:r>
    </w:p>
    <w:p w14:paraId="254D73E2" w14:textId="04285EE4" w:rsidR="00AB26B3" w:rsidRPr="00AB26B3" w:rsidRDefault="00D64F26">
      <w:pPr>
        <w:pStyle w:val="P68B1DB1-Normal8"/>
        <w:spacing w:before="120" w:after="120" w:line="240" w:lineRule="auto"/>
        <w:jc w:val="both"/>
        <w:rPr>
          <w:rFonts w:ascii="Times New Roman" w:hAnsi="Times New Roman"/>
          <w:noProof/>
          <w:spacing w:val="-6"/>
          <w:lang w:val="sk-SK"/>
        </w:rPr>
      </w:pPr>
      <w:r w:rsidRPr="00AB26B3">
        <w:rPr>
          <w:rFonts w:ascii="Times New Roman" w:hAnsi="Times New Roman"/>
          <w:noProof/>
          <w:spacing w:val="-6"/>
          <w:lang w:val="sk-SK"/>
        </w:rPr>
        <w:t>Niektoré</w:t>
      </w:r>
      <w:r w:rsidR="00AB26B3" w:rsidRPr="00AB26B3">
        <w:rPr>
          <w:rFonts w:ascii="Times New Roman" w:hAnsi="Times New Roman"/>
          <w:noProof/>
          <w:spacing w:val="-6"/>
          <w:lang w:val="sk-SK"/>
        </w:rPr>
        <w:t xml:space="preserve"> z </w:t>
      </w:r>
      <w:r w:rsidRPr="00AB26B3">
        <w:rPr>
          <w:rFonts w:ascii="Times New Roman" w:hAnsi="Times New Roman"/>
          <w:noProof/>
          <w:spacing w:val="-6"/>
          <w:lang w:val="sk-SK"/>
        </w:rPr>
        <w:t>týchto reforiem zahŕňajú opatrenia na riešenie informačných medzier, ktoré bránia úspešnému toku úverov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účinnému monitorovaniu rizík. Ide o</w:t>
      </w:r>
      <w:r w:rsidRPr="00AB26B3">
        <w:rPr>
          <w:rFonts w:ascii="Times New Roman" w:eastAsiaTheme="minorEastAsia" w:hAnsi="Times New Roman" w:cstheme="minorBidi"/>
          <w:noProof/>
          <w:spacing w:val="-6"/>
          <w:lang w:val="sk-SK"/>
        </w:rPr>
        <w:t xml:space="preserve">vytvorenie monitorovacieho registra súkromného </w:t>
      </w:r>
      <w:r w:rsidRPr="00AB26B3">
        <w:rPr>
          <w:rFonts w:ascii="Times New Roman" w:hAnsi="Times New Roman"/>
          <w:noProof/>
          <w:spacing w:val="-6"/>
          <w:lang w:val="sk-SK"/>
        </w:rPr>
        <w:t>dlhu, vytvorenie verejného informačného systému</w:t>
      </w:r>
      <w:r w:rsidR="00AB26B3" w:rsidRPr="00AB26B3">
        <w:rPr>
          <w:rFonts w:ascii="Times New Roman" w:hAnsi="Times New Roman"/>
          <w:noProof/>
          <w:spacing w:val="-6"/>
          <w:lang w:val="sk-SK"/>
        </w:rPr>
        <w:t xml:space="preserve"> o </w:t>
      </w:r>
      <w:r w:rsidRPr="00AB26B3">
        <w:rPr>
          <w:rFonts w:ascii="Times New Roman" w:hAnsi="Times New Roman"/>
          <w:noProof/>
          <w:spacing w:val="-6"/>
          <w:lang w:val="sk-SK"/>
        </w:rPr>
        <w:t>úverových ratingoch</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centrálneho úverového registra. Centrálny register úverov okrem toho prostredníctvom zberu príslušných údajov prispieva aj</w:t>
      </w:r>
      <w:r w:rsidR="00AB26B3" w:rsidRPr="00AB26B3">
        <w:rPr>
          <w:rFonts w:ascii="Times New Roman" w:hAnsi="Times New Roman"/>
          <w:noProof/>
          <w:spacing w:val="-6"/>
          <w:lang w:val="sk-SK"/>
        </w:rPr>
        <w:t xml:space="preserve"> k </w:t>
      </w:r>
      <w:r w:rsidRPr="00AB26B3">
        <w:rPr>
          <w:rFonts w:ascii="Times New Roman" w:hAnsi="Times New Roman"/>
          <w:noProof/>
          <w:spacing w:val="-6"/>
          <w:lang w:val="sk-SK"/>
        </w:rPr>
        <w:t>monitorovaniu vývoja úverovej expanzie strediskom pre monitorovanie úverovej expanzie. Tieto opatrenia prispievajú aj</w:t>
      </w:r>
      <w:r w:rsidR="00AB26B3" w:rsidRPr="00AB26B3">
        <w:rPr>
          <w:rFonts w:ascii="Times New Roman" w:hAnsi="Times New Roman"/>
          <w:noProof/>
          <w:spacing w:val="-6"/>
          <w:lang w:val="sk-SK"/>
        </w:rPr>
        <w:t xml:space="preserve"> k </w:t>
      </w:r>
      <w:r w:rsidRPr="00AB26B3">
        <w:rPr>
          <w:rFonts w:ascii="Times New Roman" w:hAnsi="Times New Roman"/>
          <w:noProof/>
          <w:spacing w:val="-6"/>
          <w:lang w:val="sk-SK"/>
        </w:rPr>
        <w:t>digitálnej transformácii gréckeho hospodárstva, keďže sa opierajú</w:t>
      </w:r>
      <w:r w:rsidR="00AB26B3" w:rsidRPr="00AB26B3">
        <w:rPr>
          <w:rFonts w:ascii="Times New Roman" w:hAnsi="Times New Roman"/>
          <w:noProof/>
          <w:spacing w:val="-6"/>
          <w:lang w:val="sk-SK"/>
        </w:rPr>
        <w:t xml:space="preserve"> o </w:t>
      </w:r>
      <w:r w:rsidRPr="00AB26B3">
        <w:rPr>
          <w:rFonts w:ascii="Times New Roman" w:hAnsi="Times New Roman"/>
          <w:noProof/>
          <w:spacing w:val="-6"/>
          <w:lang w:val="sk-SK"/>
        </w:rPr>
        <w:t>informačné technológie</w:t>
      </w:r>
      <w:r w:rsidR="00AB26B3" w:rsidRPr="00AB26B3">
        <w:rPr>
          <w:rFonts w:ascii="Times New Roman" w:hAnsi="Times New Roman"/>
          <w:noProof/>
          <w:spacing w:val="-6"/>
          <w:lang w:val="sk-SK"/>
        </w:rPr>
        <w:t>.</w:t>
      </w:r>
    </w:p>
    <w:p w14:paraId="75351C5E" w14:textId="4E876EED"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Opatrenia</w:t>
      </w:r>
      <w:r w:rsidR="00AB26B3" w:rsidRPr="00AB26B3">
        <w:rPr>
          <w:noProof/>
          <w:spacing w:val="-6"/>
          <w:lang w:val="sk-SK"/>
        </w:rPr>
        <w:t xml:space="preserve"> v </w:t>
      </w:r>
      <w:r w:rsidRPr="00AB26B3">
        <w:rPr>
          <w:noProof/>
          <w:spacing w:val="-6"/>
          <w:lang w:val="sk-SK"/>
        </w:rPr>
        <w:t>rámci tohto komponentu posilňujú hospodársku</w:t>
      </w:r>
      <w:r w:rsidR="00AB26B3" w:rsidRPr="00AB26B3">
        <w:rPr>
          <w:noProof/>
          <w:spacing w:val="-6"/>
          <w:lang w:val="sk-SK"/>
        </w:rPr>
        <w:t xml:space="preserve"> a </w:t>
      </w:r>
      <w:r w:rsidRPr="00AB26B3">
        <w:rPr>
          <w:noProof/>
          <w:spacing w:val="-6"/>
          <w:lang w:val="sk-SK"/>
        </w:rPr>
        <w:t>inštitucionálnu odolnosť, posilňujú pripravenosť na krízy</w:t>
      </w:r>
      <w:r w:rsidR="00AB26B3" w:rsidRPr="00AB26B3">
        <w:rPr>
          <w:noProof/>
          <w:spacing w:val="-6"/>
          <w:lang w:val="sk-SK"/>
        </w:rPr>
        <w:t xml:space="preserve"> a </w:t>
      </w:r>
      <w:r w:rsidRPr="00AB26B3">
        <w:rPr>
          <w:noProof/>
          <w:spacing w:val="-6"/>
          <w:lang w:val="sk-SK"/>
        </w:rPr>
        <w:t>inštitucionálne kapacity,</w:t>
      </w:r>
      <w:r w:rsidR="00AB26B3" w:rsidRPr="00AB26B3">
        <w:rPr>
          <w:noProof/>
          <w:spacing w:val="-6"/>
          <w:lang w:val="sk-SK"/>
        </w:rPr>
        <w:t xml:space="preserve"> a </w:t>
      </w:r>
      <w:r w:rsidRPr="00AB26B3">
        <w:rPr>
          <w:noProof/>
          <w:spacing w:val="-6"/>
          <w:lang w:val="sk-SK"/>
        </w:rPr>
        <w:t>preto podporujú plnenie odporúčania pre danú krajinu týkajúceho sa „štrukturálnych reforiem na zlepšenie fungovania hospodárstva“ (odporúčanie pre danú krajinu 1 2019</w:t>
      </w:r>
      <w:r w:rsidR="00AB26B3" w:rsidRPr="00AB26B3">
        <w:rPr>
          <w:noProof/>
          <w:spacing w:val="-6"/>
          <w:lang w:val="sk-SK"/>
        </w:rPr>
        <w:t xml:space="preserve"> a </w:t>
      </w:r>
      <w:r w:rsidRPr="00AB26B3">
        <w:rPr>
          <w:noProof/>
          <w:spacing w:val="-6"/>
          <w:lang w:val="sk-SK"/>
        </w:rPr>
        <w:t>odporúčanie pre danú krajinu 4 2020).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118E42E1" w14:textId="632F8C6C"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O.1.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19A8679D" w14:textId="35D336D9"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Posilnený dohľad nad kapitálovým trhom</w:t>
      </w:r>
      <w:r w:rsidR="00AB26B3" w:rsidRPr="00AB26B3">
        <w:rPr>
          <w:noProof/>
          <w:spacing w:val="-6"/>
          <w:lang w:val="sk-SK"/>
        </w:rPr>
        <w:t xml:space="preserve"> a </w:t>
      </w:r>
      <w:r w:rsidRPr="00AB26B3">
        <w:rPr>
          <w:noProof/>
          <w:spacing w:val="-6"/>
          <w:lang w:val="sk-SK"/>
        </w:rPr>
        <w:t>dôveryhodnosť (opatrenie ID 16581)</w:t>
      </w:r>
    </w:p>
    <w:p w14:paraId="581B445C" w14:textId="26A84C07"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posilniť dohľad nad kapitálovými trhmi. Opatrenie pozostáva</w:t>
      </w:r>
      <w:r w:rsidR="00AB26B3" w:rsidRPr="00AB26B3">
        <w:rPr>
          <w:noProof/>
          <w:spacing w:val="-6"/>
          <w:lang w:val="sk-SK"/>
        </w:rPr>
        <w:t xml:space="preserve"> z </w:t>
      </w:r>
      <w:r w:rsidRPr="00AB26B3">
        <w:rPr>
          <w:noProof/>
          <w:spacing w:val="-6"/>
          <w:lang w:val="sk-SK"/>
        </w:rPr>
        <w:t>modernizácie IT systémov</w:t>
      </w:r>
      <w:r w:rsidR="00AB26B3" w:rsidRPr="00AB26B3">
        <w:rPr>
          <w:noProof/>
          <w:spacing w:val="-6"/>
          <w:lang w:val="sk-SK"/>
        </w:rPr>
        <w:t xml:space="preserve"> a </w:t>
      </w:r>
      <w:r w:rsidRPr="00AB26B3">
        <w:rPr>
          <w:noProof/>
          <w:spacing w:val="-6"/>
          <w:lang w:val="sk-SK"/>
        </w:rPr>
        <w:t>postupov kybernetickej bezpečnosti Helénskej komisie pre kapitálový trh (HCMC)</w:t>
      </w:r>
      <w:r w:rsidR="00AB26B3" w:rsidRPr="00AB26B3">
        <w:rPr>
          <w:noProof/>
          <w:spacing w:val="-6"/>
          <w:lang w:val="sk-SK"/>
        </w:rPr>
        <w:t xml:space="preserve"> a </w:t>
      </w:r>
      <w:r w:rsidRPr="00AB26B3">
        <w:rPr>
          <w:noProof/>
          <w:spacing w:val="-6"/>
          <w:lang w:val="sk-SK"/>
        </w:rPr>
        <w:t>uverejnenia administratívnej kodifikácie pre kapitálové trhy.</w:t>
      </w:r>
    </w:p>
    <w:p w14:paraId="2D9BDC8F" w14:textId="4C7AA78F"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 (opatrenie ID 16957)</w:t>
      </w:r>
    </w:p>
    <w:p w14:paraId="4F69343D" w14:textId="3942CD9F" w:rsidR="00302FC1" w:rsidRPr="00AB26B3" w:rsidRDefault="00D64F26">
      <w:pPr>
        <w:pStyle w:val="P68B1DB1-Normal7"/>
        <w:spacing w:before="120" w:after="120" w:line="240" w:lineRule="auto"/>
        <w:jc w:val="both"/>
        <w:rPr>
          <w:noProof/>
          <w:color w:val="000000" w:themeColor="text1"/>
          <w:spacing w:val="-6"/>
          <w:lang w:val="sk-SK"/>
        </w:rPr>
      </w:pPr>
      <w:r w:rsidRPr="00AB26B3">
        <w:rPr>
          <w:noProof/>
          <w:spacing w:val="-6"/>
          <w:lang w:val="sk-SK"/>
        </w:rPr>
        <w:t>Cieľom tejto reformy je znížiť objem súkromného dlhu zlepšením procesu platobnej neschopnosti</w:t>
      </w:r>
      <w:r w:rsidR="00AB26B3" w:rsidRPr="00AB26B3">
        <w:rPr>
          <w:noProof/>
          <w:spacing w:val="-6"/>
          <w:lang w:val="sk-SK"/>
        </w:rPr>
        <w:t xml:space="preserve"> a </w:t>
      </w:r>
      <w:r w:rsidRPr="00AB26B3">
        <w:rPr>
          <w:noProof/>
          <w:spacing w:val="-6"/>
          <w:lang w:val="sk-SK"/>
        </w:rPr>
        <w:t>posilnením postavenia trhu</w:t>
      </w:r>
      <w:r w:rsidR="00AB26B3" w:rsidRPr="00AB26B3">
        <w:rPr>
          <w:noProof/>
          <w:spacing w:val="-6"/>
          <w:lang w:val="sk-SK"/>
        </w:rPr>
        <w:t xml:space="preserve"> s </w:t>
      </w:r>
      <w:r w:rsidRPr="00AB26B3">
        <w:rPr>
          <w:noProof/>
          <w:spacing w:val="-6"/>
          <w:lang w:val="sk-SK"/>
        </w:rPr>
        <w:t>nesplácanými úvermi. Reforma pozostáva zo zriadenia IT systémov, ktoré monitorujú úverovú bonitu dlžníkov, vzorov údajov na preverovanie portfólia, zmien Občianskeho súdneho poriadku</w:t>
      </w:r>
      <w:r w:rsidR="00AB26B3" w:rsidRPr="00AB26B3">
        <w:rPr>
          <w:noProof/>
          <w:spacing w:val="-6"/>
          <w:lang w:val="sk-SK"/>
        </w:rPr>
        <w:t xml:space="preserve"> a </w:t>
      </w:r>
      <w:r w:rsidRPr="00AB26B3">
        <w:rPr>
          <w:noProof/>
          <w:spacing w:val="-6"/>
          <w:lang w:val="sk-SK"/>
        </w:rPr>
        <w:t>ustanovení</w:t>
      </w:r>
      <w:r w:rsidR="00AB26B3" w:rsidRPr="00AB26B3">
        <w:rPr>
          <w:noProof/>
          <w:spacing w:val="-6"/>
          <w:lang w:val="sk-SK"/>
        </w:rPr>
        <w:t xml:space="preserve"> o </w:t>
      </w:r>
      <w:r w:rsidRPr="00AB26B3">
        <w:rPr>
          <w:noProof/>
          <w:spacing w:val="-6"/>
          <w:lang w:val="sk-SK"/>
        </w:rPr>
        <w:t>vytvorení mechanizmu na získanie dátumov pojednávania pre prebiehajúce prípady likvidácie skôr.</w:t>
      </w:r>
    </w:p>
    <w:p w14:paraId="1205DD48" w14:textId="2052F1C1"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Modernizácia digitálnej infraštruktúry potrebnej na zabezpečenie nového jednotného rámca pre platobnú neschopnosť na reštrukturalizáciu dlhu</w:t>
      </w:r>
      <w:r w:rsidR="00AB26B3" w:rsidRPr="00AB26B3">
        <w:rPr>
          <w:noProof/>
          <w:spacing w:val="-6"/>
          <w:lang w:val="sk-SK"/>
        </w:rPr>
        <w:t xml:space="preserve"> a </w:t>
      </w:r>
      <w:r w:rsidRPr="00AB26B3">
        <w:rPr>
          <w:noProof/>
          <w:spacing w:val="-6"/>
          <w:lang w:val="sk-SK"/>
        </w:rPr>
        <w:t>druhú šancu (opatrenie ID 16580)</w:t>
      </w:r>
    </w:p>
    <w:p w14:paraId="0606D3D3" w14:textId="303B7AF5" w:rsidR="00302FC1" w:rsidRPr="00AB26B3" w:rsidRDefault="00D64F26">
      <w:pPr>
        <w:pStyle w:val="P68B1DB1-Normal7"/>
        <w:spacing w:before="120" w:after="120" w:line="240" w:lineRule="auto"/>
        <w:jc w:val="both"/>
        <w:rPr>
          <w:rFonts w:cs="Times New Roman"/>
          <w:b/>
          <w:bCs/>
          <w:noProof/>
          <w:spacing w:val="-6"/>
          <w:u w:val="single"/>
          <w:lang w:val="sk-SK"/>
        </w:rPr>
      </w:pPr>
      <w:r w:rsidRPr="00AB26B3">
        <w:rPr>
          <w:noProof/>
          <w:spacing w:val="-6"/>
          <w:lang w:val="sk-SK"/>
        </w:rPr>
        <w:t>Cieľom reformy je podporiť postupy včasného varovania</w:t>
      </w:r>
      <w:r w:rsidR="00AB26B3" w:rsidRPr="00AB26B3">
        <w:rPr>
          <w:noProof/>
          <w:spacing w:val="-6"/>
          <w:lang w:val="sk-SK"/>
        </w:rPr>
        <w:t xml:space="preserve"> a </w:t>
      </w:r>
      <w:r w:rsidRPr="00AB26B3">
        <w:rPr>
          <w:noProof/>
          <w:spacing w:val="-6"/>
          <w:lang w:val="sk-SK"/>
        </w:rPr>
        <w:t>preventívnej reštrukturalizácie dlhu. Reforma pozostáva</w:t>
      </w:r>
      <w:r w:rsidR="00AB26B3" w:rsidRPr="00AB26B3">
        <w:rPr>
          <w:noProof/>
          <w:spacing w:val="-6"/>
          <w:lang w:val="sk-SK"/>
        </w:rPr>
        <w:t xml:space="preserve"> z </w:t>
      </w:r>
      <w:r w:rsidRPr="00AB26B3">
        <w:rPr>
          <w:noProof/>
          <w:spacing w:val="-6"/>
          <w:lang w:val="sk-SK"/>
        </w:rPr>
        <w:t>modernizácie informačných systémov včasného varovania</w:t>
      </w:r>
      <w:r w:rsidR="00AB26B3" w:rsidRPr="00AB26B3">
        <w:rPr>
          <w:noProof/>
          <w:spacing w:val="-6"/>
          <w:lang w:val="sk-SK"/>
        </w:rPr>
        <w:t xml:space="preserve"> a </w:t>
      </w:r>
      <w:r w:rsidRPr="00AB26B3">
        <w:rPr>
          <w:noProof/>
          <w:spacing w:val="-6"/>
          <w:lang w:val="sk-SK"/>
        </w:rPr>
        <w:t>reštrukturalizácie dlhu prevádzkovaných ministerstvom financií/Generálnym sekretariátom finančného sektora</w:t>
      </w:r>
      <w:r w:rsidR="00AB26B3" w:rsidRPr="00AB26B3">
        <w:rPr>
          <w:noProof/>
          <w:spacing w:val="-6"/>
          <w:lang w:val="sk-SK"/>
        </w:rPr>
        <w:t xml:space="preserve"> a </w:t>
      </w:r>
      <w:r w:rsidRPr="00AB26B3">
        <w:rPr>
          <w:noProof/>
          <w:spacing w:val="-6"/>
          <w:lang w:val="sk-SK"/>
        </w:rPr>
        <w:t>riadenia súkromného dlhu (SecPD).</w:t>
      </w:r>
    </w:p>
    <w:p w14:paraId="4EF8EFC3"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250"/>
          <w:headerReference w:type="default" r:id="rId251"/>
          <w:footerReference w:type="even" r:id="rId252"/>
          <w:footerReference w:type="default" r:id="rId253"/>
          <w:headerReference w:type="first" r:id="rId254"/>
          <w:footerReference w:type="first" r:id="rId255"/>
          <w:pgSz w:w="11906" w:h="16838"/>
          <w:pgMar w:top="1417" w:right="1417" w:bottom="1417" w:left="1417" w:header="708" w:footer="708" w:gutter="0"/>
          <w:cols w:space="708"/>
          <w:docGrid w:linePitch="360"/>
        </w:sectPr>
      </w:pPr>
    </w:p>
    <w:p w14:paraId="3F12E8D4" w14:textId="5CFAC31F"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O.2.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299BB7E7" w14:textId="2964F204"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22: Posilnenie finančného sektora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kapitálových trhov</w:t>
      </w:r>
    </w:p>
    <w:p w14:paraId="55EAD084" w14:textId="7F94BEF9" w:rsidR="00302FC1" w:rsidRPr="00AB26B3" w:rsidRDefault="00D64F26">
      <w:pPr>
        <w:pStyle w:val="P68B1DB1-Normal5"/>
        <w:numPr>
          <w:ilvl w:val="0"/>
          <w:numId w:val="48"/>
        </w:numPr>
        <w:spacing w:before="120" w:after="0" w:line="240" w:lineRule="auto"/>
        <w:jc w:val="both"/>
        <w:rPr>
          <w:rFonts w:cs="Times New Roman"/>
          <w:noProof/>
          <w:spacing w:val="-6"/>
          <w:lang w:val="sk-SK"/>
        </w:rPr>
      </w:pPr>
      <w:r w:rsidRPr="00AB26B3">
        <w:rPr>
          <w:noProof/>
          <w:spacing w:val="-6"/>
          <w:lang w:val="sk-SK"/>
        </w:rPr>
        <w:t>Posilnený dohľad nad kapitálovým trhom</w:t>
      </w:r>
      <w:r w:rsidR="00AB26B3" w:rsidRPr="00AB26B3">
        <w:rPr>
          <w:noProof/>
          <w:spacing w:val="-6"/>
          <w:lang w:val="sk-SK"/>
        </w:rPr>
        <w:t xml:space="preserve"> a </w:t>
      </w:r>
      <w:r w:rsidRPr="00AB26B3">
        <w:rPr>
          <w:noProof/>
          <w:spacing w:val="-6"/>
          <w:lang w:val="sk-SK"/>
        </w:rPr>
        <w:t>dôveryhodnosť (ID: 16581)</w:t>
      </w:r>
    </w:p>
    <w:p w14:paraId="2C4E2940" w14:textId="2F1508E8" w:rsidR="00302FC1" w:rsidRPr="00AB26B3" w:rsidRDefault="00D64F26">
      <w:pPr>
        <w:pStyle w:val="P68B1DB1-Normal5"/>
        <w:numPr>
          <w:ilvl w:val="0"/>
          <w:numId w:val="48"/>
        </w:numPr>
        <w:spacing w:before="120" w:after="0" w:line="240" w:lineRule="auto"/>
        <w:jc w:val="both"/>
        <w:rPr>
          <w:rFonts w:cs="Times New Roman"/>
          <w:noProof/>
          <w:spacing w:val="-6"/>
          <w:lang w:val="sk-SK"/>
        </w:rPr>
      </w:pPr>
      <w:r w:rsidRPr="00AB26B3">
        <w:rPr>
          <w:noProof/>
          <w:spacing w:val="-6"/>
          <w:lang w:val="sk-SK"/>
        </w:rPr>
        <w:t>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 (ID: 16957)</w:t>
      </w:r>
    </w:p>
    <w:p w14:paraId="5C165CB9" w14:textId="0093E397" w:rsidR="00302FC1" w:rsidRPr="00AB26B3" w:rsidRDefault="00D64F26">
      <w:pPr>
        <w:pStyle w:val="P68B1DB1-Normal7"/>
        <w:numPr>
          <w:ilvl w:val="0"/>
          <w:numId w:val="48"/>
        </w:numPr>
        <w:spacing w:before="120" w:after="0" w:line="240" w:lineRule="auto"/>
        <w:jc w:val="both"/>
        <w:rPr>
          <w:rFonts w:cs="Times New Roman"/>
          <w:noProof/>
          <w:spacing w:val="-6"/>
          <w:lang w:val="sk-SK"/>
        </w:rPr>
      </w:pPr>
      <w:r w:rsidRPr="00AB26B3">
        <w:rPr>
          <w:noProof/>
          <w:spacing w:val="-6"/>
          <w:lang w:val="sk-SK"/>
        </w:rPr>
        <w:t>Dodanie nového jednotného rámca pre platobnú neschopnosť na reštrukturalizáciu dlhu</w:t>
      </w:r>
      <w:r w:rsidR="00AB26B3" w:rsidRPr="00AB26B3">
        <w:rPr>
          <w:noProof/>
          <w:spacing w:val="-6"/>
          <w:lang w:val="sk-SK"/>
        </w:rPr>
        <w:t xml:space="preserve"> a </w:t>
      </w:r>
      <w:r w:rsidRPr="00AB26B3">
        <w:rPr>
          <w:noProof/>
          <w:spacing w:val="-6"/>
          <w:lang w:val="sk-SK"/>
        </w:rPr>
        <w:t>2. šancu (ID: 16580)</w:t>
      </w:r>
    </w:p>
    <w:tbl>
      <w:tblPr>
        <w:tblW w:w="15936" w:type="dxa"/>
        <w:jc w:val="center"/>
        <w:tblLook w:val="04A0" w:firstRow="1" w:lastRow="0" w:firstColumn="1" w:lastColumn="0" w:noHBand="0" w:noVBand="1"/>
      </w:tblPr>
      <w:tblGrid>
        <w:gridCol w:w="576"/>
        <w:gridCol w:w="2213"/>
        <w:gridCol w:w="1193"/>
        <w:gridCol w:w="1471"/>
        <w:gridCol w:w="1576"/>
        <w:gridCol w:w="968"/>
        <w:gridCol w:w="909"/>
        <w:gridCol w:w="587"/>
        <w:gridCol w:w="1119"/>
        <w:gridCol w:w="673"/>
        <w:gridCol w:w="5194"/>
      </w:tblGrid>
      <w:tr w:rsidR="00302FC1" w:rsidRPr="00AB26B3" w14:paraId="7E7987E3" w14:textId="77777777">
        <w:trPr>
          <w:trHeight w:val="695"/>
          <w:tblHeader/>
          <w:jc w:val="center"/>
        </w:trPr>
        <w:tc>
          <w:tcPr>
            <w:tcW w:w="5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0F01573" w14:textId="30B03F92"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22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573BA5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3C1569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24437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3CE6E7" w14:textId="6D9F9CC9"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41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072E803" w14:textId="1F4ECA40"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519" w:type="dxa"/>
            <w:gridSpan w:val="2"/>
            <w:tcBorders>
              <w:top w:val="single" w:sz="4" w:space="0" w:color="auto"/>
              <w:left w:val="nil"/>
              <w:bottom w:val="single" w:sz="4" w:space="0" w:color="auto"/>
              <w:right w:val="single" w:sz="4" w:space="0" w:color="auto"/>
            </w:tcBorders>
            <w:shd w:val="clear" w:color="auto" w:fill="BDD7EE"/>
            <w:vAlign w:val="center"/>
            <w:hideMark/>
          </w:tcPr>
          <w:p w14:paraId="633B887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51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DF01599" w14:textId="31EDD22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2E1F25C4" w14:textId="77777777">
        <w:trPr>
          <w:trHeight w:val="610"/>
          <w:tblHeader/>
          <w:jc w:val="cent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75F12A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14:paraId="355BDFB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14:paraId="20A184A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14:paraId="6F6A13F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538BDD4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6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7B455F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tcBorders>
              <w:top w:val="nil"/>
              <w:left w:val="nil"/>
              <w:bottom w:val="single" w:sz="4" w:space="0" w:color="auto"/>
              <w:right w:val="single" w:sz="4" w:space="0" w:color="auto"/>
            </w:tcBorders>
            <w:shd w:val="clear" w:color="auto" w:fill="BDD7EE"/>
            <w:vAlign w:val="center"/>
            <w:hideMark/>
          </w:tcPr>
          <w:p w14:paraId="1C51C90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587" w:type="dxa"/>
            <w:tcBorders>
              <w:top w:val="nil"/>
              <w:left w:val="nil"/>
              <w:bottom w:val="single" w:sz="4" w:space="0" w:color="auto"/>
              <w:right w:val="single" w:sz="4" w:space="0" w:color="auto"/>
            </w:tcBorders>
            <w:shd w:val="clear" w:color="auto" w:fill="BDD7EE"/>
            <w:vAlign w:val="center"/>
            <w:hideMark/>
          </w:tcPr>
          <w:p w14:paraId="089A008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846" w:type="dxa"/>
            <w:tcBorders>
              <w:top w:val="nil"/>
              <w:left w:val="nil"/>
              <w:bottom w:val="single" w:sz="4" w:space="0" w:color="auto"/>
              <w:right w:val="single" w:sz="4" w:space="0" w:color="auto"/>
            </w:tcBorders>
            <w:shd w:val="clear" w:color="auto" w:fill="BDD7EE"/>
            <w:vAlign w:val="center"/>
            <w:hideMark/>
          </w:tcPr>
          <w:p w14:paraId="17127BCE"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673" w:type="dxa"/>
            <w:tcBorders>
              <w:top w:val="nil"/>
              <w:left w:val="nil"/>
              <w:bottom w:val="single" w:sz="4" w:space="0" w:color="auto"/>
              <w:right w:val="single" w:sz="4" w:space="0" w:color="auto"/>
            </w:tcBorders>
            <w:shd w:val="clear" w:color="auto" w:fill="BDD7EE"/>
            <w:vAlign w:val="center"/>
            <w:hideMark/>
          </w:tcPr>
          <w:p w14:paraId="3B245BF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5194" w:type="dxa"/>
            <w:vMerge/>
            <w:tcBorders>
              <w:top w:val="single" w:sz="4" w:space="0" w:color="auto"/>
              <w:bottom w:val="single" w:sz="4" w:space="0" w:color="auto"/>
              <w:right w:val="single" w:sz="4" w:space="0" w:color="auto"/>
            </w:tcBorders>
            <w:vAlign w:val="center"/>
            <w:hideMark/>
          </w:tcPr>
          <w:p w14:paraId="7CE9BDB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5CD1FC0D" w14:textId="77777777">
        <w:trPr>
          <w:trHeight w:val="309"/>
          <w:jc w:val="center"/>
        </w:trPr>
        <w:tc>
          <w:tcPr>
            <w:tcW w:w="576" w:type="dxa"/>
            <w:tcBorders>
              <w:top w:val="single" w:sz="4" w:space="0" w:color="auto"/>
              <w:left w:val="single" w:sz="4" w:space="0" w:color="auto"/>
              <w:bottom w:val="single" w:sz="4" w:space="0" w:color="auto"/>
              <w:right w:val="single" w:sz="4" w:space="0" w:color="auto"/>
            </w:tcBorders>
            <w:shd w:val="clear" w:color="auto" w:fill="C6EFCE"/>
            <w:noWrap/>
          </w:tcPr>
          <w:p w14:paraId="7BF88A6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240</w:t>
            </w:r>
          </w:p>
        </w:tc>
        <w:tc>
          <w:tcPr>
            <w:tcW w:w="2213" w:type="dxa"/>
            <w:tcBorders>
              <w:top w:val="single" w:sz="4" w:space="0" w:color="auto"/>
              <w:left w:val="nil"/>
              <w:bottom w:val="single" w:sz="4" w:space="0" w:color="auto"/>
              <w:right w:val="single" w:sz="4" w:space="0" w:color="auto"/>
            </w:tcBorders>
            <w:shd w:val="clear" w:color="auto" w:fill="C6EFCE"/>
            <w:noWrap/>
          </w:tcPr>
          <w:p w14:paraId="08E3303F" w14:textId="6B36973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16581_Posilnený dohľad nad kapitálovým trhom</w:t>
            </w:r>
            <w:r w:rsidR="00AB26B3" w:rsidRPr="00AB26B3">
              <w:rPr>
                <w:noProof/>
                <w:spacing w:val="-6"/>
                <w:lang w:val="sk-SK"/>
              </w:rPr>
              <w:t xml:space="preserve"> a </w:t>
            </w:r>
            <w:r w:rsidRPr="00AB26B3">
              <w:rPr>
                <w:noProof/>
                <w:spacing w:val="-6"/>
                <w:lang w:val="sk-SK"/>
              </w:rPr>
              <w:t>dôveryhodnosť</w:t>
            </w:r>
          </w:p>
        </w:tc>
        <w:tc>
          <w:tcPr>
            <w:tcW w:w="1193" w:type="dxa"/>
            <w:tcBorders>
              <w:top w:val="single" w:sz="4" w:space="0" w:color="auto"/>
              <w:left w:val="nil"/>
              <w:bottom w:val="single" w:sz="4" w:space="0" w:color="auto"/>
              <w:right w:val="single" w:sz="4" w:space="0" w:color="auto"/>
            </w:tcBorders>
            <w:shd w:val="clear" w:color="auto" w:fill="C6EFCE"/>
            <w:noWrap/>
          </w:tcPr>
          <w:p w14:paraId="0EBEA0A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53" w:type="dxa"/>
            <w:tcBorders>
              <w:top w:val="single" w:sz="4" w:space="0" w:color="auto"/>
              <w:left w:val="nil"/>
              <w:bottom w:val="single" w:sz="4" w:space="0" w:color="auto"/>
              <w:right w:val="single" w:sz="4" w:space="0" w:color="auto"/>
            </w:tcBorders>
            <w:shd w:val="clear" w:color="auto" w:fill="C6EFCE"/>
            <w:noWrap/>
          </w:tcPr>
          <w:p w14:paraId="4225F03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Kapitálové trhy, dohľad, digitalizácia procesov dohľadu, únia kapitálových trhov</w:t>
            </w:r>
          </w:p>
        </w:tc>
        <w:tc>
          <w:tcPr>
            <w:tcW w:w="1576" w:type="dxa"/>
            <w:tcBorders>
              <w:top w:val="single" w:sz="4" w:space="0" w:color="auto"/>
              <w:left w:val="nil"/>
              <w:bottom w:val="single" w:sz="4" w:space="0" w:color="auto"/>
              <w:right w:val="single" w:sz="4" w:space="0" w:color="auto"/>
            </w:tcBorders>
            <w:shd w:val="clear" w:color="auto" w:fill="C6EFCE"/>
            <w:noWrap/>
          </w:tcPr>
          <w:p w14:paraId="447E88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právnych predpisov. </w:t>
            </w:r>
          </w:p>
        </w:tc>
        <w:tc>
          <w:tcPr>
            <w:tcW w:w="968" w:type="dxa"/>
            <w:tcBorders>
              <w:top w:val="single" w:sz="4" w:space="0" w:color="auto"/>
              <w:left w:val="nil"/>
              <w:bottom w:val="single" w:sz="4" w:space="0" w:color="auto"/>
              <w:right w:val="single" w:sz="4" w:space="0" w:color="auto"/>
            </w:tcBorders>
            <w:shd w:val="clear" w:color="auto" w:fill="C6EFCE"/>
            <w:noWrap/>
          </w:tcPr>
          <w:p w14:paraId="45592AA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08C6D22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4E7877C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7E972EA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nil"/>
              <w:left w:val="nil"/>
              <w:bottom w:val="single" w:sz="4" w:space="0" w:color="auto"/>
              <w:right w:val="single" w:sz="4" w:space="0" w:color="auto"/>
            </w:tcBorders>
            <w:shd w:val="clear" w:color="auto" w:fill="C6EFCE"/>
            <w:noWrap/>
          </w:tcPr>
          <w:p w14:paraId="08E5D36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5194" w:type="dxa"/>
            <w:tcBorders>
              <w:top w:val="single" w:sz="4" w:space="0" w:color="auto"/>
              <w:left w:val="nil"/>
              <w:bottom w:val="single" w:sz="4" w:space="0" w:color="auto"/>
              <w:right w:val="single" w:sz="4" w:space="0" w:color="auto"/>
            </w:tcBorders>
            <w:shd w:val="clear" w:color="auto" w:fill="C6EFCE"/>
            <w:noWrap/>
          </w:tcPr>
          <w:p w14:paraId="73ECC1C1" w14:textId="1CAFE9E7" w:rsidR="00302FC1" w:rsidRPr="00AB26B3" w:rsidRDefault="00D64F26">
            <w:pPr>
              <w:pStyle w:val="P68B1DB1-Normal12"/>
              <w:spacing w:after="0" w:line="240" w:lineRule="auto"/>
              <w:rPr>
                <w:noProof/>
                <w:spacing w:val="-6"/>
                <w:lang w:val="sk-SK"/>
              </w:rPr>
            </w:pPr>
            <w:r w:rsidRPr="00AB26B3">
              <w:rPr>
                <w:noProof/>
                <w:spacing w:val="-6"/>
                <w:lang w:val="sk-SK"/>
              </w:rPr>
              <w:t>Nadobudnutie účinnosti nového zákona</w:t>
            </w:r>
            <w:r w:rsidR="00AB26B3" w:rsidRPr="00AB26B3">
              <w:rPr>
                <w:noProof/>
                <w:spacing w:val="-6"/>
                <w:lang w:val="sk-SK"/>
              </w:rPr>
              <w:t xml:space="preserve"> o </w:t>
            </w:r>
            <w:r w:rsidRPr="00AB26B3">
              <w:rPr>
                <w:noProof/>
                <w:spacing w:val="-6"/>
                <w:lang w:val="sk-SK"/>
              </w:rPr>
              <w:t>Helénskej komisii pre kapitálový trh, ktorým sa zmenia jej vnútorné procesy</w:t>
            </w:r>
            <w:r w:rsidR="00AB26B3" w:rsidRPr="00AB26B3">
              <w:rPr>
                <w:noProof/>
                <w:spacing w:val="-6"/>
                <w:lang w:val="sk-SK"/>
              </w:rPr>
              <w:t xml:space="preserve"> a </w:t>
            </w:r>
            <w:r w:rsidRPr="00AB26B3">
              <w:rPr>
                <w:noProof/>
                <w:spacing w:val="-6"/>
                <w:lang w:val="sk-SK"/>
              </w:rPr>
              <w:t xml:space="preserve">organizácia. </w:t>
            </w:r>
          </w:p>
        </w:tc>
      </w:tr>
      <w:tr w:rsidR="00302FC1" w:rsidRPr="00AB26B3" w14:paraId="46E6192E" w14:textId="77777777">
        <w:trPr>
          <w:trHeight w:val="309"/>
          <w:jc w:val="center"/>
        </w:trPr>
        <w:tc>
          <w:tcPr>
            <w:tcW w:w="576" w:type="dxa"/>
            <w:tcBorders>
              <w:top w:val="nil"/>
              <w:left w:val="single" w:sz="4" w:space="0" w:color="auto"/>
              <w:bottom w:val="single" w:sz="4" w:space="0" w:color="auto"/>
              <w:right w:val="single" w:sz="4" w:space="0" w:color="auto"/>
            </w:tcBorders>
            <w:shd w:val="clear" w:color="auto" w:fill="C6EFCE"/>
            <w:noWrap/>
          </w:tcPr>
          <w:p w14:paraId="7EBF712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241</w:t>
            </w:r>
          </w:p>
        </w:tc>
        <w:tc>
          <w:tcPr>
            <w:tcW w:w="2213" w:type="dxa"/>
            <w:tcBorders>
              <w:top w:val="nil"/>
              <w:left w:val="nil"/>
              <w:bottom w:val="single" w:sz="4" w:space="0" w:color="auto"/>
              <w:right w:val="single" w:sz="4" w:space="0" w:color="auto"/>
            </w:tcBorders>
            <w:shd w:val="clear" w:color="auto" w:fill="C6EFCE"/>
            <w:noWrap/>
          </w:tcPr>
          <w:p w14:paraId="11643392" w14:textId="1FA89CF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16580_Realizácia nového jednotného rámca pre platobnú neschopnosť na reštrukturalizáciu dlhu</w:t>
            </w:r>
            <w:r w:rsidR="00AB26B3" w:rsidRPr="00AB26B3">
              <w:rPr>
                <w:noProof/>
                <w:spacing w:val="-6"/>
                <w:lang w:val="sk-SK"/>
              </w:rPr>
              <w:t xml:space="preserve"> a </w:t>
            </w:r>
            <w:r w:rsidRPr="00AB26B3">
              <w:rPr>
                <w:noProof/>
                <w:spacing w:val="-6"/>
                <w:lang w:val="sk-SK"/>
              </w:rPr>
              <w:t>2. šancu</w:t>
            </w:r>
          </w:p>
        </w:tc>
        <w:tc>
          <w:tcPr>
            <w:tcW w:w="1193" w:type="dxa"/>
            <w:tcBorders>
              <w:top w:val="nil"/>
              <w:left w:val="nil"/>
              <w:bottom w:val="single" w:sz="4" w:space="0" w:color="auto"/>
              <w:right w:val="single" w:sz="4" w:space="0" w:color="auto"/>
            </w:tcBorders>
            <w:shd w:val="clear" w:color="auto" w:fill="C6EFCE"/>
            <w:noWrap/>
          </w:tcPr>
          <w:p w14:paraId="4C1B123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53" w:type="dxa"/>
            <w:tcBorders>
              <w:top w:val="nil"/>
              <w:left w:val="nil"/>
              <w:bottom w:val="single" w:sz="4" w:space="0" w:color="auto"/>
              <w:right w:val="single" w:sz="4" w:space="0" w:color="auto"/>
            </w:tcBorders>
            <w:shd w:val="clear" w:color="auto" w:fill="C6EFCE"/>
            <w:noWrap/>
          </w:tcPr>
          <w:p w14:paraId="4596F8A9" w14:textId="10203309" w:rsidR="00302FC1" w:rsidRPr="00AB26B3" w:rsidRDefault="00D64F26">
            <w:pPr>
              <w:pStyle w:val="P68B1DB1-Normal28"/>
              <w:spacing w:after="0" w:line="240" w:lineRule="auto"/>
              <w:rPr>
                <w:noProof/>
                <w:spacing w:val="-6"/>
                <w:lang w:val="sk-SK"/>
              </w:rPr>
            </w:pPr>
            <w:r w:rsidRPr="00AB26B3">
              <w:rPr>
                <w:noProof/>
                <w:spacing w:val="-6"/>
                <w:lang w:val="sk-SK"/>
              </w:rPr>
              <w:t>Modernizácia informačných systémov včasného varovania</w:t>
            </w:r>
            <w:r w:rsidR="00AB26B3" w:rsidRPr="00AB26B3">
              <w:rPr>
                <w:noProof/>
                <w:spacing w:val="-6"/>
                <w:lang w:val="sk-SK"/>
              </w:rPr>
              <w:t xml:space="preserve"> a </w:t>
            </w:r>
            <w:r w:rsidRPr="00AB26B3">
              <w:rPr>
                <w:noProof/>
                <w:spacing w:val="-6"/>
                <w:lang w:val="sk-SK"/>
              </w:rPr>
              <w:t>reštrukturalizácie dlhu</w:t>
            </w:r>
          </w:p>
        </w:tc>
        <w:tc>
          <w:tcPr>
            <w:tcW w:w="1576" w:type="dxa"/>
            <w:tcBorders>
              <w:top w:val="nil"/>
              <w:left w:val="nil"/>
              <w:bottom w:val="single" w:sz="4" w:space="0" w:color="auto"/>
              <w:right w:val="single" w:sz="4" w:space="0" w:color="auto"/>
            </w:tcBorders>
            <w:shd w:val="clear" w:color="auto" w:fill="C6EFCE"/>
            <w:noWrap/>
          </w:tcPr>
          <w:p w14:paraId="4BCE5112" w14:textId="00FDB7EF" w:rsidR="00302FC1" w:rsidRPr="00AB26B3" w:rsidRDefault="00D64F26">
            <w:pPr>
              <w:pStyle w:val="P68B1DB1-Normal12"/>
              <w:spacing w:after="0" w:line="240" w:lineRule="auto"/>
              <w:rPr>
                <w:rFonts w:eastAsiaTheme="minorEastAsia"/>
                <w:noProof/>
                <w:spacing w:val="-6"/>
                <w:lang w:val="sk-SK"/>
              </w:rPr>
            </w:pPr>
            <w:r w:rsidRPr="00AB26B3">
              <w:rPr>
                <w:noProof/>
                <w:spacing w:val="-6"/>
                <w:lang w:val="sk-SK"/>
              </w:rPr>
              <w:t>IT systémy včasného varovania</w:t>
            </w:r>
            <w:r w:rsidR="00AB26B3" w:rsidRPr="00AB26B3">
              <w:rPr>
                <w:noProof/>
                <w:spacing w:val="-6"/>
                <w:lang w:val="sk-SK"/>
              </w:rPr>
              <w:t xml:space="preserve"> a </w:t>
            </w:r>
            <w:r w:rsidRPr="00AB26B3">
              <w:rPr>
                <w:noProof/>
                <w:spacing w:val="-6"/>
                <w:lang w:val="sk-SK"/>
              </w:rPr>
              <w:t>reštrukturalizácie dlhu, ktoré prevádzkuje ministerstvo financií/SecPD, sú modernizované</w:t>
            </w:r>
          </w:p>
        </w:tc>
        <w:tc>
          <w:tcPr>
            <w:tcW w:w="968" w:type="dxa"/>
            <w:tcBorders>
              <w:top w:val="nil"/>
              <w:left w:val="nil"/>
              <w:bottom w:val="single" w:sz="4" w:space="0" w:color="auto"/>
              <w:right w:val="single" w:sz="4" w:space="0" w:color="auto"/>
            </w:tcBorders>
            <w:shd w:val="clear" w:color="auto" w:fill="C6EFCE"/>
            <w:noWrap/>
          </w:tcPr>
          <w:p w14:paraId="45090C0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071F8FB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60D8F5C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7E5AE4F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nil"/>
              <w:left w:val="nil"/>
              <w:bottom w:val="single" w:sz="4" w:space="0" w:color="auto"/>
              <w:right w:val="single" w:sz="4" w:space="0" w:color="auto"/>
            </w:tcBorders>
            <w:shd w:val="clear" w:color="auto" w:fill="C6EFCE"/>
            <w:noWrap/>
          </w:tcPr>
          <w:p w14:paraId="000F68C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5194" w:type="dxa"/>
            <w:tcBorders>
              <w:top w:val="nil"/>
              <w:left w:val="nil"/>
              <w:bottom w:val="single" w:sz="4" w:space="0" w:color="auto"/>
              <w:right w:val="single" w:sz="4" w:space="0" w:color="auto"/>
            </w:tcBorders>
            <w:shd w:val="clear" w:color="auto" w:fill="C6EFCE"/>
            <w:noWrap/>
          </w:tcPr>
          <w:p w14:paraId="6A332382" w14:textId="4EF0A68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informačných systémov včasného varovania</w:t>
            </w:r>
            <w:r w:rsidR="00AB26B3" w:rsidRPr="00AB26B3">
              <w:rPr>
                <w:noProof/>
                <w:spacing w:val="-6"/>
                <w:lang w:val="sk-SK"/>
              </w:rPr>
              <w:t xml:space="preserve"> a </w:t>
            </w:r>
            <w:r w:rsidRPr="00AB26B3">
              <w:rPr>
                <w:noProof/>
                <w:spacing w:val="-6"/>
                <w:lang w:val="sk-SK"/>
              </w:rPr>
              <w:t>reštrukturalizácie dlhu, ktoré prevádzkuje ministerstvo financií/SecPD</w:t>
            </w:r>
          </w:p>
        </w:tc>
      </w:tr>
      <w:tr w:rsidR="00302FC1" w:rsidRPr="00AB26B3" w14:paraId="388D52ED" w14:textId="77777777">
        <w:trPr>
          <w:trHeight w:val="309"/>
          <w:jc w:val="center"/>
        </w:trPr>
        <w:tc>
          <w:tcPr>
            <w:tcW w:w="576" w:type="dxa"/>
            <w:tcBorders>
              <w:top w:val="nil"/>
              <w:left w:val="single" w:sz="4" w:space="0" w:color="auto"/>
              <w:bottom w:val="single" w:sz="4" w:space="0" w:color="auto"/>
              <w:right w:val="single" w:sz="4" w:space="0" w:color="auto"/>
            </w:tcBorders>
            <w:shd w:val="clear" w:color="auto" w:fill="C6EFCE"/>
            <w:noWrap/>
          </w:tcPr>
          <w:p w14:paraId="0460D0D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243</w:t>
            </w:r>
          </w:p>
        </w:tc>
        <w:tc>
          <w:tcPr>
            <w:tcW w:w="2213" w:type="dxa"/>
            <w:tcBorders>
              <w:top w:val="nil"/>
              <w:left w:val="nil"/>
              <w:bottom w:val="single" w:sz="4" w:space="0" w:color="auto"/>
              <w:right w:val="single" w:sz="4" w:space="0" w:color="auto"/>
            </w:tcBorders>
            <w:shd w:val="clear" w:color="auto" w:fill="C6EFCE"/>
            <w:noWrap/>
          </w:tcPr>
          <w:p w14:paraId="11391E8E" w14:textId="36FCD7A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16581_Posilnený dohľad nad kapitálovým trhom</w:t>
            </w:r>
            <w:r w:rsidR="00AB26B3" w:rsidRPr="00AB26B3">
              <w:rPr>
                <w:noProof/>
                <w:spacing w:val="-6"/>
                <w:lang w:val="sk-SK"/>
              </w:rPr>
              <w:t xml:space="preserve"> a </w:t>
            </w:r>
            <w:r w:rsidRPr="00AB26B3">
              <w:rPr>
                <w:noProof/>
                <w:spacing w:val="-6"/>
                <w:lang w:val="sk-SK"/>
              </w:rPr>
              <w:t>dôveryhodnosť</w:t>
            </w:r>
          </w:p>
        </w:tc>
        <w:tc>
          <w:tcPr>
            <w:tcW w:w="1193" w:type="dxa"/>
            <w:tcBorders>
              <w:top w:val="nil"/>
              <w:left w:val="nil"/>
              <w:bottom w:val="single" w:sz="4" w:space="0" w:color="auto"/>
              <w:right w:val="single" w:sz="4" w:space="0" w:color="auto"/>
            </w:tcBorders>
            <w:shd w:val="clear" w:color="auto" w:fill="C6EFCE"/>
            <w:noWrap/>
          </w:tcPr>
          <w:p w14:paraId="5755DB8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53" w:type="dxa"/>
            <w:tcBorders>
              <w:top w:val="nil"/>
              <w:left w:val="nil"/>
              <w:bottom w:val="single" w:sz="4" w:space="0" w:color="auto"/>
              <w:right w:val="single" w:sz="4" w:space="0" w:color="auto"/>
            </w:tcBorders>
            <w:shd w:val="clear" w:color="auto" w:fill="C6EFCE"/>
            <w:noWrap/>
          </w:tcPr>
          <w:p w14:paraId="13D33E0F" w14:textId="2A229A8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Digitalizácia procesu dohľadu Helénskej komisie pre kapitálový trh</w:t>
            </w:r>
          </w:p>
        </w:tc>
        <w:tc>
          <w:tcPr>
            <w:tcW w:w="1576" w:type="dxa"/>
            <w:tcBorders>
              <w:top w:val="nil"/>
              <w:left w:val="nil"/>
              <w:bottom w:val="single" w:sz="4" w:space="0" w:color="auto"/>
              <w:right w:val="single" w:sz="4" w:space="0" w:color="auto"/>
            </w:tcBorders>
            <w:shd w:val="clear" w:color="auto" w:fill="C6EFCE"/>
            <w:noWrap/>
          </w:tcPr>
          <w:p w14:paraId="2A007687" w14:textId="254D835A" w:rsidR="00302FC1" w:rsidRPr="00AB26B3" w:rsidRDefault="00D64F26">
            <w:pPr>
              <w:pStyle w:val="P68B1DB1-Normal12"/>
              <w:spacing w:after="0" w:line="240" w:lineRule="auto"/>
              <w:rPr>
                <w:noProof/>
                <w:spacing w:val="-6"/>
                <w:lang w:val="sk-SK"/>
              </w:rPr>
            </w:pPr>
            <w:r w:rsidRPr="00AB26B3">
              <w:rPr>
                <w:noProof/>
                <w:spacing w:val="-6"/>
                <w:lang w:val="sk-SK"/>
              </w:rPr>
              <w:t>Aktualizujú sa informačné systémy</w:t>
            </w:r>
            <w:r w:rsidR="00AB26B3" w:rsidRPr="00AB26B3">
              <w:rPr>
                <w:noProof/>
                <w:spacing w:val="-6"/>
                <w:lang w:val="sk-SK"/>
              </w:rPr>
              <w:t xml:space="preserve"> a </w:t>
            </w:r>
            <w:r w:rsidRPr="00AB26B3">
              <w:rPr>
                <w:noProof/>
                <w:spacing w:val="-6"/>
                <w:lang w:val="sk-SK"/>
              </w:rPr>
              <w:t>kybernetická bezpečnosť gréckej komisie pre kapitálový trh, uverejňuje sa administratívna kodifikácia regulačného</w:t>
            </w:r>
            <w:r w:rsidR="00AB26B3" w:rsidRPr="00AB26B3">
              <w:rPr>
                <w:noProof/>
                <w:spacing w:val="-6"/>
                <w:lang w:val="sk-SK"/>
              </w:rPr>
              <w:t xml:space="preserve"> a </w:t>
            </w:r>
            <w:r w:rsidRPr="00AB26B3">
              <w:rPr>
                <w:noProof/>
                <w:spacing w:val="-6"/>
                <w:lang w:val="sk-SK"/>
              </w:rPr>
              <w:t>legislatívneho rámca pre dohľad nad kapitálovými trhmi</w:t>
            </w:r>
          </w:p>
        </w:tc>
        <w:tc>
          <w:tcPr>
            <w:tcW w:w="968" w:type="dxa"/>
            <w:tcBorders>
              <w:top w:val="nil"/>
              <w:left w:val="nil"/>
              <w:bottom w:val="single" w:sz="4" w:space="0" w:color="auto"/>
              <w:right w:val="single" w:sz="4" w:space="0" w:color="auto"/>
            </w:tcBorders>
            <w:shd w:val="clear" w:color="auto" w:fill="C6EFCE"/>
            <w:noWrap/>
          </w:tcPr>
          <w:p w14:paraId="6ECFF1E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3A803B7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6475B9D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1366574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73" w:type="dxa"/>
            <w:tcBorders>
              <w:top w:val="nil"/>
              <w:left w:val="nil"/>
              <w:bottom w:val="single" w:sz="4" w:space="0" w:color="auto"/>
              <w:right w:val="single" w:sz="4" w:space="0" w:color="auto"/>
            </w:tcBorders>
            <w:shd w:val="clear" w:color="auto" w:fill="C6EFCE"/>
            <w:noWrap/>
          </w:tcPr>
          <w:p w14:paraId="582E014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5194" w:type="dxa"/>
            <w:tcBorders>
              <w:top w:val="nil"/>
              <w:left w:val="nil"/>
              <w:bottom w:val="single" w:sz="4" w:space="0" w:color="auto"/>
              <w:right w:val="single" w:sz="4" w:space="0" w:color="auto"/>
            </w:tcBorders>
            <w:shd w:val="clear" w:color="auto" w:fill="C6EFCE"/>
            <w:noWrap/>
          </w:tcPr>
          <w:p w14:paraId="77F4B2A6" w14:textId="19187FD6" w:rsidR="00302FC1" w:rsidRPr="00AB26B3" w:rsidRDefault="00D64F26">
            <w:pPr>
              <w:pStyle w:val="P68B1DB1-Normal12"/>
              <w:spacing w:after="0" w:line="240" w:lineRule="auto"/>
              <w:rPr>
                <w:noProof/>
                <w:spacing w:val="-6"/>
                <w:lang w:val="sk-SK"/>
              </w:rPr>
            </w:pPr>
            <w:r w:rsidRPr="00AB26B3">
              <w:rPr>
                <w:noProof/>
                <w:spacing w:val="-6"/>
                <w:lang w:val="sk-SK"/>
              </w:rPr>
              <w:t>1. Modernizácia informačných systémov</w:t>
            </w:r>
            <w:r w:rsidR="00AB26B3" w:rsidRPr="00AB26B3">
              <w:rPr>
                <w:noProof/>
                <w:spacing w:val="-6"/>
                <w:lang w:val="sk-SK"/>
              </w:rPr>
              <w:t xml:space="preserve"> a </w:t>
            </w:r>
            <w:r w:rsidRPr="00AB26B3">
              <w:rPr>
                <w:noProof/>
                <w:spacing w:val="-6"/>
                <w:lang w:val="sk-SK"/>
              </w:rPr>
              <w:t>postupov kybernetickej bezpečnosti gréckej komisie pre kapitálový trh.</w:t>
            </w:r>
          </w:p>
          <w:p w14:paraId="017675AE" w14:textId="2E91F01B" w:rsidR="00302FC1" w:rsidRPr="00AB26B3" w:rsidRDefault="00D64F26">
            <w:pPr>
              <w:pStyle w:val="P68B1DB1-Normal12"/>
              <w:spacing w:after="0" w:line="240" w:lineRule="auto"/>
              <w:rPr>
                <w:noProof/>
                <w:spacing w:val="-6"/>
                <w:lang w:val="sk-SK"/>
              </w:rPr>
            </w:pPr>
            <w:r w:rsidRPr="00AB26B3">
              <w:rPr>
                <w:noProof/>
                <w:spacing w:val="-6"/>
                <w:lang w:val="sk-SK"/>
              </w:rPr>
              <w:t>2. Uverejnenie administratívnej kodifikácie regulačného</w:t>
            </w:r>
            <w:r w:rsidR="00AB26B3" w:rsidRPr="00AB26B3">
              <w:rPr>
                <w:noProof/>
                <w:spacing w:val="-6"/>
                <w:lang w:val="sk-SK"/>
              </w:rPr>
              <w:t xml:space="preserve"> a </w:t>
            </w:r>
            <w:r w:rsidRPr="00AB26B3">
              <w:rPr>
                <w:noProof/>
                <w:spacing w:val="-6"/>
                <w:lang w:val="sk-SK"/>
              </w:rPr>
              <w:t>legislatívneho rámca pre dohľad nad kapitálovými trhmi.</w:t>
            </w:r>
          </w:p>
        </w:tc>
      </w:tr>
      <w:tr w:rsidR="00302FC1" w:rsidRPr="00AB26B3" w14:paraId="366C0FF0" w14:textId="77777777">
        <w:trPr>
          <w:trHeight w:val="309"/>
          <w:jc w:val="center"/>
        </w:trPr>
        <w:tc>
          <w:tcPr>
            <w:tcW w:w="576" w:type="dxa"/>
            <w:tcBorders>
              <w:top w:val="nil"/>
              <w:left w:val="single" w:sz="4" w:space="0" w:color="auto"/>
              <w:bottom w:val="single" w:sz="4" w:space="0" w:color="auto"/>
              <w:right w:val="single" w:sz="4" w:space="0" w:color="auto"/>
            </w:tcBorders>
            <w:shd w:val="clear" w:color="auto" w:fill="C6EFCE"/>
            <w:noWrap/>
          </w:tcPr>
          <w:p w14:paraId="20B32937" w14:textId="77777777" w:rsidR="00302FC1" w:rsidRPr="00AB26B3" w:rsidRDefault="00D64F26">
            <w:pPr>
              <w:pStyle w:val="P68B1DB1-Normal12"/>
              <w:spacing w:after="0" w:line="240" w:lineRule="auto"/>
              <w:rPr>
                <w:noProof/>
                <w:spacing w:val="-6"/>
                <w:lang w:val="sk-SK"/>
              </w:rPr>
            </w:pPr>
            <w:r w:rsidRPr="00AB26B3">
              <w:rPr>
                <w:noProof/>
                <w:spacing w:val="-6"/>
                <w:lang w:val="sk-SK"/>
              </w:rPr>
              <w:t>244a</w:t>
            </w:r>
          </w:p>
        </w:tc>
        <w:tc>
          <w:tcPr>
            <w:tcW w:w="2213" w:type="dxa"/>
            <w:tcBorders>
              <w:top w:val="nil"/>
              <w:left w:val="nil"/>
              <w:bottom w:val="single" w:sz="4" w:space="0" w:color="auto"/>
              <w:right w:val="single" w:sz="4" w:space="0" w:color="auto"/>
            </w:tcBorders>
            <w:shd w:val="clear" w:color="auto" w:fill="C6EFCE"/>
            <w:noWrap/>
          </w:tcPr>
          <w:p w14:paraId="1440DD21" w14:textId="6616D8A2" w:rsidR="00302FC1" w:rsidRPr="00AB26B3" w:rsidRDefault="00D64F26">
            <w:pPr>
              <w:pStyle w:val="P68B1DB1-Normal12"/>
              <w:spacing w:after="0" w:line="240" w:lineRule="auto"/>
              <w:rPr>
                <w:noProof/>
                <w:spacing w:val="-6"/>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16957_Posilnenie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w:t>
            </w:r>
          </w:p>
        </w:tc>
        <w:tc>
          <w:tcPr>
            <w:tcW w:w="1193" w:type="dxa"/>
            <w:tcBorders>
              <w:top w:val="nil"/>
              <w:left w:val="nil"/>
              <w:bottom w:val="single" w:sz="4" w:space="0" w:color="auto"/>
              <w:right w:val="single" w:sz="4" w:space="0" w:color="auto"/>
            </w:tcBorders>
            <w:shd w:val="clear" w:color="auto" w:fill="C6EFCE"/>
            <w:noWrap/>
          </w:tcPr>
          <w:p w14:paraId="176FECAB"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53" w:type="dxa"/>
            <w:tcBorders>
              <w:top w:val="nil"/>
              <w:left w:val="nil"/>
              <w:bottom w:val="single" w:sz="4" w:space="0" w:color="auto"/>
              <w:right w:val="single" w:sz="4" w:space="0" w:color="auto"/>
            </w:tcBorders>
            <w:shd w:val="clear" w:color="auto" w:fill="C6EFCE"/>
            <w:noWrap/>
          </w:tcPr>
          <w:p w14:paraId="3BD72002" w14:textId="77777777" w:rsidR="00302FC1" w:rsidRPr="00AB26B3" w:rsidRDefault="00D64F26">
            <w:pPr>
              <w:pStyle w:val="P68B1DB1-Normal12"/>
              <w:spacing w:after="0" w:line="240" w:lineRule="auto"/>
              <w:rPr>
                <w:noProof/>
                <w:spacing w:val="-6"/>
                <w:lang w:val="sk-SK"/>
              </w:rPr>
            </w:pPr>
            <w:r w:rsidRPr="00AB26B3">
              <w:rPr>
                <w:noProof/>
                <w:spacing w:val="-6"/>
                <w:lang w:val="sk-SK"/>
              </w:rPr>
              <w:t>Elektronické aukcie na vymáhanie dlhov</w:t>
            </w:r>
          </w:p>
        </w:tc>
        <w:tc>
          <w:tcPr>
            <w:tcW w:w="1576" w:type="dxa"/>
            <w:tcBorders>
              <w:top w:val="nil"/>
              <w:left w:val="nil"/>
              <w:bottom w:val="single" w:sz="4" w:space="0" w:color="auto"/>
              <w:right w:val="single" w:sz="4" w:space="0" w:color="auto"/>
            </w:tcBorders>
            <w:shd w:val="clear" w:color="auto" w:fill="C6EFCE"/>
            <w:noWrap/>
          </w:tcPr>
          <w:p w14:paraId="46F3B5EE"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Nadobudnutie účinnosti právnych predpisov. </w:t>
            </w:r>
          </w:p>
        </w:tc>
        <w:tc>
          <w:tcPr>
            <w:tcW w:w="968" w:type="dxa"/>
            <w:tcBorders>
              <w:top w:val="nil"/>
              <w:left w:val="nil"/>
              <w:bottom w:val="single" w:sz="4" w:space="0" w:color="auto"/>
              <w:right w:val="single" w:sz="4" w:space="0" w:color="auto"/>
            </w:tcBorders>
            <w:shd w:val="clear" w:color="auto" w:fill="C6EFCE"/>
            <w:noWrap/>
          </w:tcPr>
          <w:p w14:paraId="0E975710"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5EF3ADFE"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4566D76B"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1562FE2A"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673" w:type="dxa"/>
            <w:tcBorders>
              <w:top w:val="nil"/>
              <w:left w:val="nil"/>
              <w:bottom w:val="single" w:sz="4" w:space="0" w:color="auto"/>
              <w:right w:val="single" w:sz="4" w:space="0" w:color="auto"/>
            </w:tcBorders>
            <w:shd w:val="clear" w:color="auto" w:fill="C6EFCE"/>
            <w:noWrap/>
          </w:tcPr>
          <w:p w14:paraId="11BD4004" w14:textId="77777777" w:rsidR="00302FC1" w:rsidRPr="00AB26B3" w:rsidRDefault="00D64F26">
            <w:pPr>
              <w:pStyle w:val="P68B1DB1-Normal12"/>
              <w:spacing w:after="0" w:line="240" w:lineRule="auto"/>
              <w:rPr>
                <w:noProof/>
                <w:spacing w:val="-6"/>
                <w:lang w:val="sk-SK"/>
              </w:rPr>
            </w:pPr>
            <w:r w:rsidRPr="00AB26B3">
              <w:rPr>
                <w:noProof/>
                <w:spacing w:val="-6"/>
                <w:lang w:val="sk-SK"/>
              </w:rPr>
              <w:t>2024</w:t>
            </w:r>
          </w:p>
        </w:tc>
        <w:tc>
          <w:tcPr>
            <w:tcW w:w="5194" w:type="dxa"/>
            <w:tcBorders>
              <w:top w:val="nil"/>
              <w:left w:val="nil"/>
              <w:bottom w:val="single" w:sz="4" w:space="0" w:color="auto"/>
              <w:right w:val="single" w:sz="4" w:space="0" w:color="auto"/>
            </w:tcBorders>
            <w:shd w:val="clear" w:color="auto" w:fill="C6EFCE"/>
            <w:noWrap/>
          </w:tcPr>
          <w:p w14:paraId="244D9A1E" w14:textId="2AC54DB4" w:rsidR="00302FC1" w:rsidRPr="00AB26B3" w:rsidRDefault="00D64F26">
            <w:pPr>
              <w:pStyle w:val="P68B1DB1-Normal12"/>
              <w:spacing w:after="0" w:line="240" w:lineRule="auto"/>
              <w:rPr>
                <w:noProof/>
                <w:spacing w:val="-6"/>
                <w:lang w:val="sk-SK"/>
              </w:rPr>
            </w:pPr>
            <w:r w:rsidRPr="00AB26B3">
              <w:rPr>
                <w:noProof/>
                <w:spacing w:val="-6"/>
                <w:lang w:val="sk-SK"/>
              </w:rPr>
              <w:t>Prijatie</w:t>
            </w:r>
            <w:r w:rsidR="00AB26B3" w:rsidRPr="00AB26B3">
              <w:rPr>
                <w:noProof/>
                <w:spacing w:val="-6"/>
                <w:lang w:val="sk-SK"/>
              </w:rPr>
              <w:t xml:space="preserve"> a </w:t>
            </w:r>
            <w:r w:rsidRPr="00AB26B3">
              <w:rPr>
                <w:noProof/>
                <w:spacing w:val="-6"/>
                <w:lang w:val="sk-SK"/>
              </w:rPr>
              <w:t>nadobudnutie účinnosti právnych predpisov</w:t>
            </w:r>
            <w:r w:rsidR="00AB26B3" w:rsidRPr="00AB26B3">
              <w:rPr>
                <w:noProof/>
                <w:spacing w:val="-6"/>
                <w:lang w:val="sk-SK"/>
              </w:rPr>
              <w:t xml:space="preserve"> s </w:t>
            </w:r>
            <w:r w:rsidRPr="00AB26B3">
              <w:rPr>
                <w:noProof/>
                <w:spacing w:val="-6"/>
                <w:lang w:val="sk-SK"/>
              </w:rPr>
              <w:t>cieľom:</w:t>
            </w:r>
          </w:p>
          <w:p w14:paraId="501E415F" w14:textId="02A1BBE9" w:rsidR="00302FC1" w:rsidRPr="00AB26B3" w:rsidRDefault="00D64F26">
            <w:pPr>
              <w:pStyle w:val="P68B1DB1-ListParagraph19"/>
              <w:numPr>
                <w:ilvl w:val="0"/>
                <w:numId w:val="52"/>
              </w:numPr>
              <w:spacing w:after="0" w:line="240" w:lineRule="auto"/>
              <w:ind w:left="670" w:hanging="310"/>
              <w:rPr>
                <w:noProof/>
                <w:spacing w:val="-6"/>
                <w:lang w:val="sk-SK"/>
              </w:rPr>
            </w:pPr>
            <w:r w:rsidRPr="00AB26B3">
              <w:rPr>
                <w:noProof/>
                <w:spacing w:val="-6"/>
                <w:lang w:val="sk-SK"/>
              </w:rPr>
              <w:t>Rozšíriť informácie dostupné</w:t>
            </w:r>
            <w:r w:rsidR="00AB26B3" w:rsidRPr="00AB26B3">
              <w:rPr>
                <w:noProof/>
                <w:spacing w:val="-6"/>
                <w:lang w:val="sk-SK"/>
              </w:rPr>
              <w:t xml:space="preserve"> o </w:t>
            </w:r>
            <w:r w:rsidRPr="00AB26B3">
              <w:rPr>
                <w:noProof/>
                <w:spacing w:val="-6"/>
                <w:lang w:val="sk-SK"/>
              </w:rPr>
              <w:t>aktívach obchodovaných formou aukcie na platforme elektronických aukcií vrátane príslušných informácií dostupných vo verejných archívoch notárov;</w:t>
            </w:r>
          </w:p>
          <w:p w14:paraId="33BEB680" w14:textId="258441DA" w:rsidR="00302FC1" w:rsidRPr="00AB26B3" w:rsidRDefault="00D64F26">
            <w:pPr>
              <w:pStyle w:val="P68B1DB1-ListParagraph19"/>
              <w:numPr>
                <w:ilvl w:val="0"/>
                <w:numId w:val="52"/>
              </w:numPr>
              <w:spacing w:after="0" w:line="240" w:lineRule="auto"/>
              <w:ind w:left="670" w:hanging="310"/>
              <w:rPr>
                <w:noProof/>
                <w:spacing w:val="-6"/>
                <w:lang w:val="sk-SK"/>
              </w:rPr>
            </w:pPr>
            <w:r w:rsidRPr="00AB26B3">
              <w:rPr>
                <w:noProof/>
                <w:spacing w:val="-6"/>
                <w:lang w:val="sk-SK"/>
              </w:rPr>
              <w:t>Odstránenie odrádzajúcich faktorov spôsobených dlhmi po lehote splatnosti súvisiacimi</w:t>
            </w:r>
            <w:r w:rsidR="00AB26B3" w:rsidRPr="00AB26B3">
              <w:rPr>
                <w:noProof/>
                <w:spacing w:val="-6"/>
                <w:lang w:val="sk-SK"/>
              </w:rPr>
              <w:t xml:space="preserve"> s </w:t>
            </w:r>
            <w:r w:rsidRPr="00AB26B3">
              <w:rPr>
                <w:noProof/>
                <w:spacing w:val="-6"/>
                <w:lang w:val="sk-SK"/>
              </w:rPr>
              <w:t>majetkom (napr. účty za verejné služby).</w:t>
            </w:r>
          </w:p>
        </w:tc>
      </w:tr>
      <w:tr w:rsidR="00302FC1" w:rsidRPr="00AB26B3" w14:paraId="54E5E316" w14:textId="77777777">
        <w:trPr>
          <w:trHeight w:val="309"/>
          <w:jc w:val="center"/>
        </w:trPr>
        <w:tc>
          <w:tcPr>
            <w:tcW w:w="576" w:type="dxa"/>
            <w:tcBorders>
              <w:top w:val="nil"/>
              <w:left w:val="single" w:sz="4" w:space="0" w:color="auto"/>
              <w:bottom w:val="single" w:sz="4" w:space="0" w:color="auto"/>
              <w:right w:val="single" w:sz="4" w:space="0" w:color="auto"/>
            </w:tcBorders>
            <w:shd w:val="clear" w:color="auto" w:fill="C6EFCE"/>
            <w:noWrap/>
          </w:tcPr>
          <w:p w14:paraId="6AAC2FF2" w14:textId="77777777" w:rsidR="00302FC1" w:rsidRPr="00AB26B3" w:rsidRDefault="00D64F26">
            <w:pPr>
              <w:pStyle w:val="P68B1DB1-Normal12"/>
              <w:spacing w:after="0" w:line="240" w:lineRule="auto"/>
              <w:rPr>
                <w:noProof/>
                <w:spacing w:val="-6"/>
                <w:lang w:val="sk-SK"/>
              </w:rPr>
            </w:pPr>
            <w:r w:rsidRPr="00AB26B3">
              <w:rPr>
                <w:noProof/>
                <w:spacing w:val="-6"/>
                <w:lang w:val="sk-SK"/>
              </w:rPr>
              <w:t>244b</w:t>
            </w:r>
          </w:p>
        </w:tc>
        <w:tc>
          <w:tcPr>
            <w:tcW w:w="2213" w:type="dxa"/>
            <w:tcBorders>
              <w:top w:val="nil"/>
              <w:left w:val="nil"/>
              <w:bottom w:val="single" w:sz="4" w:space="0" w:color="auto"/>
              <w:right w:val="single" w:sz="4" w:space="0" w:color="auto"/>
            </w:tcBorders>
            <w:shd w:val="clear" w:color="auto" w:fill="C6EFCE"/>
            <w:noWrap/>
          </w:tcPr>
          <w:p w14:paraId="6AB834DF" w14:textId="1DA46EF3" w:rsidR="00302FC1" w:rsidRPr="00AB26B3" w:rsidRDefault="00D64F26">
            <w:pPr>
              <w:pStyle w:val="P68B1DB1-Normal12"/>
              <w:spacing w:after="0" w:line="240" w:lineRule="auto"/>
              <w:rPr>
                <w:noProof/>
                <w:spacing w:val="-6"/>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16957_Posilnenie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w:t>
            </w:r>
          </w:p>
        </w:tc>
        <w:tc>
          <w:tcPr>
            <w:tcW w:w="1193" w:type="dxa"/>
            <w:tcBorders>
              <w:top w:val="nil"/>
              <w:left w:val="nil"/>
              <w:bottom w:val="single" w:sz="4" w:space="0" w:color="auto"/>
              <w:right w:val="single" w:sz="4" w:space="0" w:color="auto"/>
            </w:tcBorders>
            <w:shd w:val="clear" w:color="auto" w:fill="C6EFCE"/>
            <w:noWrap/>
          </w:tcPr>
          <w:p w14:paraId="37D146AC"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53" w:type="dxa"/>
            <w:tcBorders>
              <w:top w:val="nil"/>
              <w:left w:val="nil"/>
              <w:bottom w:val="single" w:sz="4" w:space="0" w:color="auto"/>
              <w:right w:val="single" w:sz="4" w:space="0" w:color="auto"/>
            </w:tcBorders>
            <w:shd w:val="clear" w:color="auto" w:fill="C6EFCE"/>
            <w:noWrap/>
          </w:tcPr>
          <w:p w14:paraId="72911165"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Zadanie zákazky na opatrenia finančného sektora </w:t>
            </w:r>
          </w:p>
        </w:tc>
        <w:tc>
          <w:tcPr>
            <w:tcW w:w="1576" w:type="dxa"/>
            <w:tcBorders>
              <w:top w:val="nil"/>
              <w:left w:val="nil"/>
              <w:bottom w:val="single" w:sz="4" w:space="0" w:color="auto"/>
              <w:right w:val="single" w:sz="4" w:space="0" w:color="auto"/>
            </w:tcBorders>
            <w:shd w:val="clear" w:color="auto" w:fill="C6EFCE"/>
            <w:noWrap/>
          </w:tcPr>
          <w:p w14:paraId="42553286" w14:textId="08FC7A07" w:rsidR="00302FC1"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968" w:type="dxa"/>
            <w:tcBorders>
              <w:top w:val="nil"/>
              <w:left w:val="nil"/>
              <w:bottom w:val="single" w:sz="4" w:space="0" w:color="auto"/>
              <w:right w:val="single" w:sz="4" w:space="0" w:color="auto"/>
            </w:tcBorders>
            <w:shd w:val="clear" w:color="auto" w:fill="C6EFCE"/>
            <w:noWrap/>
          </w:tcPr>
          <w:p w14:paraId="598008A2"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1FD81368"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587" w:type="dxa"/>
            <w:tcBorders>
              <w:top w:val="nil"/>
              <w:left w:val="nil"/>
              <w:bottom w:val="single" w:sz="4" w:space="0" w:color="auto"/>
              <w:right w:val="single" w:sz="4" w:space="0" w:color="auto"/>
            </w:tcBorders>
            <w:shd w:val="clear" w:color="auto" w:fill="C6EFCE"/>
            <w:noWrap/>
          </w:tcPr>
          <w:p w14:paraId="3F6D4D7B"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46" w:type="dxa"/>
            <w:tcBorders>
              <w:top w:val="nil"/>
              <w:left w:val="nil"/>
              <w:bottom w:val="single" w:sz="4" w:space="0" w:color="auto"/>
              <w:right w:val="single" w:sz="4" w:space="0" w:color="auto"/>
            </w:tcBorders>
            <w:shd w:val="clear" w:color="auto" w:fill="C6EFCE"/>
            <w:noWrap/>
          </w:tcPr>
          <w:p w14:paraId="5F423336"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673" w:type="dxa"/>
            <w:tcBorders>
              <w:top w:val="nil"/>
              <w:left w:val="nil"/>
              <w:bottom w:val="single" w:sz="4" w:space="0" w:color="auto"/>
              <w:right w:val="single" w:sz="4" w:space="0" w:color="auto"/>
            </w:tcBorders>
            <w:shd w:val="clear" w:color="auto" w:fill="C6EFCE"/>
            <w:noWrap/>
          </w:tcPr>
          <w:p w14:paraId="09B37C0E" w14:textId="77777777" w:rsidR="00302FC1" w:rsidRPr="00AB26B3" w:rsidRDefault="00D64F26">
            <w:pPr>
              <w:pStyle w:val="P68B1DB1-Normal12"/>
              <w:spacing w:after="0" w:line="240" w:lineRule="auto"/>
              <w:rPr>
                <w:noProof/>
                <w:spacing w:val="-6"/>
                <w:lang w:val="sk-SK"/>
              </w:rPr>
            </w:pPr>
            <w:r w:rsidRPr="00AB26B3">
              <w:rPr>
                <w:noProof/>
                <w:spacing w:val="-6"/>
                <w:lang w:val="sk-SK"/>
              </w:rPr>
              <w:t>2024</w:t>
            </w:r>
          </w:p>
        </w:tc>
        <w:tc>
          <w:tcPr>
            <w:tcW w:w="5194" w:type="dxa"/>
            <w:tcBorders>
              <w:top w:val="nil"/>
              <w:left w:val="nil"/>
              <w:bottom w:val="single" w:sz="4" w:space="0" w:color="auto"/>
              <w:right w:val="single" w:sz="4" w:space="0" w:color="auto"/>
            </w:tcBorders>
            <w:shd w:val="clear" w:color="auto" w:fill="C6EFCE"/>
            <w:noWrap/>
          </w:tcPr>
          <w:p w14:paraId="45AAEBF8" w14:textId="77777777" w:rsidR="00302FC1" w:rsidRPr="00AB26B3" w:rsidRDefault="00D64F26">
            <w:pPr>
              <w:pStyle w:val="P68B1DB1-Normal12"/>
              <w:spacing w:after="0" w:line="240" w:lineRule="auto"/>
              <w:rPr>
                <w:noProof/>
                <w:spacing w:val="-6"/>
                <w:lang w:val="sk-SK"/>
              </w:rPr>
            </w:pPr>
            <w:r w:rsidRPr="00AB26B3">
              <w:rPr>
                <w:noProof/>
                <w:spacing w:val="-6"/>
                <w:lang w:val="sk-SK"/>
              </w:rPr>
              <w:t>Zadanie zákazky na:</w:t>
            </w:r>
          </w:p>
          <w:p w14:paraId="492B5C7D" w14:textId="305A3DBB" w:rsidR="00302FC1" w:rsidRPr="00AB26B3" w:rsidRDefault="00D64F26">
            <w:pPr>
              <w:pStyle w:val="P68B1DB1-ListParagraph19"/>
              <w:numPr>
                <w:ilvl w:val="0"/>
                <w:numId w:val="50"/>
              </w:numPr>
              <w:spacing w:after="0" w:line="240" w:lineRule="auto"/>
              <w:rPr>
                <w:rFonts w:eastAsiaTheme="minorEastAsia"/>
                <w:noProof/>
                <w:spacing w:val="-6"/>
                <w:lang w:val="sk-SK"/>
              </w:rPr>
            </w:pPr>
            <w:r w:rsidRPr="00AB26B3">
              <w:rPr>
                <w:noProof/>
                <w:spacing w:val="-6"/>
                <w:lang w:val="sk-SK"/>
              </w:rPr>
              <w:t>Vývoj verejného informačného systému úverového ratingu;</w:t>
            </w:r>
          </w:p>
          <w:p w14:paraId="1F88079F" w14:textId="77777777" w:rsidR="00302FC1" w:rsidRPr="00AB26B3" w:rsidRDefault="00D64F26">
            <w:pPr>
              <w:pStyle w:val="P68B1DB1-ListParagraph19"/>
              <w:numPr>
                <w:ilvl w:val="0"/>
                <w:numId w:val="50"/>
              </w:numPr>
              <w:spacing w:after="0" w:line="240" w:lineRule="auto"/>
              <w:rPr>
                <w:noProof/>
                <w:spacing w:val="-6"/>
                <w:lang w:val="sk-SK"/>
              </w:rPr>
            </w:pPr>
            <w:r w:rsidRPr="00AB26B3">
              <w:rPr>
                <w:noProof/>
                <w:spacing w:val="-6"/>
                <w:lang w:val="sk-SK"/>
              </w:rPr>
              <w:t>Vytvorenie registra na monitorovanie súkromného dlhu;</w:t>
            </w:r>
          </w:p>
          <w:p w14:paraId="40991AEE" w14:textId="77777777" w:rsidR="00302FC1" w:rsidRPr="00AB26B3" w:rsidRDefault="00D64F26">
            <w:pPr>
              <w:pStyle w:val="P68B1DB1-ListParagraph19"/>
              <w:numPr>
                <w:ilvl w:val="0"/>
                <w:numId w:val="50"/>
              </w:numPr>
              <w:spacing w:after="0" w:line="240" w:lineRule="auto"/>
              <w:rPr>
                <w:noProof/>
                <w:spacing w:val="-6"/>
                <w:lang w:val="sk-SK"/>
              </w:rPr>
            </w:pPr>
            <w:r w:rsidRPr="00AB26B3">
              <w:rPr>
                <w:noProof/>
                <w:spacing w:val="-6"/>
                <w:lang w:val="sk-SK"/>
              </w:rPr>
              <w:t>Vývoj centrálneho registra úverov.</w:t>
            </w:r>
          </w:p>
          <w:p w14:paraId="4CAAF0D4"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2F2D95C9" w14:textId="77777777">
        <w:trPr>
          <w:trHeight w:val="309"/>
          <w:jc w:val="center"/>
        </w:trPr>
        <w:tc>
          <w:tcPr>
            <w:tcW w:w="576" w:type="dxa"/>
            <w:tcBorders>
              <w:top w:val="single" w:sz="4" w:space="0" w:color="auto"/>
              <w:left w:val="single" w:sz="4" w:space="0" w:color="auto"/>
              <w:bottom w:val="single" w:sz="4" w:space="0" w:color="auto"/>
              <w:right w:val="single" w:sz="4" w:space="0" w:color="auto"/>
            </w:tcBorders>
            <w:shd w:val="clear" w:color="auto" w:fill="C6EFCE"/>
            <w:noWrap/>
          </w:tcPr>
          <w:p w14:paraId="12459651" w14:textId="77777777" w:rsidR="00302FC1" w:rsidRPr="00AB26B3" w:rsidRDefault="00D64F26">
            <w:pPr>
              <w:pStyle w:val="P68B1DB1-Normal12"/>
              <w:spacing w:after="0" w:line="240" w:lineRule="auto"/>
              <w:rPr>
                <w:noProof/>
                <w:spacing w:val="-6"/>
                <w:lang w:val="sk-SK"/>
              </w:rPr>
            </w:pPr>
            <w:r w:rsidRPr="00AB26B3">
              <w:rPr>
                <w:noProof/>
                <w:spacing w:val="-6"/>
                <w:lang w:val="sk-SK"/>
              </w:rPr>
              <w:t>244c</w:t>
            </w:r>
          </w:p>
        </w:tc>
        <w:tc>
          <w:tcPr>
            <w:tcW w:w="2213" w:type="dxa"/>
            <w:tcBorders>
              <w:top w:val="single" w:sz="4" w:space="0" w:color="auto"/>
              <w:left w:val="single" w:sz="4" w:space="0" w:color="auto"/>
              <w:bottom w:val="single" w:sz="4" w:space="0" w:color="auto"/>
              <w:right w:val="single" w:sz="4" w:space="0" w:color="auto"/>
            </w:tcBorders>
            <w:shd w:val="clear" w:color="auto" w:fill="C6EFCE"/>
            <w:noWrap/>
          </w:tcPr>
          <w:p w14:paraId="12A4544E" w14:textId="0556E7FF" w:rsidR="00302FC1" w:rsidRPr="00AB26B3" w:rsidRDefault="00D64F26">
            <w:pPr>
              <w:pStyle w:val="P68B1DB1-Normal12"/>
              <w:spacing w:after="0" w:line="240" w:lineRule="auto"/>
              <w:rPr>
                <w:noProof/>
                <w:spacing w:val="-6"/>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16957_Posilnenie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w:t>
            </w:r>
          </w:p>
        </w:tc>
        <w:tc>
          <w:tcPr>
            <w:tcW w:w="1193" w:type="dxa"/>
            <w:tcBorders>
              <w:top w:val="single" w:sz="4" w:space="0" w:color="auto"/>
              <w:left w:val="single" w:sz="4" w:space="0" w:color="auto"/>
              <w:bottom w:val="single" w:sz="4" w:space="0" w:color="auto"/>
              <w:right w:val="single" w:sz="4" w:space="0" w:color="auto"/>
            </w:tcBorders>
            <w:shd w:val="clear" w:color="auto" w:fill="C6EFCE"/>
            <w:noWrap/>
          </w:tcPr>
          <w:p w14:paraId="4542F4A0"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53" w:type="dxa"/>
            <w:tcBorders>
              <w:top w:val="single" w:sz="4" w:space="0" w:color="auto"/>
              <w:left w:val="single" w:sz="4" w:space="0" w:color="auto"/>
              <w:bottom w:val="single" w:sz="4" w:space="0" w:color="auto"/>
              <w:right w:val="single" w:sz="4" w:space="0" w:color="auto"/>
            </w:tcBorders>
            <w:shd w:val="clear" w:color="auto" w:fill="C6EFCE"/>
            <w:noWrap/>
          </w:tcPr>
          <w:p w14:paraId="34AF721F" w14:textId="7E62825C" w:rsidR="00302FC1" w:rsidRPr="00AB26B3" w:rsidRDefault="00D64F26">
            <w:pPr>
              <w:pStyle w:val="P68B1DB1-Normal12"/>
              <w:spacing w:after="0" w:line="240" w:lineRule="auto"/>
              <w:rPr>
                <w:noProof/>
                <w:spacing w:val="-6"/>
                <w:lang w:val="sk-SK"/>
              </w:rPr>
            </w:pPr>
            <w:r w:rsidRPr="00AB26B3">
              <w:rPr>
                <w:noProof/>
                <w:spacing w:val="-6"/>
                <w:lang w:val="sk-SK"/>
              </w:rPr>
              <w:t>Zriadenie IT systémov, vzorov údajov</w:t>
            </w:r>
            <w:r w:rsidR="00AB26B3" w:rsidRPr="00AB26B3">
              <w:rPr>
                <w:noProof/>
                <w:spacing w:val="-6"/>
                <w:lang w:val="sk-SK"/>
              </w:rPr>
              <w:t xml:space="preserve"> a </w:t>
            </w:r>
            <w:r w:rsidRPr="00AB26B3">
              <w:rPr>
                <w:noProof/>
                <w:spacing w:val="-6"/>
                <w:lang w:val="sk-SK"/>
              </w:rPr>
              <w:t>platforiem, nadobudnutie účinnosti právnych predpisov</w:t>
            </w:r>
            <w:r w:rsidR="00AB26B3" w:rsidRPr="00AB26B3">
              <w:rPr>
                <w:noProof/>
                <w:spacing w:val="-6"/>
                <w:lang w:val="sk-SK"/>
              </w:rPr>
              <w:t xml:space="preserve"> o </w:t>
            </w:r>
            <w:r w:rsidRPr="00AB26B3">
              <w:rPr>
                <w:noProof/>
                <w:spacing w:val="-6"/>
                <w:lang w:val="sk-SK"/>
              </w:rPr>
              <w:t>riešení prípadov</w:t>
            </w:r>
            <w:r w:rsidR="00AB26B3" w:rsidRPr="00AB26B3">
              <w:rPr>
                <w:noProof/>
                <w:spacing w:val="-6"/>
                <w:lang w:val="sk-SK"/>
              </w:rPr>
              <w:t xml:space="preserve"> a </w:t>
            </w:r>
            <w:r w:rsidRPr="00AB26B3">
              <w:rPr>
                <w:noProof/>
                <w:spacing w:val="-6"/>
                <w:lang w:val="sk-SK"/>
              </w:rPr>
              <w:t>znižovaní počtu nevybavených prípadov</w:t>
            </w:r>
            <w:r w:rsidR="00AB26B3" w:rsidRPr="00AB26B3">
              <w:rPr>
                <w:noProof/>
                <w:spacing w:val="-6"/>
                <w:lang w:val="sk-SK"/>
              </w:rPr>
              <w:t xml:space="preserve"> v </w:t>
            </w:r>
            <w:r w:rsidRPr="00AB26B3">
              <w:rPr>
                <w:noProof/>
                <w:spacing w:val="-6"/>
                <w:lang w:val="sk-SK"/>
              </w:rPr>
              <w:t>rámci konaní na presadzovanie práva</w:t>
            </w:r>
          </w:p>
        </w:tc>
        <w:tc>
          <w:tcPr>
            <w:tcW w:w="1576" w:type="dxa"/>
            <w:tcBorders>
              <w:top w:val="single" w:sz="4" w:space="0" w:color="auto"/>
              <w:left w:val="single" w:sz="4" w:space="0" w:color="auto"/>
              <w:bottom w:val="single" w:sz="4" w:space="0" w:color="auto"/>
              <w:right w:val="single" w:sz="4" w:space="0" w:color="auto"/>
            </w:tcBorders>
            <w:shd w:val="clear" w:color="auto" w:fill="C6EFCE"/>
            <w:noWrap/>
          </w:tcPr>
          <w:p w14:paraId="66A81B9B" w14:textId="6221AD20" w:rsidR="00302FC1" w:rsidRPr="00AB26B3" w:rsidRDefault="00D64F26">
            <w:pPr>
              <w:pStyle w:val="P68B1DB1-Normal12"/>
              <w:spacing w:after="0" w:line="240" w:lineRule="auto"/>
              <w:rPr>
                <w:noProof/>
                <w:spacing w:val="-6"/>
                <w:lang w:val="sk-SK"/>
              </w:rPr>
            </w:pPr>
            <w:r w:rsidRPr="00AB26B3">
              <w:rPr>
                <w:noProof/>
                <w:spacing w:val="-6"/>
                <w:lang w:val="sk-SK"/>
              </w:rPr>
              <w:t>Sú zriadené informačné systémy, vzory údajov</w:t>
            </w:r>
            <w:r w:rsidR="00AB26B3" w:rsidRPr="00AB26B3">
              <w:rPr>
                <w:noProof/>
                <w:spacing w:val="-6"/>
                <w:lang w:val="sk-SK"/>
              </w:rPr>
              <w:t xml:space="preserve"> a </w:t>
            </w:r>
            <w:r w:rsidRPr="00AB26B3">
              <w:rPr>
                <w:noProof/>
                <w:spacing w:val="-6"/>
                <w:lang w:val="sk-SK"/>
              </w:rPr>
              <w:t xml:space="preserve">platformy, prípadne nadobudnutie účinnosti právnych aktov </w:t>
            </w:r>
          </w:p>
        </w:tc>
        <w:tc>
          <w:tcPr>
            <w:tcW w:w="968" w:type="dxa"/>
            <w:tcBorders>
              <w:top w:val="single" w:sz="4" w:space="0" w:color="auto"/>
              <w:left w:val="single" w:sz="4" w:space="0" w:color="auto"/>
              <w:bottom w:val="single" w:sz="4" w:space="0" w:color="auto"/>
              <w:right w:val="single" w:sz="4" w:space="0" w:color="auto"/>
            </w:tcBorders>
            <w:shd w:val="clear" w:color="auto" w:fill="C6EFCE"/>
            <w:noWrap/>
          </w:tcPr>
          <w:p w14:paraId="5A3801B8"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57" w:type="dxa"/>
            <w:tcBorders>
              <w:top w:val="single" w:sz="4" w:space="0" w:color="auto"/>
              <w:left w:val="single" w:sz="4" w:space="0" w:color="auto"/>
              <w:bottom w:val="single" w:sz="4" w:space="0" w:color="auto"/>
              <w:right w:val="single" w:sz="4" w:space="0" w:color="auto"/>
            </w:tcBorders>
            <w:shd w:val="clear" w:color="auto" w:fill="C6EFCE"/>
            <w:noWrap/>
          </w:tcPr>
          <w:p w14:paraId="31A6C5B6"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587" w:type="dxa"/>
            <w:tcBorders>
              <w:top w:val="single" w:sz="4" w:space="0" w:color="auto"/>
              <w:left w:val="single" w:sz="4" w:space="0" w:color="auto"/>
              <w:bottom w:val="single" w:sz="4" w:space="0" w:color="auto"/>
              <w:right w:val="single" w:sz="4" w:space="0" w:color="auto"/>
            </w:tcBorders>
            <w:shd w:val="clear" w:color="auto" w:fill="C6EFCE"/>
            <w:noWrap/>
          </w:tcPr>
          <w:p w14:paraId="65FBB719"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04AC2E13"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673" w:type="dxa"/>
            <w:tcBorders>
              <w:top w:val="single" w:sz="4" w:space="0" w:color="auto"/>
              <w:left w:val="single" w:sz="4" w:space="0" w:color="auto"/>
              <w:bottom w:val="single" w:sz="4" w:space="0" w:color="auto"/>
              <w:right w:val="single" w:sz="4" w:space="0" w:color="auto"/>
            </w:tcBorders>
            <w:shd w:val="clear" w:color="auto" w:fill="C6EFCE"/>
            <w:noWrap/>
          </w:tcPr>
          <w:p w14:paraId="5C704945"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5194" w:type="dxa"/>
            <w:tcBorders>
              <w:top w:val="single" w:sz="4" w:space="0" w:color="auto"/>
              <w:left w:val="single" w:sz="4" w:space="0" w:color="auto"/>
              <w:bottom w:val="single" w:sz="4" w:space="0" w:color="auto"/>
              <w:right w:val="single" w:sz="4" w:space="0" w:color="auto"/>
            </w:tcBorders>
            <w:shd w:val="clear" w:color="auto" w:fill="C6EFCE"/>
            <w:noWrap/>
          </w:tcPr>
          <w:p w14:paraId="3B900C7D" w14:textId="77777777" w:rsidR="00AB26B3" w:rsidRPr="00AB26B3" w:rsidRDefault="00D64F26">
            <w:pPr>
              <w:pStyle w:val="P68B1DB1-ListParagraph19"/>
              <w:spacing w:after="0" w:line="240" w:lineRule="auto"/>
              <w:ind w:left="-29"/>
              <w:rPr>
                <w:noProof/>
                <w:spacing w:val="-6"/>
                <w:lang w:val="sk-SK"/>
              </w:rPr>
            </w:pPr>
            <w:r w:rsidRPr="00AB26B3">
              <w:rPr>
                <w:noProof/>
                <w:spacing w:val="-6"/>
                <w:lang w:val="sk-SK"/>
              </w:rPr>
              <w:t>1. Stanovenie:</w:t>
            </w:r>
          </w:p>
          <w:p w14:paraId="6A628ADA" w14:textId="3378C7A6" w:rsidR="00302FC1" w:rsidRPr="00AB26B3" w:rsidRDefault="00D64F26">
            <w:pPr>
              <w:pStyle w:val="P68B1DB1-ListParagraph19"/>
              <w:spacing w:after="0" w:line="240" w:lineRule="auto"/>
              <w:ind w:left="-29"/>
              <w:rPr>
                <w:noProof/>
                <w:spacing w:val="-6"/>
                <w:lang w:val="sk-SK"/>
              </w:rPr>
            </w:pPr>
            <w:r w:rsidRPr="00AB26B3">
              <w:rPr>
                <w:noProof/>
                <w:spacing w:val="-6"/>
                <w:lang w:val="sk-SK"/>
              </w:rPr>
              <w:t>a. Verejný informačný systém úverového ratingu (PCRIS)</w:t>
            </w:r>
          </w:p>
          <w:p w14:paraId="6027D0E3" w14:textId="77777777" w:rsidR="00AB26B3" w:rsidRPr="00AB26B3" w:rsidRDefault="00D64F26">
            <w:pPr>
              <w:pStyle w:val="P68B1DB1-ListParagraph19"/>
              <w:spacing w:after="0" w:line="240" w:lineRule="auto"/>
              <w:ind w:left="-29"/>
              <w:rPr>
                <w:noProof/>
                <w:spacing w:val="-6"/>
                <w:lang w:val="sk-SK"/>
              </w:rPr>
            </w:pPr>
            <w:r w:rsidRPr="00AB26B3">
              <w:rPr>
                <w:noProof/>
                <w:spacing w:val="-6"/>
                <w:lang w:val="sk-SK"/>
              </w:rPr>
              <w:t>informačný systém registra monitorovania súkromného dlhu</w:t>
            </w:r>
            <w:r w:rsidR="00AB26B3" w:rsidRPr="00AB26B3">
              <w:rPr>
                <w:noProof/>
                <w:spacing w:val="-6"/>
                <w:lang w:val="sk-SK"/>
              </w:rPr>
              <w:t>.</w:t>
            </w:r>
          </w:p>
          <w:p w14:paraId="5CB1D44F" w14:textId="50A8AD4A" w:rsidR="00AB26B3" w:rsidRPr="00AB26B3" w:rsidRDefault="00D64F26">
            <w:pPr>
              <w:pStyle w:val="P68B1DB1-ListParagraph19"/>
              <w:spacing w:after="0" w:line="240" w:lineRule="auto"/>
              <w:ind w:left="-29"/>
              <w:rPr>
                <w:noProof/>
                <w:spacing w:val="-6"/>
                <w:lang w:val="sk-SK"/>
              </w:rPr>
            </w:pPr>
            <w:r w:rsidRPr="00AB26B3">
              <w:rPr>
                <w:noProof/>
                <w:spacing w:val="-6"/>
                <w:lang w:val="sk-SK"/>
              </w:rPr>
              <w:t>C. Akcie týkajúce sa transakcií</w:t>
            </w:r>
            <w:r w:rsidR="00AB26B3" w:rsidRPr="00AB26B3">
              <w:rPr>
                <w:noProof/>
                <w:spacing w:val="-6"/>
                <w:lang w:val="sk-SK"/>
              </w:rPr>
              <w:t xml:space="preserve"> s </w:t>
            </w:r>
            <w:r w:rsidRPr="00AB26B3">
              <w:rPr>
                <w:noProof/>
                <w:spacing w:val="-6"/>
                <w:lang w:val="sk-SK"/>
              </w:rPr>
              <w:t>nesplácanými úvermi</w:t>
            </w:r>
            <w:r w:rsidR="00AB26B3" w:rsidRPr="00AB26B3">
              <w:rPr>
                <w:noProof/>
                <w:spacing w:val="-6"/>
                <w:lang w:val="sk-SK"/>
              </w:rPr>
              <w:t>:</w:t>
            </w:r>
          </w:p>
          <w:p w14:paraId="25B6B033" w14:textId="72892E83" w:rsidR="00302FC1" w:rsidRPr="00AB26B3" w:rsidRDefault="00D64F26">
            <w:pPr>
              <w:pStyle w:val="P68B1DB1-ListParagraph19"/>
              <w:numPr>
                <w:ilvl w:val="0"/>
                <w:numId w:val="51"/>
              </w:numPr>
              <w:spacing w:after="0" w:line="240" w:lineRule="auto"/>
              <w:ind w:left="851" w:hanging="567"/>
              <w:rPr>
                <w:noProof/>
                <w:spacing w:val="-6"/>
                <w:lang w:val="sk-SK"/>
              </w:rPr>
            </w:pPr>
            <w:r w:rsidRPr="00AB26B3">
              <w:rPr>
                <w:noProof/>
                <w:spacing w:val="-6"/>
                <w:lang w:val="sk-SK"/>
              </w:rPr>
              <w:t>spoločný vzor údajov pre transakcie</w:t>
            </w:r>
            <w:r w:rsidR="00AB26B3" w:rsidRPr="00AB26B3">
              <w:rPr>
                <w:noProof/>
                <w:spacing w:val="-6"/>
                <w:lang w:val="sk-SK"/>
              </w:rPr>
              <w:t xml:space="preserve"> s </w:t>
            </w:r>
            <w:r w:rsidRPr="00AB26B3">
              <w:rPr>
                <w:noProof/>
                <w:spacing w:val="-6"/>
                <w:lang w:val="sk-SK"/>
              </w:rPr>
              <w:t>nesplácanými úvermi;</w:t>
            </w:r>
          </w:p>
          <w:p w14:paraId="6C9261ED" w14:textId="0C79FE09" w:rsidR="00302FC1" w:rsidRPr="00AB26B3" w:rsidRDefault="00D64F26">
            <w:pPr>
              <w:pStyle w:val="P68B1DB1-ListParagraph19"/>
              <w:numPr>
                <w:ilvl w:val="0"/>
                <w:numId w:val="51"/>
              </w:numPr>
              <w:spacing w:after="0" w:line="240" w:lineRule="auto"/>
              <w:ind w:left="851" w:hanging="567"/>
              <w:rPr>
                <w:noProof/>
                <w:spacing w:val="-6"/>
                <w:lang w:val="sk-SK"/>
              </w:rPr>
            </w:pPr>
            <w:r w:rsidRPr="00AB26B3">
              <w:rPr>
                <w:noProof/>
                <w:spacing w:val="-6"/>
                <w:lang w:val="sk-SK"/>
              </w:rPr>
              <w:t>spoločný vzor na preverovanie</w:t>
            </w:r>
            <w:r w:rsidR="00AB26B3" w:rsidRPr="00AB26B3">
              <w:rPr>
                <w:noProof/>
                <w:spacing w:val="-6"/>
                <w:lang w:val="sk-SK"/>
              </w:rPr>
              <w:t xml:space="preserve"> a </w:t>
            </w:r>
            <w:r w:rsidRPr="00AB26B3">
              <w:rPr>
                <w:noProof/>
                <w:spacing w:val="-6"/>
                <w:lang w:val="sk-SK"/>
              </w:rPr>
              <w:t>hodnotenie portfólia;</w:t>
            </w:r>
          </w:p>
          <w:p w14:paraId="46C3B34A" w14:textId="6140B33E" w:rsidR="00302FC1" w:rsidRPr="00AB26B3" w:rsidRDefault="00D64F26">
            <w:pPr>
              <w:pStyle w:val="P68B1DB1-ListParagraph19"/>
              <w:numPr>
                <w:ilvl w:val="0"/>
                <w:numId w:val="51"/>
              </w:numPr>
              <w:spacing w:after="0" w:line="240" w:lineRule="auto"/>
              <w:ind w:left="851" w:hanging="567"/>
              <w:rPr>
                <w:noProof/>
                <w:spacing w:val="-6"/>
                <w:lang w:val="sk-SK"/>
              </w:rPr>
            </w:pPr>
            <w:r w:rsidRPr="00AB26B3">
              <w:rPr>
                <w:noProof/>
                <w:spacing w:val="-6"/>
                <w:lang w:val="sk-SK"/>
              </w:rPr>
              <w:t xml:space="preserve"> transakčná platforma pre portfóliá nesplácaných úverov pre predávajúcich</w:t>
            </w:r>
            <w:r w:rsidR="00AB26B3" w:rsidRPr="00AB26B3">
              <w:rPr>
                <w:noProof/>
                <w:spacing w:val="-6"/>
                <w:lang w:val="sk-SK"/>
              </w:rPr>
              <w:t xml:space="preserve"> a </w:t>
            </w:r>
            <w:r w:rsidRPr="00AB26B3">
              <w:rPr>
                <w:noProof/>
                <w:spacing w:val="-6"/>
                <w:lang w:val="sk-SK"/>
              </w:rPr>
              <w:t>kupujúcich.</w:t>
            </w:r>
          </w:p>
          <w:p w14:paraId="34447136" w14:textId="77777777" w:rsidR="00AB26B3" w:rsidRPr="00AB26B3" w:rsidRDefault="00D64F26">
            <w:pPr>
              <w:pStyle w:val="P68B1DB1-ListParagraph19"/>
              <w:spacing w:after="0" w:line="240" w:lineRule="auto"/>
              <w:ind w:left="-29"/>
              <w:rPr>
                <w:noProof/>
                <w:spacing w:val="-6"/>
                <w:lang w:val="sk-SK"/>
              </w:rPr>
            </w:pPr>
            <w:r w:rsidRPr="00AB26B3">
              <w:rPr>
                <w:noProof/>
                <w:spacing w:val="-6"/>
                <w:lang w:val="sk-SK"/>
              </w:rPr>
              <w:t>2. Informačný systém centrálneho registra úverov (CCR)</w:t>
            </w:r>
          </w:p>
          <w:p w14:paraId="1740D1C8" w14:textId="203BE171" w:rsidR="00302FC1" w:rsidRPr="00AB26B3" w:rsidRDefault="00302FC1">
            <w:pPr>
              <w:pStyle w:val="ListParagraph"/>
              <w:spacing w:after="0" w:line="240" w:lineRule="auto"/>
              <w:ind w:left="113" w:hanging="142"/>
              <w:rPr>
                <w:rFonts w:ascii="Times New Roman" w:hAnsi="Times New Roman" w:cs="Times New Roman"/>
                <w:noProof/>
                <w:color w:val="006100"/>
                <w:spacing w:val="-6"/>
                <w:sz w:val="18"/>
                <w:szCs w:val="18"/>
                <w:lang w:val="sk-SK"/>
              </w:rPr>
            </w:pPr>
          </w:p>
          <w:p w14:paraId="2D7DE906" w14:textId="1F1B9775" w:rsidR="00AB26B3" w:rsidRPr="00AB26B3" w:rsidRDefault="00D64F26">
            <w:pPr>
              <w:pStyle w:val="P68B1DB1-ListParagraph19"/>
              <w:spacing w:after="0" w:line="240" w:lineRule="auto"/>
              <w:ind w:left="-29"/>
              <w:rPr>
                <w:noProof/>
                <w:spacing w:val="-6"/>
                <w:lang w:val="sk-SK"/>
              </w:rPr>
            </w:pPr>
            <w:r w:rsidRPr="00AB26B3">
              <w:rPr>
                <w:noProof/>
                <w:spacing w:val="-6"/>
                <w:lang w:val="sk-SK"/>
              </w:rPr>
              <w:t>3. Nadobudnutie účinnosti právnych predpisov</w:t>
            </w:r>
            <w:r w:rsidR="00AB26B3" w:rsidRPr="00AB26B3">
              <w:rPr>
                <w:noProof/>
                <w:spacing w:val="-6"/>
                <w:lang w:val="sk-SK"/>
              </w:rPr>
              <w:t xml:space="preserve"> o </w:t>
            </w:r>
            <w:r w:rsidRPr="00AB26B3">
              <w:rPr>
                <w:noProof/>
                <w:spacing w:val="-6"/>
                <w:lang w:val="sk-SK"/>
              </w:rPr>
              <w:t>riešení prípadov</w:t>
            </w:r>
            <w:r w:rsidR="00AB26B3" w:rsidRPr="00AB26B3">
              <w:rPr>
                <w:noProof/>
                <w:spacing w:val="-6"/>
                <w:lang w:val="sk-SK"/>
              </w:rPr>
              <w:t xml:space="preserve"> a </w:t>
            </w:r>
            <w:r w:rsidRPr="00AB26B3">
              <w:rPr>
                <w:noProof/>
                <w:spacing w:val="-6"/>
                <w:lang w:val="sk-SK"/>
              </w:rPr>
              <w:t>znížení počtu nevybavených prípadov</w:t>
            </w:r>
            <w:r w:rsidR="00AB26B3" w:rsidRPr="00AB26B3">
              <w:rPr>
                <w:noProof/>
                <w:spacing w:val="-6"/>
                <w:lang w:val="sk-SK"/>
              </w:rPr>
              <w:t xml:space="preserve"> v </w:t>
            </w:r>
            <w:r w:rsidRPr="00AB26B3">
              <w:rPr>
                <w:noProof/>
                <w:spacing w:val="-6"/>
                <w:lang w:val="sk-SK"/>
              </w:rPr>
              <w:t>exekučných konaniach prostredníctvom zmien Občianskeho súdneho poriadku, ako sú okrem iného: a) prispôsobenie pravidiel</w:t>
            </w:r>
            <w:r w:rsidR="00AB26B3" w:rsidRPr="00AB26B3">
              <w:rPr>
                <w:noProof/>
                <w:spacing w:val="-6"/>
                <w:lang w:val="sk-SK"/>
              </w:rPr>
              <w:t xml:space="preserve"> o </w:t>
            </w:r>
            <w:r w:rsidRPr="00AB26B3">
              <w:rPr>
                <w:noProof/>
                <w:spacing w:val="-6"/>
                <w:lang w:val="sk-SK"/>
              </w:rPr>
              <w:t>predbežných opatreniach exekučnému konaniu, b) oddelenie hmotnoprávnych námietok pred aukciou od procesných námietok, c) zmena územnej právomoci súdov zrušením voľby právomoci súdu prvého stupňa</w:t>
            </w:r>
            <w:r w:rsidR="00AB26B3" w:rsidRPr="00AB26B3">
              <w:rPr>
                <w:noProof/>
                <w:spacing w:val="-6"/>
                <w:lang w:val="sk-SK"/>
              </w:rPr>
              <w:t xml:space="preserve"> v </w:t>
            </w:r>
            <w:r w:rsidRPr="00AB26B3">
              <w:rPr>
                <w:noProof/>
                <w:spacing w:val="-6"/>
                <w:lang w:val="sk-SK"/>
              </w:rPr>
              <w:t>Aténach</w:t>
            </w:r>
            <w:r w:rsidR="00AB26B3" w:rsidRPr="00AB26B3">
              <w:rPr>
                <w:noProof/>
                <w:spacing w:val="-6"/>
                <w:lang w:val="sk-SK"/>
              </w:rPr>
              <w:t xml:space="preserve"> a </w:t>
            </w:r>
            <w:r w:rsidRPr="00AB26B3">
              <w:rPr>
                <w:noProof/>
                <w:spacing w:val="-6"/>
                <w:lang w:val="sk-SK"/>
              </w:rPr>
              <w:t>ustanovenia, ktorými sa vytvára mechanizmus na zmenu termínu pojednávania pre námietky „pred aukciou“</w:t>
            </w:r>
            <w:r w:rsidR="00AB26B3" w:rsidRPr="00AB26B3">
              <w:rPr>
                <w:noProof/>
                <w:spacing w:val="-6"/>
                <w:lang w:val="sk-SK"/>
              </w:rPr>
              <w:t xml:space="preserve"> a </w:t>
            </w:r>
            <w:r w:rsidRPr="00AB26B3">
              <w:rPr>
                <w:noProof/>
                <w:spacing w:val="-6"/>
                <w:lang w:val="sk-SK"/>
              </w:rPr>
              <w:t>„po aukcii“</w:t>
            </w:r>
            <w:r w:rsidR="00AB26B3" w:rsidRPr="00AB26B3">
              <w:rPr>
                <w:noProof/>
                <w:spacing w:val="-6"/>
                <w:lang w:val="sk-SK"/>
              </w:rPr>
              <w:t xml:space="preserve"> v </w:t>
            </w:r>
            <w:r w:rsidRPr="00AB26B3">
              <w:rPr>
                <w:noProof/>
                <w:spacing w:val="-6"/>
                <w:lang w:val="sk-SK"/>
              </w:rPr>
              <w:t>kratšom časovom horizonte</w:t>
            </w:r>
            <w:r w:rsidR="00AB26B3" w:rsidRPr="00AB26B3">
              <w:rPr>
                <w:noProof/>
                <w:spacing w:val="-6"/>
                <w:lang w:val="sk-SK"/>
              </w:rPr>
              <w:t>.</w:t>
            </w:r>
          </w:p>
          <w:p w14:paraId="598DC78F" w14:textId="02B9D06F"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bl>
    <w:p w14:paraId="02D81BE3"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37B27B1A"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552971A8"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256"/>
          <w:headerReference w:type="default" r:id="rId257"/>
          <w:footerReference w:type="even" r:id="rId258"/>
          <w:footerReference w:type="default" r:id="rId259"/>
          <w:headerReference w:type="first" r:id="rId260"/>
          <w:footerReference w:type="first" r:id="rId261"/>
          <w:pgSz w:w="16839" w:h="11907" w:orient="landscape"/>
          <w:pgMar w:top="720" w:right="720" w:bottom="720" w:left="720" w:header="709" w:footer="501" w:gutter="0"/>
          <w:cols w:space="720"/>
          <w:docGrid w:linePitch="360"/>
        </w:sectPr>
      </w:pPr>
    </w:p>
    <w:p w14:paraId="762E3C7F"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P. KOMPONENT 4.5: PODPORIŤ VÝSKUM A INOVÁCIE</w:t>
      </w:r>
    </w:p>
    <w:p w14:paraId="66D3B9AA" w14:textId="30BF1150"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Kľúčovými cieľmi tohto komponentu gréckeho plánu obnovy</w:t>
      </w:r>
      <w:r w:rsidR="00AB26B3" w:rsidRPr="00AB26B3">
        <w:rPr>
          <w:noProof/>
          <w:spacing w:val="-6"/>
          <w:lang w:val="sk-SK"/>
        </w:rPr>
        <w:t xml:space="preserve"> a </w:t>
      </w:r>
      <w:r w:rsidRPr="00AB26B3">
        <w:rPr>
          <w:noProof/>
          <w:spacing w:val="-6"/>
          <w:lang w:val="sk-SK"/>
        </w:rPr>
        <w:t>odolnosti je zvýšiť verejné</w:t>
      </w:r>
      <w:r w:rsidR="00AB26B3" w:rsidRPr="00AB26B3">
        <w:rPr>
          <w:noProof/>
          <w:spacing w:val="-6"/>
          <w:lang w:val="sk-SK"/>
        </w:rPr>
        <w:t xml:space="preserve"> a </w:t>
      </w:r>
      <w:r w:rsidRPr="00AB26B3">
        <w:rPr>
          <w:noProof/>
          <w:spacing w:val="-6"/>
          <w:lang w:val="sk-SK"/>
        </w:rPr>
        <w:t>súkromné investície do výskumu</w:t>
      </w:r>
      <w:r w:rsidR="00AB26B3" w:rsidRPr="00AB26B3">
        <w:rPr>
          <w:noProof/>
          <w:spacing w:val="-6"/>
          <w:lang w:val="sk-SK"/>
        </w:rPr>
        <w:t xml:space="preserve"> a </w:t>
      </w:r>
      <w:r w:rsidRPr="00AB26B3">
        <w:rPr>
          <w:noProof/>
          <w:spacing w:val="-6"/>
          <w:lang w:val="sk-SK"/>
        </w:rPr>
        <w:t>vývoja, posilniť väzby medzi vedou</w:t>
      </w:r>
      <w:r w:rsidR="00AB26B3" w:rsidRPr="00AB26B3">
        <w:rPr>
          <w:noProof/>
          <w:spacing w:val="-6"/>
          <w:lang w:val="sk-SK"/>
        </w:rPr>
        <w:t xml:space="preserve"> a </w:t>
      </w:r>
      <w:r w:rsidRPr="00AB26B3">
        <w:rPr>
          <w:noProof/>
          <w:spacing w:val="-6"/>
          <w:lang w:val="sk-SK"/>
        </w:rPr>
        <w:t>podnikmi</w:t>
      </w:r>
      <w:r w:rsidR="00AB26B3" w:rsidRPr="00AB26B3">
        <w:rPr>
          <w:noProof/>
          <w:spacing w:val="-6"/>
          <w:lang w:val="sk-SK"/>
        </w:rPr>
        <w:t xml:space="preserve"> a </w:t>
      </w:r>
      <w:r w:rsidRPr="00AB26B3">
        <w:rPr>
          <w:noProof/>
          <w:spacing w:val="-6"/>
          <w:lang w:val="sk-SK"/>
        </w:rPr>
        <w:t>vytvoriť priekopnícku infraštruktúru</w:t>
      </w:r>
      <w:r w:rsidR="00AB26B3" w:rsidRPr="00AB26B3">
        <w:rPr>
          <w:noProof/>
          <w:spacing w:val="-6"/>
          <w:lang w:val="sk-SK"/>
        </w:rPr>
        <w:t xml:space="preserve"> v </w:t>
      </w:r>
      <w:r w:rsidRPr="00AB26B3">
        <w:rPr>
          <w:noProof/>
          <w:spacing w:val="-6"/>
          <w:lang w:val="sk-SK"/>
        </w:rPr>
        <w:t>oblasti výskumu</w:t>
      </w:r>
      <w:r w:rsidR="00AB26B3" w:rsidRPr="00AB26B3">
        <w:rPr>
          <w:noProof/>
          <w:spacing w:val="-6"/>
          <w:lang w:val="sk-SK"/>
        </w:rPr>
        <w:t xml:space="preserve"> a </w:t>
      </w:r>
      <w:r w:rsidRPr="00AB26B3">
        <w:rPr>
          <w:noProof/>
          <w:spacing w:val="-6"/>
          <w:lang w:val="sk-SK"/>
        </w:rPr>
        <w:t>vývoja</w:t>
      </w:r>
      <w:r w:rsidR="00AB26B3" w:rsidRPr="00AB26B3">
        <w:rPr>
          <w:noProof/>
          <w:spacing w:val="-6"/>
          <w:lang w:val="sk-SK"/>
        </w:rPr>
        <w:t xml:space="preserve"> s </w:t>
      </w:r>
      <w:r w:rsidRPr="00AB26B3">
        <w:rPr>
          <w:noProof/>
          <w:spacing w:val="-6"/>
          <w:lang w:val="sk-SK"/>
        </w:rPr>
        <w:t>cieľom zlepšiť výkonnosť Grécka</w:t>
      </w:r>
      <w:r w:rsidR="00AB26B3" w:rsidRPr="00AB26B3">
        <w:rPr>
          <w:noProof/>
          <w:spacing w:val="-6"/>
          <w:lang w:val="sk-SK"/>
        </w:rPr>
        <w:t xml:space="preserve"> v </w:t>
      </w:r>
      <w:r w:rsidRPr="00AB26B3">
        <w:rPr>
          <w:noProof/>
          <w:spacing w:val="-6"/>
          <w:lang w:val="sk-SK"/>
        </w:rPr>
        <w:t>oblasti výskumu</w:t>
      </w:r>
      <w:r w:rsidR="00AB26B3" w:rsidRPr="00AB26B3">
        <w:rPr>
          <w:noProof/>
          <w:spacing w:val="-6"/>
          <w:lang w:val="sk-SK"/>
        </w:rPr>
        <w:t xml:space="preserve"> a </w:t>
      </w:r>
      <w:r w:rsidRPr="00AB26B3">
        <w:rPr>
          <w:noProof/>
          <w:spacing w:val="-6"/>
          <w:lang w:val="sk-SK"/>
        </w:rPr>
        <w:t>inovácií. Očakáva sa, že sa to dosiahne prostredníctvom cielených reforiem</w:t>
      </w:r>
      <w:r w:rsidR="00AB26B3" w:rsidRPr="00AB26B3">
        <w:rPr>
          <w:noProof/>
          <w:spacing w:val="-6"/>
          <w:lang w:val="sk-SK"/>
        </w:rPr>
        <w:t xml:space="preserve"> a </w:t>
      </w:r>
      <w:r w:rsidRPr="00AB26B3">
        <w:rPr>
          <w:noProof/>
          <w:spacing w:val="-6"/>
          <w:lang w:val="sk-SK"/>
        </w:rPr>
        <w:t>investícií na zvýšenie verejných</w:t>
      </w:r>
      <w:r w:rsidR="00AB26B3" w:rsidRPr="00AB26B3">
        <w:rPr>
          <w:noProof/>
          <w:spacing w:val="-6"/>
          <w:lang w:val="sk-SK"/>
        </w:rPr>
        <w:t xml:space="preserve"> a </w:t>
      </w:r>
      <w:r w:rsidRPr="00AB26B3">
        <w:rPr>
          <w:noProof/>
          <w:spacing w:val="-6"/>
          <w:lang w:val="sk-SK"/>
        </w:rPr>
        <w:t>súkromných výdavkov na výskum</w:t>
      </w:r>
      <w:r w:rsidR="00AB26B3" w:rsidRPr="00AB26B3">
        <w:rPr>
          <w:noProof/>
          <w:spacing w:val="-6"/>
          <w:lang w:val="sk-SK"/>
        </w:rPr>
        <w:t xml:space="preserve"> a </w:t>
      </w:r>
      <w:r w:rsidRPr="00AB26B3">
        <w:rPr>
          <w:noProof/>
          <w:spacing w:val="-6"/>
          <w:lang w:val="sk-SK"/>
        </w:rPr>
        <w:t>vývoj, modernizáciu výskumných infraštruktúr krajiny, podporu financovania výskumu</w:t>
      </w:r>
      <w:r w:rsidR="00AB26B3" w:rsidRPr="00AB26B3">
        <w:rPr>
          <w:noProof/>
          <w:spacing w:val="-6"/>
          <w:lang w:val="sk-SK"/>
        </w:rPr>
        <w:t xml:space="preserve"> a </w:t>
      </w:r>
      <w:r w:rsidRPr="00AB26B3">
        <w:rPr>
          <w:noProof/>
          <w:spacing w:val="-6"/>
          <w:lang w:val="sk-SK"/>
        </w:rPr>
        <w:t>rozvoj výskumnej spolupráce. Komponent zahŕňa aj vývoj informačného systému civilnej ochrany, ktorý</w:t>
      </w:r>
      <w:r w:rsidR="00AB26B3" w:rsidRPr="00AB26B3">
        <w:rPr>
          <w:noProof/>
          <w:spacing w:val="-6"/>
          <w:lang w:val="sk-SK"/>
        </w:rPr>
        <w:t xml:space="preserve"> v </w:t>
      </w:r>
      <w:r w:rsidRPr="00AB26B3">
        <w:rPr>
          <w:noProof/>
          <w:spacing w:val="-6"/>
          <w:lang w:val="sk-SK"/>
        </w:rPr>
        <w:t>reálnom čase informuje príslušné orgány</w:t>
      </w:r>
      <w:r w:rsidR="00AB26B3" w:rsidRPr="00AB26B3">
        <w:rPr>
          <w:noProof/>
          <w:spacing w:val="-6"/>
          <w:lang w:val="sk-SK"/>
        </w:rPr>
        <w:t xml:space="preserve"> o </w:t>
      </w:r>
      <w:r w:rsidRPr="00AB26B3">
        <w:rPr>
          <w:noProof/>
          <w:spacing w:val="-6"/>
          <w:lang w:val="sk-SK"/>
        </w:rPr>
        <w:t>fyzických javoch</w:t>
      </w:r>
      <w:r w:rsidR="00AB26B3" w:rsidRPr="00AB26B3">
        <w:rPr>
          <w:noProof/>
          <w:spacing w:val="-6"/>
          <w:lang w:val="sk-SK"/>
        </w:rPr>
        <w:t xml:space="preserve"> a </w:t>
      </w:r>
      <w:r w:rsidRPr="00AB26B3">
        <w:rPr>
          <w:noProof/>
          <w:spacing w:val="-6"/>
          <w:lang w:val="sk-SK"/>
        </w:rPr>
        <w:t>prírodných katastrofách</w:t>
      </w:r>
      <w:r w:rsidR="00AB26B3" w:rsidRPr="00AB26B3">
        <w:rPr>
          <w:noProof/>
          <w:spacing w:val="-6"/>
          <w:lang w:val="sk-SK"/>
        </w:rPr>
        <w:t xml:space="preserve"> a </w:t>
      </w:r>
      <w:r w:rsidRPr="00AB26B3">
        <w:rPr>
          <w:noProof/>
          <w:spacing w:val="-6"/>
          <w:lang w:val="sk-SK"/>
        </w:rPr>
        <w:t>zároveň podporuje ich spoluprácu. Tieto investície takisto uľahčia digitálnu transformáciu prostredníctvom vývoja pokročilých digitálnych technológií</w:t>
      </w:r>
      <w:r w:rsidR="00AB26B3" w:rsidRPr="00AB26B3">
        <w:rPr>
          <w:noProof/>
          <w:spacing w:val="-6"/>
          <w:lang w:val="sk-SK"/>
        </w:rPr>
        <w:t xml:space="preserve"> a </w:t>
      </w:r>
      <w:r w:rsidRPr="00AB26B3">
        <w:rPr>
          <w:noProof/>
          <w:spacing w:val="-6"/>
          <w:lang w:val="sk-SK"/>
        </w:rPr>
        <w:t>digitalizácie metód civilnej ochrany, ako aj podporia zelenú transformáciu zmiernením vplyvu zmien klímy</w:t>
      </w:r>
      <w:r w:rsidR="00AB26B3" w:rsidRPr="00AB26B3">
        <w:rPr>
          <w:noProof/>
          <w:spacing w:val="-6"/>
          <w:lang w:val="sk-SK"/>
        </w:rPr>
        <w:t xml:space="preserve"> s </w:t>
      </w:r>
      <w:r w:rsidRPr="00AB26B3">
        <w:rPr>
          <w:noProof/>
          <w:spacing w:val="-6"/>
          <w:lang w:val="sk-SK"/>
        </w:rPr>
        <w:t>cieľom zabezpečiť civilnú ochranu. Komponent podporuje plnenie odporúčaní pre jednotlivé krajiny týkajúcich sa verejných</w:t>
      </w:r>
      <w:r w:rsidR="00AB26B3" w:rsidRPr="00AB26B3">
        <w:rPr>
          <w:noProof/>
          <w:spacing w:val="-6"/>
          <w:lang w:val="sk-SK"/>
        </w:rPr>
        <w:t xml:space="preserve"> a </w:t>
      </w:r>
      <w:r w:rsidRPr="00AB26B3">
        <w:rPr>
          <w:noProof/>
          <w:spacing w:val="-6"/>
          <w:lang w:val="sk-SK"/>
        </w:rPr>
        <w:t xml:space="preserve">súkromných investícií (odporúčanie pre jednotlivé krajiny </w:t>
      </w:r>
      <w:r w:rsidR="00AB26B3" w:rsidRPr="00AB26B3">
        <w:rPr>
          <w:noProof/>
          <w:spacing w:val="-6"/>
          <w:lang w:val="sk-SK"/>
        </w:rPr>
        <w:t>č. </w:t>
      </w:r>
      <w:r w:rsidRPr="00AB26B3">
        <w:rPr>
          <w:noProof/>
          <w:spacing w:val="-6"/>
          <w:lang w:val="sk-SK"/>
        </w:rPr>
        <w:t>2 2019</w:t>
      </w:r>
      <w:r w:rsidR="00AB26B3" w:rsidRPr="00AB26B3">
        <w:rPr>
          <w:noProof/>
          <w:spacing w:val="-6"/>
          <w:lang w:val="sk-SK"/>
        </w:rPr>
        <w:t xml:space="preserve"> a </w:t>
      </w:r>
      <w:r w:rsidRPr="00AB26B3">
        <w:rPr>
          <w:noProof/>
          <w:spacing w:val="-6"/>
          <w:lang w:val="sk-SK"/>
        </w:rPr>
        <w:t xml:space="preserve">odporúčanie pre jednotlivé krajiny </w:t>
      </w:r>
      <w:r w:rsidR="00AB26B3" w:rsidRPr="00AB26B3">
        <w:rPr>
          <w:noProof/>
          <w:spacing w:val="-6"/>
          <w:lang w:val="sk-SK"/>
        </w:rPr>
        <w:t>č. </w:t>
      </w:r>
      <w:r w:rsidRPr="00AB26B3">
        <w:rPr>
          <w:noProof/>
          <w:spacing w:val="-6"/>
          <w:lang w:val="sk-SK"/>
        </w:rPr>
        <w:t>3 2020).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63868D64" w14:textId="038A29B3" w:rsidR="00302FC1" w:rsidRPr="00AB26B3" w:rsidRDefault="00D64F26">
      <w:pPr>
        <w:pStyle w:val="P68B1DB1-Normal6"/>
        <w:spacing w:before="120" w:after="120" w:line="240" w:lineRule="auto"/>
        <w:jc w:val="both"/>
        <w:rPr>
          <w:rFonts w:cs="Times New Roman"/>
          <w:i/>
          <w:noProof/>
          <w:color w:val="4F81BD"/>
          <w:spacing w:val="-6"/>
          <w:lang w:val="sk-SK"/>
        </w:rPr>
      </w:pPr>
      <w:r w:rsidRPr="00AB26B3">
        <w:rPr>
          <w:noProof/>
          <w:spacing w:val="-6"/>
          <w:lang w:val="sk-SK"/>
        </w:rPr>
        <w:t>P.1.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3BEB1EFA" w14:textId="324D85FF"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Vytvorenie – rozšírenie – modernizácia infraštruktúr výskumných centier pod dohľadom Generálneho sekretariátu pre výskum</w:t>
      </w:r>
      <w:r w:rsidR="00AB26B3" w:rsidRPr="00AB26B3">
        <w:rPr>
          <w:noProof/>
          <w:spacing w:val="-6"/>
          <w:lang w:val="sk-SK"/>
        </w:rPr>
        <w:t xml:space="preserve"> a </w:t>
      </w:r>
      <w:r w:rsidRPr="00AB26B3">
        <w:rPr>
          <w:noProof/>
          <w:spacing w:val="-6"/>
          <w:lang w:val="sk-SK"/>
        </w:rPr>
        <w:t>inováciu (GSRI) (opatrenie ID 16624)</w:t>
      </w:r>
    </w:p>
    <w:p w14:paraId="2D146725" w14:textId="388DEDFE"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zvýšiť kapacitu výskumných centier. Investícia pozostáva</w:t>
      </w:r>
      <w:r w:rsidR="00AB26B3" w:rsidRPr="00AB26B3">
        <w:rPr>
          <w:noProof/>
          <w:spacing w:val="-6"/>
          <w:lang w:val="sk-SK"/>
        </w:rPr>
        <w:t xml:space="preserve"> z </w:t>
      </w:r>
      <w:r w:rsidRPr="00AB26B3">
        <w:rPr>
          <w:noProof/>
          <w:spacing w:val="-6"/>
          <w:lang w:val="sk-SK"/>
        </w:rPr>
        <w:t>investičných projektov týkajúcich sa 11 výskumných centier</w:t>
      </w:r>
      <w:r w:rsidR="00AB26B3" w:rsidRPr="00AB26B3">
        <w:rPr>
          <w:noProof/>
          <w:spacing w:val="-6"/>
          <w:lang w:val="sk-SK"/>
        </w:rPr>
        <w:t>.</w:t>
      </w:r>
    </w:p>
    <w:p w14:paraId="77B47B90" w14:textId="05D27A3B"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Základný</w:t>
      </w:r>
      <w:r w:rsidR="00AB26B3" w:rsidRPr="00AB26B3">
        <w:rPr>
          <w:noProof/>
          <w:spacing w:val="-6"/>
          <w:lang w:val="sk-SK"/>
        </w:rPr>
        <w:t xml:space="preserve"> a </w:t>
      </w:r>
      <w:r w:rsidRPr="00AB26B3">
        <w:rPr>
          <w:noProof/>
          <w:spacing w:val="-6"/>
          <w:lang w:val="sk-SK"/>
        </w:rPr>
        <w:t>aplikovaný výskum (opatrenie ID 16618)</w:t>
      </w:r>
    </w:p>
    <w:p w14:paraId="61F53A39" w14:textId="25502229"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investície je uľahčiť základný</w:t>
      </w:r>
      <w:r w:rsidR="00AB26B3" w:rsidRPr="00AB26B3">
        <w:rPr>
          <w:noProof/>
          <w:spacing w:val="-6"/>
          <w:lang w:val="sk-SK"/>
        </w:rPr>
        <w:t xml:space="preserve"> a </w:t>
      </w:r>
      <w:r w:rsidRPr="00AB26B3">
        <w:rPr>
          <w:noProof/>
          <w:spacing w:val="-6"/>
          <w:lang w:val="sk-SK"/>
        </w:rPr>
        <w:t>aplikovaný výskum</w:t>
      </w:r>
      <w:r w:rsidR="00AB26B3" w:rsidRPr="00AB26B3">
        <w:rPr>
          <w:noProof/>
          <w:spacing w:val="-6"/>
          <w:lang w:val="sk-SK"/>
        </w:rPr>
        <w:t xml:space="preserve"> v </w:t>
      </w:r>
      <w:r w:rsidRPr="00AB26B3">
        <w:rPr>
          <w:noProof/>
          <w:spacing w:val="-6"/>
          <w:lang w:val="sk-SK"/>
        </w:rPr>
        <w:t>Grécku. Investícia pozostáva zo základných</w:t>
      </w:r>
      <w:r w:rsidR="00AB26B3" w:rsidRPr="00AB26B3">
        <w:rPr>
          <w:noProof/>
          <w:spacing w:val="-6"/>
          <w:lang w:val="sk-SK"/>
        </w:rPr>
        <w:t xml:space="preserve"> a </w:t>
      </w:r>
      <w:r w:rsidRPr="00AB26B3">
        <w:rPr>
          <w:noProof/>
          <w:spacing w:val="-6"/>
          <w:lang w:val="sk-SK"/>
        </w:rPr>
        <w:t>aplikovaných výskumných projektov.</w:t>
      </w:r>
    </w:p>
    <w:p w14:paraId="17C780BD"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w:t>
      </w:r>
      <w:r w:rsidRPr="00AB26B3">
        <w:rPr>
          <w:noProof/>
          <w:spacing w:val="-6"/>
          <w:vertAlign w:val="superscript"/>
          <w:lang w:val="sk-SK"/>
        </w:rPr>
        <w:t>DRUHÝ</w:t>
      </w:r>
      <w:r w:rsidRPr="00AB26B3">
        <w:rPr>
          <w:noProof/>
          <w:spacing w:val="-6"/>
          <w:lang w:val="sk-SK"/>
        </w:rPr>
        <w:t>ORAX: Trellis Holistic &amp; Hybrid Operational Ruggedised Autonómny eXemplárny systém (opatrenie ID 16654)</w:t>
      </w:r>
    </w:p>
    <w:p w14:paraId="1F278F84" w14:textId="0BD716AE" w:rsidR="00AB26B3" w:rsidRPr="00AB26B3" w:rsidRDefault="00D64F26">
      <w:pPr>
        <w:pStyle w:val="P68B1DB1-Normal7"/>
        <w:spacing w:before="120" w:after="120" w:line="240" w:lineRule="auto"/>
        <w:jc w:val="both"/>
        <w:rPr>
          <w:noProof/>
          <w:color w:val="000000" w:themeColor="text1"/>
          <w:spacing w:val="-6"/>
          <w:lang w:val="sk-SK"/>
        </w:rPr>
      </w:pPr>
      <w:r w:rsidRPr="00AB26B3">
        <w:rPr>
          <w:noProof/>
          <w:color w:val="000000" w:themeColor="text1"/>
          <w:spacing w:val="-6"/>
          <w:lang w:val="sk-SK"/>
        </w:rPr>
        <w:t>Cieľom tejto investície je informačný systém „novej generácie“, ktorý kombinuje rôzne infraštruktúry spolupráce</w:t>
      </w:r>
      <w:r w:rsidR="00AB26B3" w:rsidRPr="00AB26B3">
        <w:rPr>
          <w:noProof/>
          <w:color w:val="000000" w:themeColor="text1"/>
          <w:spacing w:val="-6"/>
          <w:lang w:val="sk-SK"/>
        </w:rPr>
        <w:t xml:space="preserve"> s </w:t>
      </w:r>
      <w:r w:rsidRPr="00AB26B3">
        <w:rPr>
          <w:noProof/>
          <w:color w:val="000000" w:themeColor="text1"/>
          <w:spacing w:val="-6"/>
          <w:lang w:val="sk-SK"/>
        </w:rPr>
        <w:t>cieľom zlepšiť rozhodovanie inštitúcií</w:t>
      </w:r>
      <w:r w:rsidR="00AB26B3" w:rsidRPr="00AB26B3">
        <w:rPr>
          <w:noProof/>
          <w:color w:val="000000" w:themeColor="text1"/>
          <w:spacing w:val="-6"/>
          <w:lang w:val="sk-SK"/>
        </w:rPr>
        <w:t xml:space="preserve"> v </w:t>
      </w:r>
      <w:r w:rsidRPr="00AB26B3">
        <w:rPr>
          <w:noProof/>
          <w:color w:val="000000" w:themeColor="text1"/>
          <w:spacing w:val="-6"/>
          <w:lang w:val="sk-SK"/>
        </w:rPr>
        <w:t xml:space="preserve">reálnom čase. Investícia pozostáva </w:t>
      </w:r>
      <w:r w:rsidRPr="00AB26B3">
        <w:rPr>
          <w:noProof/>
          <w:spacing w:val="-6"/>
          <w:lang w:val="sk-SK"/>
        </w:rPr>
        <w:t>zo</w:t>
      </w:r>
      <w:r w:rsidRPr="00AB26B3">
        <w:rPr>
          <w:noProof/>
          <w:color w:val="000000" w:themeColor="text1"/>
          <w:spacing w:val="-6"/>
          <w:lang w:val="sk-SK"/>
        </w:rPr>
        <w:t xml:space="preserve"> systému zloženého</w:t>
      </w:r>
      <w:r w:rsidR="00AB26B3" w:rsidRPr="00AB26B3">
        <w:rPr>
          <w:noProof/>
          <w:color w:val="000000" w:themeColor="text1"/>
          <w:spacing w:val="-6"/>
          <w:lang w:val="sk-SK"/>
        </w:rPr>
        <w:t xml:space="preserve"> z </w:t>
      </w:r>
      <w:r w:rsidRPr="00AB26B3">
        <w:rPr>
          <w:noProof/>
          <w:color w:val="000000" w:themeColor="text1"/>
          <w:spacing w:val="-6"/>
          <w:lang w:val="sk-SK"/>
        </w:rPr>
        <w:t>najmodernejších technológií, ako je umelá inteligencia</w:t>
      </w:r>
      <w:r w:rsidR="00AB26B3" w:rsidRPr="00AB26B3">
        <w:rPr>
          <w:noProof/>
          <w:color w:val="000000" w:themeColor="text1"/>
          <w:spacing w:val="-6"/>
          <w:lang w:val="sk-SK"/>
        </w:rPr>
        <w:t>.</w:t>
      </w:r>
    </w:p>
    <w:p w14:paraId="07D23DEE" w14:textId="2A65D19F"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Výskum – Vytvoriť – Inovovať (opatrenie ID 16971)</w:t>
      </w:r>
    </w:p>
    <w:p w14:paraId="75731E43" w14:textId="14F33F8B"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prilákať spolufinancovanie výskumu zo súkromného sektora. Investícia pozostáva</w:t>
      </w:r>
      <w:r w:rsidR="00AB26B3" w:rsidRPr="00AB26B3">
        <w:rPr>
          <w:noProof/>
          <w:spacing w:val="-6"/>
          <w:lang w:val="sk-SK"/>
        </w:rPr>
        <w:t xml:space="preserve"> z </w:t>
      </w:r>
      <w:r w:rsidRPr="00AB26B3">
        <w:rPr>
          <w:noProof/>
          <w:spacing w:val="-6"/>
          <w:lang w:val="sk-SK"/>
        </w:rPr>
        <w:t>projektov</w:t>
      </w:r>
      <w:r w:rsidR="00AB26B3" w:rsidRPr="00AB26B3">
        <w:rPr>
          <w:noProof/>
          <w:spacing w:val="-6"/>
          <w:lang w:val="sk-SK"/>
        </w:rPr>
        <w:t xml:space="preserve"> v </w:t>
      </w:r>
      <w:r w:rsidRPr="00AB26B3">
        <w:rPr>
          <w:noProof/>
          <w:spacing w:val="-6"/>
          <w:lang w:val="sk-SK"/>
        </w:rPr>
        <w:t>odvetviach národnej stratégie výskumu</w:t>
      </w:r>
      <w:r w:rsidR="00AB26B3" w:rsidRPr="00AB26B3">
        <w:rPr>
          <w:noProof/>
          <w:spacing w:val="-6"/>
          <w:lang w:val="sk-SK"/>
        </w:rPr>
        <w:t xml:space="preserve"> a </w:t>
      </w:r>
      <w:r w:rsidRPr="00AB26B3">
        <w:rPr>
          <w:noProof/>
          <w:spacing w:val="-6"/>
          <w:lang w:val="sk-SK"/>
        </w:rPr>
        <w:t>inovácií pre inteligentnú špecializáciu na roky 2014 – 2020 (RIS3)</w:t>
      </w:r>
      <w:r w:rsidR="00AB26B3" w:rsidRPr="00AB26B3">
        <w:rPr>
          <w:noProof/>
          <w:spacing w:val="-6"/>
          <w:lang w:val="sk-SK"/>
        </w:rPr>
        <w:t>.</w:t>
      </w:r>
    </w:p>
    <w:p w14:paraId="07D0D52F" w14:textId="02C5B310"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„Známka excelentnosti“ programu Horizont 2020: financovanie najinovatívnejších spoločností (opatrenie ID 16622)</w:t>
      </w:r>
    </w:p>
    <w:p w14:paraId="73D874ED" w14:textId="798DA844"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Cieľom tejto investície je podporiť inovačné malé</w:t>
      </w:r>
      <w:r w:rsidR="00AB26B3" w:rsidRPr="00AB26B3">
        <w:rPr>
          <w:noProof/>
          <w:spacing w:val="-6"/>
          <w:lang w:val="sk-SK"/>
        </w:rPr>
        <w:t xml:space="preserve"> a </w:t>
      </w:r>
      <w:r w:rsidRPr="00AB26B3">
        <w:rPr>
          <w:noProof/>
          <w:spacing w:val="-6"/>
          <w:lang w:val="sk-SK"/>
        </w:rPr>
        <w:t>stredné podniky. Investícia pozostáva</w:t>
      </w:r>
      <w:r w:rsidR="00AB26B3" w:rsidRPr="00AB26B3">
        <w:rPr>
          <w:noProof/>
          <w:spacing w:val="-6"/>
          <w:lang w:val="sk-SK"/>
        </w:rPr>
        <w:t xml:space="preserve"> z </w:t>
      </w:r>
      <w:r w:rsidRPr="00AB26B3">
        <w:rPr>
          <w:noProof/>
          <w:spacing w:val="-6"/>
          <w:lang w:val="sk-SK"/>
        </w:rPr>
        <w:t>projektov realizovaných takýmito podnikmi</w:t>
      </w:r>
      <w:r w:rsidR="00AB26B3" w:rsidRPr="00AB26B3">
        <w:rPr>
          <w:noProof/>
          <w:spacing w:val="-6"/>
          <w:lang w:val="sk-SK"/>
        </w:rPr>
        <w:t>.</w:t>
      </w:r>
    </w:p>
    <w:p w14:paraId="6D35F881" w14:textId="5C5CEC0C"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262"/>
          <w:headerReference w:type="default" r:id="rId263"/>
          <w:footerReference w:type="even" r:id="rId264"/>
          <w:footerReference w:type="default" r:id="rId265"/>
          <w:headerReference w:type="first" r:id="rId266"/>
          <w:footerReference w:type="first" r:id="rId267"/>
          <w:pgSz w:w="11906" w:h="16838"/>
          <w:pgMar w:top="1417" w:right="1417" w:bottom="1417" w:left="1417" w:header="708" w:footer="708" w:gutter="0"/>
          <w:cols w:space="708"/>
          <w:docGrid w:linePitch="360"/>
        </w:sectPr>
      </w:pPr>
    </w:p>
    <w:p w14:paraId="4A8B66D9" w14:textId="3FF404A9"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P.2.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40AD674C" w14:textId="7DD99932"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23: Podporiť výskum</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inovácie</w:t>
      </w:r>
    </w:p>
    <w:p w14:paraId="5760A41A" w14:textId="18F4F023" w:rsidR="00302FC1" w:rsidRPr="00AB26B3" w:rsidRDefault="00D64F26">
      <w:pPr>
        <w:pStyle w:val="P68B1DB1-Normal5"/>
        <w:numPr>
          <w:ilvl w:val="0"/>
          <w:numId w:val="53"/>
        </w:numPr>
        <w:spacing w:before="120" w:after="0" w:line="240" w:lineRule="auto"/>
        <w:jc w:val="both"/>
        <w:rPr>
          <w:rFonts w:cs="Times New Roman"/>
          <w:noProof/>
          <w:spacing w:val="-6"/>
          <w:lang w:val="sk-SK"/>
        </w:rPr>
      </w:pPr>
      <w:r w:rsidRPr="00AB26B3">
        <w:rPr>
          <w:noProof/>
          <w:spacing w:val="-6"/>
          <w:lang w:val="sk-SK"/>
        </w:rPr>
        <w:t>Vytvorenie – rozšírenie – modernizácia infraštruktúr výskumných centier pod dohľadom Generálneho sekretariátu pre výskum</w:t>
      </w:r>
      <w:r w:rsidR="00AB26B3" w:rsidRPr="00AB26B3">
        <w:rPr>
          <w:noProof/>
          <w:spacing w:val="-6"/>
          <w:lang w:val="sk-SK"/>
        </w:rPr>
        <w:t xml:space="preserve"> a </w:t>
      </w:r>
      <w:r w:rsidRPr="00AB26B3">
        <w:rPr>
          <w:noProof/>
          <w:spacing w:val="-6"/>
          <w:lang w:val="sk-SK"/>
        </w:rPr>
        <w:t>technológie (GSRT) (ID: 16624)</w:t>
      </w:r>
    </w:p>
    <w:p w14:paraId="31845CF4" w14:textId="19DA0E65" w:rsidR="00302FC1" w:rsidRPr="00AB26B3" w:rsidRDefault="00D64F26">
      <w:pPr>
        <w:pStyle w:val="P68B1DB1-Normal5"/>
        <w:numPr>
          <w:ilvl w:val="0"/>
          <w:numId w:val="53"/>
        </w:numPr>
        <w:spacing w:before="120" w:after="0" w:line="240" w:lineRule="auto"/>
        <w:jc w:val="both"/>
        <w:rPr>
          <w:rFonts w:cs="Times New Roman"/>
          <w:noProof/>
          <w:spacing w:val="-6"/>
          <w:lang w:val="sk-SK"/>
        </w:rPr>
      </w:pPr>
      <w:r w:rsidRPr="00AB26B3">
        <w:rPr>
          <w:noProof/>
          <w:spacing w:val="-6"/>
          <w:lang w:val="sk-SK"/>
        </w:rPr>
        <w:t>Základný</w:t>
      </w:r>
      <w:r w:rsidR="00AB26B3" w:rsidRPr="00AB26B3">
        <w:rPr>
          <w:noProof/>
          <w:spacing w:val="-6"/>
          <w:lang w:val="sk-SK"/>
        </w:rPr>
        <w:t xml:space="preserve"> a </w:t>
      </w:r>
      <w:r w:rsidRPr="00AB26B3">
        <w:rPr>
          <w:noProof/>
          <w:spacing w:val="-6"/>
          <w:lang w:val="sk-SK"/>
        </w:rPr>
        <w:t>aplikovaný výskum (ID: 16618)</w:t>
      </w:r>
    </w:p>
    <w:p w14:paraId="3DEEB882" w14:textId="77777777" w:rsidR="00302FC1" w:rsidRPr="00AB26B3" w:rsidRDefault="00D64F26">
      <w:pPr>
        <w:pStyle w:val="P68B1DB1-Normal5"/>
        <w:numPr>
          <w:ilvl w:val="0"/>
          <w:numId w:val="53"/>
        </w:numPr>
        <w:spacing w:before="120" w:after="0" w:line="240" w:lineRule="auto"/>
        <w:jc w:val="both"/>
        <w:rPr>
          <w:rFonts w:cs="Times New Roman"/>
          <w:noProof/>
          <w:spacing w:val="-6"/>
          <w:lang w:val="sk-SK"/>
        </w:rPr>
      </w:pPr>
      <w:r w:rsidRPr="00AB26B3">
        <w:rPr>
          <w:noProof/>
          <w:spacing w:val="-6"/>
          <w:lang w:val="sk-SK"/>
        </w:rPr>
        <w:t>DRUHÝ ORAX: Trellis Holistic &amp; Hybrid Operational Ruggedised Autonomous eXemplary system (ID: 16654)</w:t>
      </w:r>
    </w:p>
    <w:p w14:paraId="0A293217" w14:textId="77777777" w:rsidR="00302FC1" w:rsidRPr="00AB26B3" w:rsidRDefault="00D64F26">
      <w:pPr>
        <w:pStyle w:val="P68B1DB1-Normal5"/>
        <w:numPr>
          <w:ilvl w:val="0"/>
          <w:numId w:val="53"/>
        </w:numPr>
        <w:spacing w:before="120" w:after="0" w:line="240" w:lineRule="auto"/>
        <w:jc w:val="both"/>
        <w:rPr>
          <w:rFonts w:cs="Times New Roman"/>
          <w:noProof/>
          <w:spacing w:val="-6"/>
          <w:lang w:val="sk-SK"/>
        </w:rPr>
      </w:pPr>
      <w:r w:rsidRPr="00AB26B3">
        <w:rPr>
          <w:noProof/>
          <w:spacing w:val="-6"/>
          <w:lang w:val="sk-SK"/>
        </w:rPr>
        <w:t>Výskum – Vytvoriť – Inovovať (ID: 16971)</w:t>
      </w:r>
    </w:p>
    <w:p w14:paraId="6BB0FFA1" w14:textId="06A6A1E6" w:rsidR="00302FC1" w:rsidRPr="00AB26B3" w:rsidRDefault="00D64F26">
      <w:pPr>
        <w:pStyle w:val="P68B1DB1-Normal5"/>
        <w:numPr>
          <w:ilvl w:val="0"/>
          <w:numId w:val="53"/>
        </w:numPr>
        <w:spacing w:before="120" w:after="0" w:line="240" w:lineRule="auto"/>
        <w:jc w:val="both"/>
        <w:rPr>
          <w:rFonts w:cs="Times New Roman"/>
          <w:noProof/>
          <w:spacing w:val="-6"/>
          <w:lang w:val="sk-SK"/>
        </w:rPr>
      </w:pPr>
      <w:r w:rsidRPr="00AB26B3">
        <w:rPr>
          <w:noProof/>
          <w:spacing w:val="-6"/>
          <w:lang w:val="sk-SK"/>
        </w:rPr>
        <w:t>„Známka excelentnosti“ programu Horizont 2020: financovanie najinovatívnejších spoločností (ID: 16622)</w:t>
      </w:r>
    </w:p>
    <w:tbl>
      <w:tblPr>
        <w:tblW w:w="16018" w:type="dxa"/>
        <w:jc w:val="center"/>
        <w:tblLayout w:type="fixed"/>
        <w:tblLook w:val="04A0" w:firstRow="1" w:lastRow="0" w:firstColumn="1" w:lastColumn="0" w:noHBand="0" w:noVBand="1"/>
      </w:tblPr>
      <w:tblGrid>
        <w:gridCol w:w="594"/>
        <w:gridCol w:w="2571"/>
        <w:gridCol w:w="1094"/>
        <w:gridCol w:w="1794"/>
        <w:gridCol w:w="1774"/>
        <w:gridCol w:w="960"/>
        <w:gridCol w:w="960"/>
        <w:gridCol w:w="607"/>
        <w:gridCol w:w="992"/>
        <w:gridCol w:w="707"/>
        <w:gridCol w:w="3965"/>
      </w:tblGrid>
      <w:tr w:rsidR="00302FC1" w:rsidRPr="00AB26B3" w14:paraId="2F66CE6B" w14:textId="77777777">
        <w:trPr>
          <w:trHeight w:val="740"/>
          <w:tblHeader/>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2C6286" w14:textId="1951941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BCC4E4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7E4AC7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AB9A04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45D8F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52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68A09500" w14:textId="1FFE0843"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699" w:type="dxa"/>
            <w:gridSpan w:val="2"/>
            <w:tcBorders>
              <w:top w:val="single" w:sz="4" w:space="0" w:color="auto"/>
              <w:left w:val="nil"/>
              <w:bottom w:val="single" w:sz="4" w:space="0" w:color="auto"/>
              <w:right w:val="single" w:sz="4" w:space="0" w:color="auto"/>
            </w:tcBorders>
            <w:shd w:val="clear" w:color="auto" w:fill="BDD7EE"/>
            <w:vAlign w:val="center"/>
            <w:hideMark/>
          </w:tcPr>
          <w:p w14:paraId="7381201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9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B87B81" w14:textId="533F3F9B"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B0CFD9D" w14:textId="77777777">
        <w:trPr>
          <w:trHeight w:val="526"/>
          <w:tblHeader/>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1609AE7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0C76218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2AF046C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5ED71B6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7D4213B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AFBCF50"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960" w:type="dxa"/>
            <w:tcBorders>
              <w:top w:val="nil"/>
              <w:left w:val="nil"/>
              <w:bottom w:val="single" w:sz="4" w:space="0" w:color="auto"/>
              <w:right w:val="single" w:sz="4" w:space="0" w:color="auto"/>
            </w:tcBorders>
            <w:shd w:val="clear" w:color="auto" w:fill="BDD7EE"/>
            <w:vAlign w:val="center"/>
            <w:hideMark/>
          </w:tcPr>
          <w:p w14:paraId="594D1CEF"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607" w:type="dxa"/>
            <w:tcBorders>
              <w:top w:val="nil"/>
              <w:left w:val="nil"/>
              <w:bottom w:val="single" w:sz="4" w:space="0" w:color="auto"/>
              <w:right w:val="single" w:sz="4" w:space="0" w:color="auto"/>
            </w:tcBorders>
            <w:shd w:val="clear" w:color="auto" w:fill="BDD7EE"/>
            <w:vAlign w:val="center"/>
            <w:hideMark/>
          </w:tcPr>
          <w:p w14:paraId="7E5BD3D0"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992" w:type="dxa"/>
            <w:tcBorders>
              <w:top w:val="nil"/>
              <w:left w:val="nil"/>
              <w:bottom w:val="single" w:sz="4" w:space="0" w:color="auto"/>
              <w:right w:val="single" w:sz="4" w:space="0" w:color="auto"/>
            </w:tcBorders>
            <w:shd w:val="clear" w:color="auto" w:fill="BDD7EE"/>
            <w:vAlign w:val="center"/>
            <w:hideMark/>
          </w:tcPr>
          <w:p w14:paraId="23D9CE59"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707" w:type="dxa"/>
            <w:tcBorders>
              <w:top w:val="nil"/>
              <w:left w:val="nil"/>
              <w:bottom w:val="single" w:sz="4" w:space="0" w:color="auto"/>
              <w:right w:val="single" w:sz="4" w:space="0" w:color="auto"/>
            </w:tcBorders>
            <w:shd w:val="clear" w:color="auto" w:fill="BDD7EE"/>
            <w:vAlign w:val="center"/>
            <w:hideMark/>
          </w:tcPr>
          <w:p w14:paraId="75CDE281"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3965" w:type="dxa"/>
            <w:vMerge/>
            <w:tcBorders>
              <w:top w:val="single" w:sz="4" w:space="0" w:color="auto"/>
              <w:bottom w:val="single" w:sz="4" w:space="0" w:color="auto"/>
              <w:right w:val="single" w:sz="4" w:space="0" w:color="auto"/>
            </w:tcBorders>
            <w:vAlign w:val="center"/>
            <w:hideMark/>
          </w:tcPr>
          <w:p w14:paraId="7677553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49110AFE" w14:textId="77777777">
        <w:trPr>
          <w:trHeight w:val="309"/>
          <w:jc w:val="center"/>
        </w:trPr>
        <w:tc>
          <w:tcPr>
            <w:tcW w:w="594" w:type="dxa"/>
            <w:tcBorders>
              <w:top w:val="single" w:sz="4" w:space="0" w:color="auto"/>
              <w:left w:val="single" w:sz="4" w:space="0" w:color="auto"/>
              <w:bottom w:val="single" w:sz="4" w:space="0" w:color="auto"/>
              <w:right w:val="single" w:sz="4" w:space="0" w:color="auto"/>
            </w:tcBorders>
            <w:shd w:val="clear" w:color="auto" w:fill="C6EFCE"/>
            <w:noWrap/>
          </w:tcPr>
          <w:p w14:paraId="1C6A59C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245</w:t>
            </w:r>
          </w:p>
        </w:tc>
        <w:tc>
          <w:tcPr>
            <w:tcW w:w="2571" w:type="dxa"/>
            <w:tcBorders>
              <w:top w:val="single" w:sz="4" w:space="0" w:color="auto"/>
              <w:left w:val="nil"/>
              <w:bottom w:val="single" w:sz="4" w:space="0" w:color="auto"/>
              <w:right w:val="single" w:sz="4" w:space="0" w:color="auto"/>
            </w:tcBorders>
            <w:shd w:val="clear" w:color="auto" w:fill="C6EFCE"/>
            <w:noWrap/>
          </w:tcPr>
          <w:p w14:paraId="37024CA1" w14:textId="252C34E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16618_Základný</w:t>
            </w:r>
            <w:r w:rsidR="00AB26B3" w:rsidRPr="00AB26B3">
              <w:rPr>
                <w:noProof/>
                <w:spacing w:val="-6"/>
                <w:lang w:val="sk-SK"/>
              </w:rPr>
              <w:t xml:space="preserve"> a </w:t>
            </w:r>
            <w:r w:rsidRPr="00AB26B3">
              <w:rPr>
                <w:noProof/>
                <w:spacing w:val="-6"/>
                <w:lang w:val="sk-SK"/>
              </w:rPr>
              <w:t>aplikovaný výskum</w:t>
            </w:r>
          </w:p>
        </w:tc>
        <w:tc>
          <w:tcPr>
            <w:tcW w:w="1094" w:type="dxa"/>
            <w:tcBorders>
              <w:top w:val="single" w:sz="4" w:space="0" w:color="auto"/>
              <w:left w:val="nil"/>
              <w:bottom w:val="single" w:sz="4" w:space="0" w:color="auto"/>
              <w:right w:val="single" w:sz="4" w:space="0" w:color="auto"/>
            </w:tcBorders>
            <w:shd w:val="clear" w:color="auto" w:fill="C6EFCE"/>
            <w:noWrap/>
          </w:tcPr>
          <w:p w14:paraId="6E429E9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single" w:sz="4" w:space="0" w:color="auto"/>
              <w:left w:val="nil"/>
              <w:bottom w:val="single" w:sz="4" w:space="0" w:color="auto"/>
              <w:right w:val="single" w:sz="4" w:space="0" w:color="auto"/>
            </w:tcBorders>
            <w:shd w:val="clear" w:color="auto" w:fill="C6EFCE"/>
            <w:noWrap/>
          </w:tcPr>
          <w:p w14:paraId="0CCA17F7" w14:textId="14C3501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Právne predpisy</w:t>
            </w:r>
            <w:r w:rsidR="00AB26B3" w:rsidRPr="00AB26B3">
              <w:rPr>
                <w:noProof/>
                <w:spacing w:val="-6"/>
                <w:lang w:val="sk-SK"/>
              </w:rPr>
              <w:t xml:space="preserve"> o </w:t>
            </w:r>
            <w:r w:rsidRPr="00AB26B3">
              <w:rPr>
                <w:noProof/>
                <w:spacing w:val="-6"/>
                <w:lang w:val="sk-SK"/>
              </w:rPr>
              <w:t>základnom</w:t>
            </w:r>
            <w:r w:rsidR="00AB26B3" w:rsidRPr="00AB26B3">
              <w:rPr>
                <w:noProof/>
                <w:spacing w:val="-6"/>
                <w:lang w:val="sk-SK"/>
              </w:rPr>
              <w:t xml:space="preserve"> a </w:t>
            </w:r>
            <w:r w:rsidRPr="00AB26B3">
              <w:rPr>
                <w:noProof/>
                <w:spacing w:val="-6"/>
                <w:lang w:val="sk-SK"/>
              </w:rPr>
              <w:t>aplikovanom výskume</w:t>
            </w:r>
          </w:p>
        </w:tc>
        <w:tc>
          <w:tcPr>
            <w:tcW w:w="1774" w:type="dxa"/>
            <w:tcBorders>
              <w:top w:val="single" w:sz="4" w:space="0" w:color="auto"/>
              <w:left w:val="nil"/>
              <w:bottom w:val="single" w:sz="4" w:space="0" w:color="auto"/>
              <w:right w:val="single" w:sz="4" w:space="0" w:color="auto"/>
            </w:tcBorders>
            <w:shd w:val="clear" w:color="auto" w:fill="C6EFCE"/>
            <w:noWrap/>
          </w:tcPr>
          <w:p w14:paraId="400618CD" w14:textId="100CDE2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 (primárnych</w:t>
            </w:r>
            <w:r w:rsidR="00AB26B3" w:rsidRPr="00AB26B3">
              <w:rPr>
                <w:noProof/>
                <w:spacing w:val="-6"/>
                <w:lang w:val="sk-SK"/>
              </w:rPr>
              <w:t xml:space="preserve"> a </w:t>
            </w:r>
            <w:r w:rsidRPr="00AB26B3">
              <w:rPr>
                <w:noProof/>
                <w:spacing w:val="-6"/>
                <w:lang w:val="sk-SK"/>
              </w:rPr>
              <w:t>sekundárnych aktov, ktorými sa zriaďujú právne subjekty)</w:t>
            </w:r>
          </w:p>
        </w:tc>
        <w:tc>
          <w:tcPr>
            <w:tcW w:w="960" w:type="dxa"/>
            <w:tcBorders>
              <w:top w:val="single" w:sz="4" w:space="0" w:color="auto"/>
              <w:left w:val="nil"/>
              <w:bottom w:val="single" w:sz="4" w:space="0" w:color="auto"/>
              <w:right w:val="single" w:sz="4" w:space="0" w:color="auto"/>
            </w:tcBorders>
            <w:shd w:val="clear" w:color="auto" w:fill="C6EFCE"/>
            <w:noWrap/>
          </w:tcPr>
          <w:p w14:paraId="44F2418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nil"/>
              <w:left w:val="nil"/>
              <w:bottom w:val="single" w:sz="4" w:space="0" w:color="auto"/>
              <w:right w:val="single" w:sz="4" w:space="0" w:color="auto"/>
            </w:tcBorders>
            <w:shd w:val="clear" w:color="auto" w:fill="C6EFCE"/>
            <w:noWrap/>
          </w:tcPr>
          <w:p w14:paraId="1CC95FD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nil"/>
              <w:left w:val="nil"/>
              <w:bottom w:val="single" w:sz="4" w:space="0" w:color="auto"/>
              <w:right w:val="single" w:sz="4" w:space="0" w:color="auto"/>
            </w:tcBorders>
            <w:shd w:val="clear" w:color="auto" w:fill="C6EFCE"/>
            <w:noWrap/>
          </w:tcPr>
          <w:p w14:paraId="746F907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nil"/>
              <w:left w:val="nil"/>
              <w:bottom w:val="single" w:sz="4" w:space="0" w:color="auto"/>
              <w:right w:val="single" w:sz="4" w:space="0" w:color="auto"/>
            </w:tcBorders>
            <w:shd w:val="clear" w:color="auto" w:fill="C6EFCE"/>
            <w:noWrap/>
          </w:tcPr>
          <w:p w14:paraId="770687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7" w:type="dxa"/>
            <w:tcBorders>
              <w:top w:val="nil"/>
              <w:left w:val="nil"/>
              <w:bottom w:val="single" w:sz="4" w:space="0" w:color="auto"/>
              <w:right w:val="single" w:sz="4" w:space="0" w:color="auto"/>
            </w:tcBorders>
            <w:shd w:val="clear" w:color="auto" w:fill="C6EFCE"/>
            <w:noWrap/>
          </w:tcPr>
          <w:p w14:paraId="5086BBE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965" w:type="dxa"/>
            <w:tcBorders>
              <w:top w:val="single" w:sz="4" w:space="0" w:color="auto"/>
              <w:left w:val="nil"/>
              <w:bottom w:val="single" w:sz="4" w:space="0" w:color="auto"/>
              <w:right w:val="single" w:sz="4" w:space="0" w:color="auto"/>
            </w:tcBorders>
            <w:shd w:val="clear" w:color="auto" w:fill="C6EFCE"/>
            <w:noWrap/>
          </w:tcPr>
          <w:p w14:paraId="5BE3CCF5" w14:textId="0E00B1A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revidovaného právneho rámca pre základný</w:t>
            </w:r>
            <w:r w:rsidR="00AB26B3" w:rsidRPr="00AB26B3">
              <w:rPr>
                <w:noProof/>
                <w:spacing w:val="-6"/>
                <w:lang w:val="sk-SK"/>
              </w:rPr>
              <w:t xml:space="preserve"> a </w:t>
            </w:r>
            <w:r w:rsidRPr="00AB26B3">
              <w:rPr>
                <w:noProof/>
                <w:spacing w:val="-6"/>
                <w:lang w:val="sk-SK"/>
              </w:rPr>
              <w:t>aplikovaný výskum</w:t>
            </w:r>
            <w:r w:rsidR="00AB26B3" w:rsidRPr="00AB26B3">
              <w:rPr>
                <w:noProof/>
                <w:spacing w:val="-6"/>
                <w:lang w:val="sk-SK"/>
              </w:rPr>
              <w:t xml:space="preserve"> a </w:t>
            </w:r>
            <w:r w:rsidRPr="00AB26B3">
              <w:rPr>
                <w:noProof/>
                <w:spacing w:val="-6"/>
                <w:lang w:val="sk-SK"/>
              </w:rPr>
              <w:t>vydávanie sekundárnych aktov, ktorými sa zriaďujú právne subjekty.</w:t>
            </w:r>
          </w:p>
          <w:p w14:paraId="4D3AC1B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47151BB" w14:textId="5CDB5810" w:rsidR="00AB26B3" w:rsidRPr="00AB26B3" w:rsidRDefault="00D64F26">
            <w:pPr>
              <w:pStyle w:val="P68B1DB1-Normal12"/>
              <w:spacing w:after="0" w:line="240" w:lineRule="auto"/>
              <w:rPr>
                <w:noProof/>
                <w:spacing w:val="-6"/>
                <w:lang w:val="sk-SK"/>
              </w:rPr>
            </w:pPr>
            <w:r w:rsidRPr="00AB26B3">
              <w:rPr>
                <w:noProof/>
                <w:spacing w:val="-6"/>
                <w:lang w:val="sk-SK"/>
              </w:rPr>
              <w:t>Právny rámec: a) nanovo vymedziť výskumné oblasti na financovanie výziev</w:t>
            </w:r>
            <w:r w:rsidR="00AB26B3" w:rsidRPr="00AB26B3">
              <w:rPr>
                <w:noProof/>
                <w:spacing w:val="-6"/>
                <w:lang w:val="sk-SK"/>
              </w:rPr>
              <w:t xml:space="preserve"> v </w:t>
            </w:r>
            <w:r w:rsidRPr="00AB26B3">
              <w:rPr>
                <w:noProof/>
                <w:spacing w:val="-6"/>
                <w:lang w:val="sk-SK"/>
              </w:rPr>
              <w:t>rámci aktualizovanej národnej stratégie pre inteligentnú špecializáciu (RIS3); b) vytvoriť novú štruktúru riadenia</w:t>
            </w:r>
            <w:r w:rsidR="00AB26B3" w:rsidRPr="00AB26B3">
              <w:rPr>
                <w:noProof/>
                <w:spacing w:val="-6"/>
                <w:lang w:val="sk-SK"/>
              </w:rPr>
              <w:t xml:space="preserve"> s </w:t>
            </w:r>
            <w:r w:rsidRPr="00AB26B3">
              <w:rPr>
                <w:noProof/>
                <w:spacing w:val="-6"/>
                <w:lang w:val="sk-SK"/>
              </w:rPr>
              <w:t>cieľom zlepšiť riadenie</w:t>
            </w:r>
            <w:r w:rsidR="00AB26B3" w:rsidRPr="00AB26B3">
              <w:rPr>
                <w:noProof/>
                <w:spacing w:val="-6"/>
                <w:lang w:val="sk-SK"/>
              </w:rPr>
              <w:t xml:space="preserve"> a </w:t>
            </w:r>
            <w:r w:rsidRPr="00AB26B3">
              <w:rPr>
                <w:noProof/>
                <w:spacing w:val="-6"/>
                <w:lang w:val="sk-SK"/>
              </w:rPr>
              <w:t>koordináciu týchto projektov;</w:t>
            </w:r>
            <w:r w:rsidR="00AB26B3" w:rsidRPr="00AB26B3">
              <w:rPr>
                <w:noProof/>
                <w:spacing w:val="-6"/>
                <w:lang w:val="sk-SK"/>
              </w:rPr>
              <w:t xml:space="preserve"> a </w:t>
            </w:r>
            <w:r w:rsidRPr="00AB26B3">
              <w:rPr>
                <w:noProof/>
                <w:spacing w:val="-6"/>
                <w:lang w:val="sk-SK"/>
              </w:rPr>
              <w:t>c) stanoviť právne postavenie nových výskumných subjektov</w:t>
            </w:r>
            <w:r w:rsidR="00AB26B3" w:rsidRPr="00AB26B3">
              <w:rPr>
                <w:noProof/>
                <w:spacing w:val="-6"/>
                <w:lang w:val="sk-SK"/>
              </w:rPr>
              <w:t>.</w:t>
            </w:r>
          </w:p>
          <w:p w14:paraId="266721F7" w14:textId="32AE514A"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5D8EC464" w14:textId="38957B6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Oblasti výskumu nanovo vymedzia spoločne Národná rada pre výskum</w:t>
            </w:r>
            <w:r w:rsidR="00AB26B3" w:rsidRPr="00AB26B3">
              <w:rPr>
                <w:noProof/>
                <w:spacing w:val="-6"/>
                <w:lang w:val="sk-SK"/>
              </w:rPr>
              <w:t xml:space="preserve"> a </w:t>
            </w:r>
            <w:r w:rsidRPr="00AB26B3">
              <w:rPr>
                <w:noProof/>
                <w:spacing w:val="-6"/>
                <w:lang w:val="sk-SK"/>
              </w:rPr>
              <w:t>inováciu (NCRI)</w:t>
            </w:r>
            <w:r w:rsidR="00AB26B3" w:rsidRPr="00AB26B3">
              <w:rPr>
                <w:noProof/>
                <w:spacing w:val="-6"/>
                <w:lang w:val="sk-SK"/>
              </w:rPr>
              <w:t xml:space="preserve"> a </w:t>
            </w:r>
            <w:r w:rsidRPr="00AB26B3">
              <w:rPr>
                <w:noProof/>
                <w:spacing w:val="-6"/>
                <w:lang w:val="sk-SK"/>
              </w:rPr>
              <w:t>Generálny sekretariát pre výskum</w:t>
            </w:r>
            <w:r w:rsidR="00AB26B3" w:rsidRPr="00AB26B3">
              <w:rPr>
                <w:noProof/>
                <w:spacing w:val="-6"/>
                <w:lang w:val="sk-SK"/>
              </w:rPr>
              <w:t xml:space="preserve"> a </w:t>
            </w:r>
            <w:r w:rsidRPr="00AB26B3">
              <w:rPr>
                <w:noProof/>
                <w:spacing w:val="-6"/>
                <w:lang w:val="sk-SK"/>
              </w:rPr>
              <w:t>inováciu ministerstva rozvoja (GSRI).</w:t>
            </w:r>
          </w:p>
        </w:tc>
      </w:tr>
      <w:tr w:rsidR="00302FC1" w:rsidRPr="00AB26B3" w14:paraId="39C7F9B7" w14:textId="77777777">
        <w:trPr>
          <w:trHeight w:val="309"/>
          <w:jc w:val="center"/>
        </w:trPr>
        <w:tc>
          <w:tcPr>
            <w:tcW w:w="594" w:type="dxa"/>
            <w:tcBorders>
              <w:top w:val="nil"/>
              <w:left w:val="single" w:sz="4" w:space="0" w:color="auto"/>
              <w:bottom w:val="single" w:sz="4" w:space="0" w:color="auto"/>
              <w:right w:val="single" w:sz="4" w:space="0" w:color="auto"/>
            </w:tcBorders>
            <w:shd w:val="clear" w:color="auto" w:fill="C6EFCE"/>
            <w:noWrap/>
          </w:tcPr>
          <w:p w14:paraId="2DDF83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246</w:t>
            </w:r>
          </w:p>
        </w:tc>
        <w:tc>
          <w:tcPr>
            <w:tcW w:w="2571" w:type="dxa"/>
            <w:tcBorders>
              <w:top w:val="nil"/>
              <w:left w:val="nil"/>
              <w:bottom w:val="single" w:sz="4" w:space="0" w:color="auto"/>
              <w:right w:val="single" w:sz="4" w:space="0" w:color="auto"/>
            </w:tcBorders>
            <w:shd w:val="clear" w:color="auto" w:fill="C6EFCE"/>
            <w:noWrap/>
          </w:tcPr>
          <w:p w14:paraId="72D2D46E" w14:textId="744F824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16624_Creation – Expansion – Modernizácia infraštruktúr výskumných centier pod dohľadom Generálneho sekretariátu pre výskum</w:t>
            </w:r>
            <w:r w:rsidR="00AB26B3" w:rsidRPr="00AB26B3">
              <w:rPr>
                <w:noProof/>
                <w:spacing w:val="-6"/>
                <w:lang w:val="sk-SK"/>
              </w:rPr>
              <w:t xml:space="preserve"> a </w:t>
            </w:r>
            <w:r w:rsidRPr="00AB26B3">
              <w:rPr>
                <w:noProof/>
                <w:spacing w:val="-6"/>
                <w:lang w:val="sk-SK"/>
              </w:rPr>
              <w:t>inovácie (GSRI)</w:t>
            </w:r>
          </w:p>
        </w:tc>
        <w:tc>
          <w:tcPr>
            <w:tcW w:w="1094" w:type="dxa"/>
            <w:tcBorders>
              <w:top w:val="nil"/>
              <w:left w:val="nil"/>
              <w:bottom w:val="single" w:sz="4" w:space="0" w:color="auto"/>
              <w:right w:val="single" w:sz="4" w:space="0" w:color="auto"/>
            </w:tcBorders>
            <w:shd w:val="clear" w:color="auto" w:fill="C6EFCE"/>
            <w:noWrap/>
          </w:tcPr>
          <w:p w14:paraId="1D2C78A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nil"/>
              <w:left w:val="nil"/>
              <w:bottom w:val="single" w:sz="4" w:space="0" w:color="auto"/>
              <w:right w:val="single" w:sz="4" w:space="0" w:color="auto"/>
            </w:tcBorders>
            <w:shd w:val="clear" w:color="auto" w:fill="C6EFCE"/>
            <w:noWrap/>
          </w:tcPr>
          <w:p w14:paraId="4E1E29F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Výzva na predkladanie návrhov pre výskumné centrá</w:t>
            </w:r>
          </w:p>
        </w:tc>
        <w:tc>
          <w:tcPr>
            <w:tcW w:w="1774" w:type="dxa"/>
            <w:tcBorders>
              <w:top w:val="nil"/>
              <w:left w:val="nil"/>
              <w:bottom w:val="single" w:sz="4" w:space="0" w:color="auto"/>
              <w:right w:val="single" w:sz="4" w:space="0" w:color="auto"/>
            </w:tcBorders>
            <w:shd w:val="clear" w:color="auto" w:fill="C6EFCE"/>
            <w:noWrap/>
          </w:tcPr>
          <w:p w14:paraId="763BB2A7" w14:textId="64EFB16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Zverejnená výzva na predkladanie návrhov</w:t>
            </w:r>
            <w:r w:rsidR="00AB26B3" w:rsidRPr="00AB26B3">
              <w:rPr>
                <w:noProof/>
                <w:spacing w:val="-6"/>
                <w:lang w:val="sk-SK"/>
              </w:rPr>
              <w:t xml:space="preserve"> a </w:t>
            </w:r>
            <w:r w:rsidRPr="00AB26B3">
              <w:rPr>
                <w:noProof/>
                <w:spacing w:val="-6"/>
                <w:lang w:val="sk-SK"/>
              </w:rPr>
              <w:t>špecifikácie verejného obstarávania</w:t>
            </w:r>
          </w:p>
        </w:tc>
        <w:tc>
          <w:tcPr>
            <w:tcW w:w="960" w:type="dxa"/>
            <w:tcBorders>
              <w:top w:val="nil"/>
              <w:left w:val="nil"/>
              <w:bottom w:val="single" w:sz="4" w:space="0" w:color="auto"/>
              <w:right w:val="single" w:sz="4" w:space="0" w:color="auto"/>
            </w:tcBorders>
            <w:shd w:val="clear" w:color="auto" w:fill="C6EFCE"/>
            <w:noWrap/>
          </w:tcPr>
          <w:p w14:paraId="6B41A20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nil"/>
              <w:left w:val="nil"/>
              <w:bottom w:val="single" w:sz="4" w:space="0" w:color="auto"/>
              <w:right w:val="single" w:sz="4" w:space="0" w:color="auto"/>
            </w:tcBorders>
            <w:shd w:val="clear" w:color="auto" w:fill="C6EFCE"/>
            <w:noWrap/>
          </w:tcPr>
          <w:p w14:paraId="4FF2065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nil"/>
              <w:left w:val="nil"/>
              <w:bottom w:val="single" w:sz="4" w:space="0" w:color="auto"/>
              <w:right w:val="single" w:sz="4" w:space="0" w:color="auto"/>
            </w:tcBorders>
            <w:shd w:val="clear" w:color="auto" w:fill="C6EFCE"/>
            <w:noWrap/>
          </w:tcPr>
          <w:p w14:paraId="12EB089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nil"/>
              <w:left w:val="nil"/>
              <w:bottom w:val="single" w:sz="4" w:space="0" w:color="auto"/>
              <w:right w:val="single" w:sz="4" w:space="0" w:color="auto"/>
            </w:tcBorders>
            <w:shd w:val="clear" w:color="auto" w:fill="C6EFCE"/>
            <w:noWrap/>
          </w:tcPr>
          <w:p w14:paraId="5DB4299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7" w:type="dxa"/>
            <w:tcBorders>
              <w:top w:val="nil"/>
              <w:left w:val="nil"/>
              <w:bottom w:val="single" w:sz="4" w:space="0" w:color="auto"/>
              <w:right w:val="single" w:sz="4" w:space="0" w:color="auto"/>
            </w:tcBorders>
            <w:shd w:val="clear" w:color="auto" w:fill="C6EFCE"/>
            <w:noWrap/>
          </w:tcPr>
          <w:p w14:paraId="63AB94C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965" w:type="dxa"/>
            <w:tcBorders>
              <w:top w:val="nil"/>
              <w:left w:val="nil"/>
              <w:bottom w:val="single" w:sz="4" w:space="0" w:color="auto"/>
              <w:right w:val="single" w:sz="4" w:space="0" w:color="auto"/>
            </w:tcBorders>
            <w:shd w:val="clear" w:color="auto" w:fill="C6EFCE"/>
            <w:noWrap/>
          </w:tcPr>
          <w:p w14:paraId="4877DF8D" w14:textId="3727EB7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výzvy na predkladanie návrhov na vytvorenie – rozšírenie – modernizácia infraštruktúr výskumných centier vrátane uverejnenia špecifikácií verejného obstarávania, ktorými sa zabezpečí, aby vybrané žiadosti boli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No Significant Harm Technical Guidance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p>
        </w:tc>
      </w:tr>
      <w:tr w:rsidR="00302FC1" w:rsidRPr="00AB26B3" w14:paraId="60A11621" w14:textId="77777777">
        <w:trPr>
          <w:trHeight w:val="309"/>
          <w:jc w:val="center"/>
        </w:trPr>
        <w:tc>
          <w:tcPr>
            <w:tcW w:w="594" w:type="dxa"/>
            <w:tcBorders>
              <w:top w:val="nil"/>
              <w:left w:val="single" w:sz="4" w:space="0" w:color="auto"/>
              <w:bottom w:val="single" w:sz="4" w:space="0" w:color="auto"/>
              <w:right w:val="single" w:sz="4" w:space="0" w:color="auto"/>
            </w:tcBorders>
            <w:shd w:val="clear" w:color="auto" w:fill="C6EFCE"/>
            <w:noWrap/>
          </w:tcPr>
          <w:p w14:paraId="47C3C4F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247</w:t>
            </w:r>
          </w:p>
        </w:tc>
        <w:tc>
          <w:tcPr>
            <w:tcW w:w="2571" w:type="dxa"/>
            <w:tcBorders>
              <w:top w:val="nil"/>
              <w:left w:val="nil"/>
              <w:bottom w:val="single" w:sz="4" w:space="0" w:color="auto"/>
              <w:right w:val="single" w:sz="4" w:space="0" w:color="auto"/>
            </w:tcBorders>
            <w:shd w:val="clear" w:color="auto" w:fill="C6EFCE"/>
            <w:noWrap/>
          </w:tcPr>
          <w:p w14:paraId="3C68D9C7" w14:textId="1E89A09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16624_Creation – Expansion – Modernizácia infraštruktúr výskumných centier pod dohľadom Generálneho sekretariátu pre výskum</w:t>
            </w:r>
            <w:r w:rsidR="00AB26B3" w:rsidRPr="00AB26B3">
              <w:rPr>
                <w:noProof/>
                <w:spacing w:val="-6"/>
                <w:lang w:val="sk-SK"/>
              </w:rPr>
              <w:t xml:space="preserve"> a </w:t>
            </w:r>
            <w:r w:rsidRPr="00AB26B3">
              <w:rPr>
                <w:noProof/>
                <w:spacing w:val="-6"/>
                <w:lang w:val="sk-SK"/>
              </w:rPr>
              <w:t>inovácie (GSRI)</w:t>
            </w:r>
          </w:p>
        </w:tc>
        <w:tc>
          <w:tcPr>
            <w:tcW w:w="1094" w:type="dxa"/>
            <w:tcBorders>
              <w:top w:val="nil"/>
              <w:left w:val="nil"/>
              <w:bottom w:val="single" w:sz="4" w:space="0" w:color="auto"/>
              <w:right w:val="single" w:sz="4" w:space="0" w:color="auto"/>
            </w:tcBorders>
            <w:shd w:val="clear" w:color="auto" w:fill="C6EFCE"/>
            <w:noWrap/>
          </w:tcPr>
          <w:p w14:paraId="1D77862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nil"/>
              <w:left w:val="nil"/>
              <w:bottom w:val="single" w:sz="4" w:space="0" w:color="auto"/>
              <w:right w:val="single" w:sz="4" w:space="0" w:color="auto"/>
            </w:tcBorders>
            <w:shd w:val="clear" w:color="auto" w:fill="C6EFCE"/>
            <w:noWrap/>
          </w:tcPr>
          <w:p w14:paraId="0D625E5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Zadávanie zákaziek pre výskumné centrá – stavebné práce</w:t>
            </w:r>
          </w:p>
        </w:tc>
        <w:tc>
          <w:tcPr>
            <w:tcW w:w="1774" w:type="dxa"/>
            <w:tcBorders>
              <w:top w:val="nil"/>
              <w:left w:val="nil"/>
              <w:bottom w:val="single" w:sz="4" w:space="0" w:color="auto"/>
              <w:right w:val="single" w:sz="4" w:space="0" w:color="auto"/>
            </w:tcBorders>
            <w:shd w:val="clear" w:color="auto" w:fill="C6EFCE"/>
            <w:noWrap/>
          </w:tcPr>
          <w:p w14:paraId="11CAC13F" w14:textId="46E4F9A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 na stavebné práce</w:t>
            </w:r>
          </w:p>
        </w:tc>
        <w:tc>
          <w:tcPr>
            <w:tcW w:w="960" w:type="dxa"/>
            <w:tcBorders>
              <w:top w:val="nil"/>
              <w:left w:val="nil"/>
              <w:bottom w:val="single" w:sz="4" w:space="0" w:color="auto"/>
              <w:right w:val="single" w:sz="4" w:space="0" w:color="auto"/>
            </w:tcBorders>
            <w:shd w:val="clear" w:color="auto" w:fill="C6EFCE"/>
            <w:noWrap/>
          </w:tcPr>
          <w:p w14:paraId="2A644ED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nil"/>
              <w:left w:val="nil"/>
              <w:bottom w:val="single" w:sz="4" w:space="0" w:color="auto"/>
              <w:right w:val="single" w:sz="4" w:space="0" w:color="auto"/>
            </w:tcBorders>
            <w:shd w:val="clear" w:color="auto" w:fill="C6EFCE"/>
            <w:noWrap/>
          </w:tcPr>
          <w:p w14:paraId="6531C72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nil"/>
              <w:left w:val="nil"/>
              <w:bottom w:val="single" w:sz="4" w:space="0" w:color="auto"/>
              <w:right w:val="single" w:sz="4" w:space="0" w:color="auto"/>
            </w:tcBorders>
            <w:shd w:val="clear" w:color="auto" w:fill="C6EFCE"/>
            <w:noWrap/>
          </w:tcPr>
          <w:p w14:paraId="41B2FC3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nil"/>
              <w:left w:val="nil"/>
              <w:bottom w:val="single" w:sz="4" w:space="0" w:color="auto"/>
              <w:right w:val="single" w:sz="4" w:space="0" w:color="auto"/>
            </w:tcBorders>
            <w:shd w:val="clear" w:color="auto" w:fill="C6EFCE"/>
            <w:noWrap/>
          </w:tcPr>
          <w:p w14:paraId="0A828EE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7" w:type="dxa"/>
            <w:tcBorders>
              <w:top w:val="nil"/>
              <w:left w:val="nil"/>
              <w:bottom w:val="single" w:sz="4" w:space="0" w:color="auto"/>
              <w:right w:val="single" w:sz="4" w:space="0" w:color="auto"/>
            </w:tcBorders>
            <w:shd w:val="clear" w:color="auto" w:fill="C6EFCE"/>
            <w:noWrap/>
          </w:tcPr>
          <w:p w14:paraId="4DB1850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965" w:type="dxa"/>
            <w:tcBorders>
              <w:top w:val="nil"/>
              <w:left w:val="nil"/>
              <w:bottom w:val="single" w:sz="4" w:space="0" w:color="auto"/>
              <w:right w:val="single" w:sz="4" w:space="0" w:color="auto"/>
            </w:tcBorders>
            <w:shd w:val="clear" w:color="auto" w:fill="C6EFCE"/>
            <w:noWrap/>
          </w:tcPr>
          <w:p w14:paraId="2E49CF43" w14:textId="006DB1E2" w:rsidR="00302FC1" w:rsidRPr="00AB26B3" w:rsidRDefault="00D64F26">
            <w:pPr>
              <w:pStyle w:val="P68B1DB1-Normal12"/>
              <w:spacing w:after="0" w:line="240" w:lineRule="auto"/>
              <w:rPr>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 na stavebné práce týkajúce sa týchto výskumných centier: Nadácia pre výskum</w:t>
            </w:r>
            <w:r w:rsidR="00AB26B3" w:rsidRPr="00AB26B3">
              <w:rPr>
                <w:noProof/>
                <w:spacing w:val="-6"/>
                <w:lang w:val="sk-SK"/>
              </w:rPr>
              <w:t xml:space="preserve"> a </w:t>
            </w:r>
            <w:r w:rsidRPr="00AB26B3">
              <w:rPr>
                <w:noProof/>
                <w:spacing w:val="-6"/>
                <w:lang w:val="sk-SK"/>
              </w:rPr>
              <w:t>technológie Hellas; Výskumné</w:t>
            </w:r>
            <w:r w:rsidR="00AB26B3" w:rsidRPr="00AB26B3">
              <w:rPr>
                <w:noProof/>
                <w:spacing w:val="-6"/>
                <w:lang w:val="sk-SK"/>
              </w:rPr>
              <w:t xml:space="preserve"> a </w:t>
            </w:r>
            <w:r w:rsidRPr="00AB26B3">
              <w:rPr>
                <w:noProof/>
                <w:spacing w:val="-6"/>
                <w:lang w:val="sk-SK"/>
              </w:rPr>
              <w:t>inovačné centrum Athena; BSRC Fleming; Centrum pre výskum</w:t>
            </w:r>
            <w:r w:rsidR="00AB26B3" w:rsidRPr="00AB26B3">
              <w:rPr>
                <w:noProof/>
                <w:spacing w:val="-6"/>
                <w:lang w:val="sk-SK"/>
              </w:rPr>
              <w:t xml:space="preserve"> a </w:t>
            </w:r>
            <w:r w:rsidRPr="00AB26B3">
              <w:rPr>
                <w:noProof/>
                <w:spacing w:val="-6"/>
                <w:lang w:val="sk-SK"/>
              </w:rPr>
              <w:t>technológie Hellas; National Hellenic Research Foundation (Národná nadácia Helénskeho výskumu); Nadácia pre biomedicínsky výskum Akadémia</w:t>
            </w:r>
            <w:r w:rsidR="00AB26B3" w:rsidRPr="00AB26B3">
              <w:rPr>
                <w:noProof/>
                <w:spacing w:val="-6"/>
                <w:lang w:val="sk-SK"/>
              </w:rPr>
              <w:t xml:space="preserve"> v </w:t>
            </w:r>
            <w:r w:rsidRPr="00AB26B3">
              <w:rPr>
                <w:noProof/>
                <w:spacing w:val="-6"/>
                <w:lang w:val="sk-SK"/>
              </w:rPr>
              <w:t>Aténach; Národné monitorovacie stredisko</w:t>
            </w:r>
            <w:r w:rsidR="00AB26B3" w:rsidRPr="00AB26B3">
              <w:rPr>
                <w:noProof/>
                <w:spacing w:val="-6"/>
                <w:lang w:val="sk-SK"/>
              </w:rPr>
              <w:t xml:space="preserve"> v </w:t>
            </w:r>
            <w:r w:rsidRPr="00AB26B3">
              <w:rPr>
                <w:noProof/>
                <w:spacing w:val="-6"/>
                <w:lang w:val="sk-SK"/>
              </w:rPr>
              <w:t>Aténach; Grécke centrum pre morský výskum; Helénsky Pasteurov inštitút.</w:t>
            </w:r>
          </w:p>
        </w:tc>
      </w:tr>
      <w:tr w:rsidR="00302FC1" w:rsidRPr="00AB26B3" w14:paraId="21A0413A" w14:textId="77777777">
        <w:trPr>
          <w:trHeight w:val="309"/>
          <w:jc w:val="center"/>
        </w:trPr>
        <w:tc>
          <w:tcPr>
            <w:tcW w:w="594" w:type="dxa"/>
            <w:tcBorders>
              <w:top w:val="nil"/>
              <w:left w:val="single" w:sz="4" w:space="0" w:color="auto"/>
              <w:bottom w:val="single" w:sz="4" w:space="0" w:color="auto"/>
              <w:right w:val="single" w:sz="4" w:space="0" w:color="auto"/>
            </w:tcBorders>
            <w:shd w:val="clear" w:color="auto" w:fill="C6EFCE"/>
            <w:noWrap/>
          </w:tcPr>
          <w:p w14:paraId="1EDAD3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248</w:t>
            </w:r>
          </w:p>
        </w:tc>
        <w:tc>
          <w:tcPr>
            <w:tcW w:w="2571" w:type="dxa"/>
            <w:tcBorders>
              <w:top w:val="nil"/>
              <w:left w:val="nil"/>
              <w:bottom w:val="single" w:sz="4" w:space="0" w:color="auto"/>
              <w:right w:val="single" w:sz="4" w:space="0" w:color="auto"/>
            </w:tcBorders>
            <w:shd w:val="clear" w:color="auto" w:fill="C6EFCE"/>
            <w:noWrap/>
          </w:tcPr>
          <w:p w14:paraId="4BE4EB85" w14:textId="4283A66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16654_ TH2ORAX: Trellis Holistic &amp; Hybrid Operational Ruggedised Autonómny eXemplárny systém</w:t>
            </w:r>
          </w:p>
        </w:tc>
        <w:tc>
          <w:tcPr>
            <w:tcW w:w="1094" w:type="dxa"/>
            <w:tcBorders>
              <w:top w:val="nil"/>
              <w:left w:val="nil"/>
              <w:bottom w:val="single" w:sz="4" w:space="0" w:color="auto"/>
              <w:right w:val="single" w:sz="4" w:space="0" w:color="auto"/>
            </w:tcBorders>
            <w:shd w:val="clear" w:color="auto" w:fill="C6EFCE"/>
            <w:noWrap/>
          </w:tcPr>
          <w:p w14:paraId="282C3CA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nil"/>
              <w:left w:val="nil"/>
              <w:bottom w:val="single" w:sz="4" w:space="0" w:color="auto"/>
              <w:right w:val="single" w:sz="4" w:space="0" w:color="auto"/>
            </w:tcBorders>
            <w:shd w:val="clear" w:color="auto" w:fill="C6EFCE"/>
            <w:noWrap/>
          </w:tcPr>
          <w:p w14:paraId="441FF61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Zadávanie zákaziek na TH2ORAX</w:t>
            </w:r>
          </w:p>
        </w:tc>
        <w:tc>
          <w:tcPr>
            <w:tcW w:w="1774" w:type="dxa"/>
            <w:tcBorders>
              <w:top w:val="nil"/>
              <w:left w:val="nil"/>
              <w:bottom w:val="single" w:sz="4" w:space="0" w:color="auto"/>
              <w:right w:val="single" w:sz="4" w:space="0" w:color="auto"/>
            </w:tcBorders>
            <w:shd w:val="clear" w:color="auto" w:fill="C6EFCE"/>
            <w:noWrap/>
          </w:tcPr>
          <w:p w14:paraId="193089E7" w14:textId="1B40352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960" w:type="dxa"/>
            <w:tcBorders>
              <w:top w:val="nil"/>
              <w:left w:val="nil"/>
              <w:bottom w:val="single" w:sz="4" w:space="0" w:color="auto"/>
              <w:right w:val="single" w:sz="4" w:space="0" w:color="auto"/>
            </w:tcBorders>
            <w:shd w:val="clear" w:color="auto" w:fill="C6EFCE"/>
            <w:noWrap/>
          </w:tcPr>
          <w:p w14:paraId="7627299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nil"/>
              <w:left w:val="nil"/>
              <w:bottom w:val="single" w:sz="4" w:space="0" w:color="auto"/>
              <w:right w:val="single" w:sz="4" w:space="0" w:color="auto"/>
            </w:tcBorders>
            <w:shd w:val="clear" w:color="auto" w:fill="C6EFCE"/>
            <w:noWrap/>
          </w:tcPr>
          <w:p w14:paraId="5772D14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nil"/>
              <w:left w:val="nil"/>
              <w:bottom w:val="single" w:sz="4" w:space="0" w:color="auto"/>
              <w:right w:val="single" w:sz="4" w:space="0" w:color="auto"/>
            </w:tcBorders>
            <w:shd w:val="clear" w:color="auto" w:fill="C6EFCE"/>
            <w:noWrap/>
          </w:tcPr>
          <w:p w14:paraId="6AD2975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nil"/>
              <w:left w:val="nil"/>
              <w:bottom w:val="single" w:sz="4" w:space="0" w:color="auto"/>
              <w:right w:val="single" w:sz="4" w:space="0" w:color="auto"/>
            </w:tcBorders>
            <w:shd w:val="clear" w:color="auto" w:fill="C6EFCE"/>
            <w:noWrap/>
          </w:tcPr>
          <w:p w14:paraId="2C04873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7" w:type="dxa"/>
            <w:tcBorders>
              <w:top w:val="nil"/>
              <w:left w:val="nil"/>
              <w:bottom w:val="single" w:sz="4" w:space="0" w:color="auto"/>
              <w:right w:val="single" w:sz="4" w:space="0" w:color="auto"/>
            </w:tcBorders>
            <w:shd w:val="clear" w:color="auto" w:fill="C6EFCE"/>
            <w:noWrap/>
          </w:tcPr>
          <w:p w14:paraId="44C46C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965" w:type="dxa"/>
            <w:tcBorders>
              <w:top w:val="nil"/>
              <w:left w:val="nil"/>
              <w:bottom w:val="single" w:sz="4" w:space="0" w:color="auto"/>
              <w:right w:val="single" w:sz="4" w:space="0" w:color="auto"/>
            </w:tcBorders>
            <w:shd w:val="clear" w:color="auto" w:fill="C6EFCE"/>
            <w:noWrap/>
          </w:tcPr>
          <w:p w14:paraId="3E8524B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Zadávanie zákaziek na projekt TH2ORAX.</w:t>
            </w:r>
          </w:p>
          <w:p w14:paraId="14DDF22C" w14:textId="701FCAC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 účinné vykonávanie procesu hodnotenia zodpovedá ministerstvo rozvoja</w:t>
            </w:r>
            <w:r w:rsidR="00AB26B3" w:rsidRPr="00AB26B3">
              <w:rPr>
                <w:noProof/>
                <w:spacing w:val="-6"/>
                <w:lang w:val="sk-SK"/>
              </w:rPr>
              <w:t xml:space="preserve"> a </w:t>
            </w:r>
            <w:r w:rsidRPr="00AB26B3">
              <w:rPr>
                <w:noProof/>
                <w:spacing w:val="-6"/>
                <w:lang w:val="sk-SK"/>
              </w:rPr>
              <w:t>investícií spolu</w:t>
            </w:r>
            <w:r w:rsidR="00AB26B3" w:rsidRPr="00AB26B3">
              <w:rPr>
                <w:noProof/>
                <w:spacing w:val="-6"/>
                <w:lang w:val="sk-SK"/>
              </w:rPr>
              <w:t xml:space="preserve"> s </w:t>
            </w:r>
            <w:r w:rsidRPr="00AB26B3">
              <w:rPr>
                <w:noProof/>
                <w:spacing w:val="-6"/>
                <w:lang w:val="sk-SK"/>
              </w:rPr>
              <w:t>Generálnym sekretariátom pre výskum</w:t>
            </w:r>
            <w:r w:rsidR="00AB26B3" w:rsidRPr="00AB26B3">
              <w:rPr>
                <w:noProof/>
                <w:spacing w:val="-6"/>
                <w:lang w:val="sk-SK"/>
              </w:rPr>
              <w:t xml:space="preserve"> a </w:t>
            </w:r>
            <w:r w:rsidRPr="00AB26B3">
              <w:rPr>
                <w:noProof/>
                <w:spacing w:val="-6"/>
                <w:lang w:val="sk-SK"/>
              </w:rPr>
              <w:t>inováciu (GSRI). Zákazka (zákazky) sa zadáva (zadávajú) na základe najlepšieho pomeru kvality ceny</w:t>
            </w:r>
            <w:r w:rsidR="00AB26B3" w:rsidRPr="00AB26B3">
              <w:rPr>
                <w:noProof/>
                <w:spacing w:val="-6"/>
                <w:lang w:val="sk-SK"/>
              </w:rPr>
              <w:t xml:space="preserve"> a </w:t>
            </w:r>
            <w:r w:rsidRPr="00AB26B3">
              <w:rPr>
                <w:noProof/>
                <w:spacing w:val="-6"/>
                <w:lang w:val="sk-SK"/>
              </w:rPr>
              <w:t xml:space="preserve">ceny. </w:t>
            </w:r>
          </w:p>
        </w:tc>
      </w:tr>
      <w:tr w:rsidR="00302FC1" w:rsidRPr="00AB26B3" w14:paraId="54FB3E14" w14:textId="77777777">
        <w:trPr>
          <w:trHeight w:val="309"/>
          <w:jc w:val="center"/>
        </w:trPr>
        <w:tc>
          <w:tcPr>
            <w:tcW w:w="594" w:type="dxa"/>
            <w:tcBorders>
              <w:top w:val="single" w:sz="4" w:space="0" w:color="auto"/>
              <w:left w:val="single" w:sz="4" w:space="0" w:color="auto"/>
              <w:bottom w:val="single" w:sz="4" w:space="0" w:color="auto"/>
              <w:right w:val="single" w:sz="4" w:space="0" w:color="auto"/>
            </w:tcBorders>
            <w:shd w:val="clear" w:color="auto" w:fill="C6EFCE"/>
            <w:noWrap/>
          </w:tcPr>
          <w:p w14:paraId="1BF30D3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249</w:t>
            </w:r>
          </w:p>
        </w:tc>
        <w:tc>
          <w:tcPr>
            <w:tcW w:w="2571" w:type="dxa"/>
            <w:tcBorders>
              <w:top w:val="single" w:sz="4" w:space="0" w:color="auto"/>
              <w:left w:val="nil"/>
              <w:bottom w:val="single" w:sz="4" w:space="0" w:color="auto"/>
              <w:right w:val="single" w:sz="4" w:space="0" w:color="auto"/>
            </w:tcBorders>
            <w:shd w:val="clear" w:color="auto" w:fill="C6EFCE"/>
            <w:noWrap/>
          </w:tcPr>
          <w:p w14:paraId="564F955B" w14:textId="549096A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16624_Creation – Expansion – Modernizácia infraštruktúr výskumných centier pod dohľadom Generálneho sekretariátu pre výskum</w:t>
            </w:r>
            <w:r w:rsidR="00AB26B3" w:rsidRPr="00AB26B3">
              <w:rPr>
                <w:noProof/>
                <w:spacing w:val="-6"/>
                <w:lang w:val="sk-SK"/>
              </w:rPr>
              <w:t xml:space="preserve"> a </w:t>
            </w:r>
            <w:r w:rsidRPr="00AB26B3">
              <w:rPr>
                <w:noProof/>
                <w:spacing w:val="-6"/>
                <w:lang w:val="sk-SK"/>
              </w:rPr>
              <w:t>inovácie (GSRI)</w:t>
            </w:r>
          </w:p>
        </w:tc>
        <w:tc>
          <w:tcPr>
            <w:tcW w:w="1094" w:type="dxa"/>
            <w:tcBorders>
              <w:top w:val="single" w:sz="4" w:space="0" w:color="auto"/>
              <w:left w:val="nil"/>
              <w:bottom w:val="single" w:sz="4" w:space="0" w:color="auto"/>
              <w:right w:val="single" w:sz="4" w:space="0" w:color="auto"/>
            </w:tcBorders>
            <w:shd w:val="clear" w:color="auto" w:fill="C6EFCE"/>
            <w:noWrap/>
          </w:tcPr>
          <w:p w14:paraId="4621A6B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single" w:sz="4" w:space="0" w:color="auto"/>
              <w:left w:val="nil"/>
              <w:bottom w:val="single" w:sz="4" w:space="0" w:color="auto"/>
              <w:right w:val="single" w:sz="4" w:space="0" w:color="auto"/>
            </w:tcBorders>
            <w:shd w:val="clear" w:color="auto" w:fill="C6EFCE"/>
            <w:noWrap/>
          </w:tcPr>
          <w:p w14:paraId="140682F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investičných projektov týkajúcich sa výskumných centier</w:t>
            </w:r>
          </w:p>
        </w:tc>
        <w:tc>
          <w:tcPr>
            <w:tcW w:w="1774" w:type="dxa"/>
            <w:tcBorders>
              <w:top w:val="single" w:sz="4" w:space="0" w:color="auto"/>
              <w:left w:val="nil"/>
              <w:bottom w:val="single" w:sz="4" w:space="0" w:color="auto"/>
              <w:right w:val="single" w:sz="4" w:space="0" w:color="auto"/>
            </w:tcBorders>
            <w:shd w:val="clear" w:color="auto" w:fill="C6EFCE"/>
            <w:noWrap/>
          </w:tcPr>
          <w:p w14:paraId="58DB238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investičných projektov týkajúcich sa výskumných centier</w:t>
            </w:r>
          </w:p>
        </w:tc>
        <w:tc>
          <w:tcPr>
            <w:tcW w:w="960" w:type="dxa"/>
            <w:tcBorders>
              <w:top w:val="single" w:sz="4" w:space="0" w:color="auto"/>
              <w:left w:val="nil"/>
              <w:bottom w:val="single" w:sz="4" w:space="0" w:color="auto"/>
              <w:right w:val="single" w:sz="4" w:space="0" w:color="auto"/>
            </w:tcBorders>
            <w:shd w:val="clear" w:color="auto" w:fill="C6EFCE"/>
            <w:noWrap/>
          </w:tcPr>
          <w:p w14:paraId="69EFF9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single" w:sz="4" w:space="0" w:color="auto"/>
              <w:left w:val="nil"/>
              <w:bottom w:val="single" w:sz="4" w:space="0" w:color="auto"/>
              <w:right w:val="single" w:sz="4" w:space="0" w:color="auto"/>
            </w:tcBorders>
            <w:shd w:val="clear" w:color="auto" w:fill="C6EFCE"/>
            <w:noWrap/>
          </w:tcPr>
          <w:p w14:paraId="3631070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single" w:sz="4" w:space="0" w:color="auto"/>
              <w:left w:val="nil"/>
              <w:bottom w:val="single" w:sz="4" w:space="0" w:color="auto"/>
              <w:right w:val="single" w:sz="4" w:space="0" w:color="auto"/>
            </w:tcBorders>
            <w:shd w:val="clear" w:color="auto" w:fill="C6EFCE"/>
            <w:noWrap/>
          </w:tcPr>
          <w:p w14:paraId="11E6E1E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single" w:sz="4" w:space="0" w:color="auto"/>
              <w:left w:val="nil"/>
              <w:bottom w:val="single" w:sz="4" w:space="0" w:color="auto"/>
              <w:right w:val="single" w:sz="4" w:space="0" w:color="auto"/>
            </w:tcBorders>
            <w:shd w:val="clear" w:color="auto" w:fill="C6EFCE"/>
            <w:noWrap/>
          </w:tcPr>
          <w:p w14:paraId="6174E5E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7" w:type="dxa"/>
            <w:tcBorders>
              <w:top w:val="single" w:sz="4" w:space="0" w:color="auto"/>
              <w:left w:val="nil"/>
              <w:bottom w:val="single" w:sz="4" w:space="0" w:color="auto"/>
              <w:right w:val="single" w:sz="4" w:space="0" w:color="auto"/>
            </w:tcBorders>
            <w:shd w:val="clear" w:color="auto" w:fill="C6EFCE"/>
            <w:noWrap/>
          </w:tcPr>
          <w:p w14:paraId="5CA5D03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65" w:type="dxa"/>
            <w:tcBorders>
              <w:top w:val="single" w:sz="4" w:space="0" w:color="auto"/>
              <w:left w:val="nil"/>
              <w:bottom w:val="single" w:sz="4" w:space="0" w:color="auto"/>
              <w:right w:val="single" w:sz="4" w:space="0" w:color="auto"/>
            </w:tcBorders>
            <w:shd w:val="clear" w:color="auto" w:fill="C6EFCE"/>
            <w:noWrap/>
          </w:tcPr>
          <w:p w14:paraId="60310E37" w14:textId="53CED1D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investičných projektov týkajúcich sa týchto výskumných centier: Nadácia pre výskum</w:t>
            </w:r>
            <w:r w:rsidR="00AB26B3" w:rsidRPr="00AB26B3">
              <w:rPr>
                <w:noProof/>
                <w:spacing w:val="-6"/>
                <w:lang w:val="sk-SK"/>
              </w:rPr>
              <w:t xml:space="preserve"> a </w:t>
            </w:r>
            <w:r w:rsidRPr="00AB26B3">
              <w:rPr>
                <w:noProof/>
                <w:spacing w:val="-6"/>
                <w:lang w:val="sk-SK"/>
              </w:rPr>
              <w:t>technológie Hellas; Výskumné</w:t>
            </w:r>
            <w:r w:rsidR="00AB26B3" w:rsidRPr="00AB26B3">
              <w:rPr>
                <w:noProof/>
                <w:spacing w:val="-6"/>
                <w:lang w:val="sk-SK"/>
              </w:rPr>
              <w:t xml:space="preserve"> a </w:t>
            </w:r>
            <w:r w:rsidRPr="00AB26B3">
              <w:rPr>
                <w:noProof/>
                <w:spacing w:val="-6"/>
                <w:lang w:val="sk-SK"/>
              </w:rPr>
              <w:t>inovačné centrum Athena; BSRC Fleming; Centrum pre výskum</w:t>
            </w:r>
            <w:r w:rsidR="00AB26B3" w:rsidRPr="00AB26B3">
              <w:rPr>
                <w:noProof/>
                <w:spacing w:val="-6"/>
                <w:lang w:val="sk-SK"/>
              </w:rPr>
              <w:t xml:space="preserve"> a </w:t>
            </w:r>
            <w:r w:rsidRPr="00AB26B3">
              <w:rPr>
                <w:noProof/>
                <w:spacing w:val="-6"/>
                <w:lang w:val="sk-SK"/>
              </w:rPr>
              <w:t>technológie Hellas; National Hellenic Research Foundation (Národná nadácia Helénskeho výskumu); Nadácia pre biomedicínsky výskum Akadémia</w:t>
            </w:r>
            <w:r w:rsidR="00AB26B3" w:rsidRPr="00AB26B3">
              <w:rPr>
                <w:noProof/>
                <w:spacing w:val="-6"/>
                <w:lang w:val="sk-SK"/>
              </w:rPr>
              <w:t xml:space="preserve"> v </w:t>
            </w:r>
            <w:r w:rsidRPr="00AB26B3">
              <w:rPr>
                <w:noProof/>
                <w:spacing w:val="-6"/>
                <w:lang w:val="sk-SK"/>
              </w:rPr>
              <w:t>Aténach; Národné monitorovacie stredisko</w:t>
            </w:r>
            <w:r w:rsidR="00AB26B3" w:rsidRPr="00AB26B3">
              <w:rPr>
                <w:noProof/>
                <w:spacing w:val="-6"/>
                <w:lang w:val="sk-SK"/>
              </w:rPr>
              <w:t xml:space="preserve"> v </w:t>
            </w:r>
            <w:r w:rsidRPr="00AB26B3">
              <w:rPr>
                <w:noProof/>
                <w:spacing w:val="-6"/>
                <w:lang w:val="sk-SK"/>
              </w:rPr>
              <w:t>Aténach; Grécke centrum pre morský výskum; Helénsky Pasteurov inštitút; Národné centrum sociálneho výskumu; Grécka komisia pre atómovú energiu.</w:t>
            </w:r>
          </w:p>
        </w:tc>
      </w:tr>
      <w:tr w:rsidR="00302FC1" w:rsidRPr="00AB26B3" w14:paraId="7FF371CB" w14:textId="77777777">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C6EFCE"/>
          </w:tcPr>
          <w:p w14:paraId="458966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250</w:t>
            </w:r>
          </w:p>
        </w:tc>
        <w:tc>
          <w:tcPr>
            <w:tcW w:w="2571" w:type="dxa"/>
            <w:tcBorders>
              <w:top w:val="single" w:sz="4" w:space="0" w:color="auto"/>
              <w:left w:val="nil"/>
              <w:bottom w:val="single" w:sz="4" w:space="0" w:color="auto"/>
              <w:right w:val="single" w:sz="4" w:space="0" w:color="auto"/>
            </w:tcBorders>
            <w:shd w:val="clear" w:color="auto" w:fill="C6EFCE"/>
          </w:tcPr>
          <w:p w14:paraId="433D5308" w14:textId="4878E68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16618_Základný</w:t>
            </w:r>
            <w:r w:rsidR="00AB26B3" w:rsidRPr="00AB26B3">
              <w:rPr>
                <w:noProof/>
                <w:spacing w:val="-6"/>
                <w:lang w:val="sk-SK"/>
              </w:rPr>
              <w:t xml:space="preserve"> a </w:t>
            </w:r>
            <w:r w:rsidRPr="00AB26B3">
              <w:rPr>
                <w:noProof/>
                <w:spacing w:val="-6"/>
                <w:lang w:val="sk-SK"/>
              </w:rPr>
              <w:t>aplikovaný výskum</w:t>
            </w:r>
          </w:p>
        </w:tc>
        <w:tc>
          <w:tcPr>
            <w:tcW w:w="1094" w:type="dxa"/>
            <w:tcBorders>
              <w:top w:val="single" w:sz="4" w:space="0" w:color="auto"/>
              <w:left w:val="nil"/>
              <w:bottom w:val="single" w:sz="4" w:space="0" w:color="auto"/>
              <w:right w:val="single" w:sz="4" w:space="0" w:color="auto"/>
            </w:tcBorders>
            <w:shd w:val="clear" w:color="auto" w:fill="C6EFCE"/>
          </w:tcPr>
          <w:p w14:paraId="22A72CB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single" w:sz="4" w:space="0" w:color="auto"/>
              <w:left w:val="nil"/>
              <w:bottom w:val="single" w:sz="4" w:space="0" w:color="auto"/>
              <w:right w:val="single" w:sz="4" w:space="0" w:color="auto"/>
            </w:tcBorders>
            <w:shd w:val="clear" w:color="auto" w:fill="C6EFCE"/>
          </w:tcPr>
          <w:p w14:paraId="026AC438" w14:textId="07DE758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základných</w:t>
            </w:r>
            <w:r w:rsidR="00AB26B3" w:rsidRPr="00AB26B3">
              <w:rPr>
                <w:noProof/>
                <w:spacing w:val="-6"/>
                <w:lang w:val="sk-SK"/>
              </w:rPr>
              <w:t xml:space="preserve"> a </w:t>
            </w:r>
            <w:r w:rsidRPr="00AB26B3">
              <w:rPr>
                <w:noProof/>
                <w:spacing w:val="-6"/>
                <w:lang w:val="sk-SK"/>
              </w:rPr>
              <w:t>aplikovaných výskumných projektov</w:t>
            </w:r>
          </w:p>
        </w:tc>
        <w:tc>
          <w:tcPr>
            <w:tcW w:w="1774" w:type="dxa"/>
            <w:tcBorders>
              <w:top w:val="single" w:sz="4" w:space="0" w:color="auto"/>
              <w:left w:val="nil"/>
              <w:bottom w:val="single" w:sz="4" w:space="0" w:color="auto"/>
              <w:right w:val="single" w:sz="4" w:space="0" w:color="auto"/>
            </w:tcBorders>
            <w:shd w:val="clear" w:color="auto" w:fill="C6EFCE"/>
          </w:tcPr>
          <w:p w14:paraId="54F64F1E" w14:textId="36A8C40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základných</w:t>
            </w:r>
            <w:r w:rsidR="00AB26B3" w:rsidRPr="00AB26B3">
              <w:rPr>
                <w:noProof/>
                <w:spacing w:val="-6"/>
                <w:lang w:val="sk-SK"/>
              </w:rPr>
              <w:t xml:space="preserve"> a </w:t>
            </w:r>
            <w:r w:rsidRPr="00AB26B3">
              <w:rPr>
                <w:noProof/>
                <w:spacing w:val="-6"/>
                <w:lang w:val="sk-SK"/>
              </w:rPr>
              <w:t>aplikovaných výskumných projektov</w:t>
            </w:r>
          </w:p>
        </w:tc>
        <w:tc>
          <w:tcPr>
            <w:tcW w:w="960" w:type="dxa"/>
            <w:tcBorders>
              <w:top w:val="single" w:sz="4" w:space="0" w:color="auto"/>
              <w:left w:val="nil"/>
              <w:bottom w:val="single" w:sz="4" w:space="0" w:color="auto"/>
              <w:right w:val="single" w:sz="4" w:space="0" w:color="auto"/>
            </w:tcBorders>
            <w:shd w:val="clear" w:color="auto" w:fill="C6EFCE"/>
          </w:tcPr>
          <w:p w14:paraId="0846034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single" w:sz="4" w:space="0" w:color="auto"/>
              <w:left w:val="nil"/>
              <w:bottom w:val="single" w:sz="4" w:space="0" w:color="auto"/>
              <w:right w:val="single" w:sz="4" w:space="0" w:color="auto"/>
            </w:tcBorders>
            <w:shd w:val="clear" w:color="auto" w:fill="C6EFCE"/>
          </w:tcPr>
          <w:p w14:paraId="00F868F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single" w:sz="4" w:space="0" w:color="auto"/>
              <w:left w:val="nil"/>
              <w:bottom w:val="single" w:sz="4" w:space="0" w:color="auto"/>
              <w:right w:val="single" w:sz="4" w:space="0" w:color="auto"/>
            </w:tcBorders>
            <w:shd w:val="clear" w:color="auto" w:fill="C6EFCE"/>
          </w:tcPr>
          <w:p w14:paraId="54DF07E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single" w:sz="4" w:space="0" w:color="auto"/>
              <w:left w:val="nil"/>
              <w:bottom w:val="single" w:sz="4" w:space="0" w:color="auto"/>
              <w:right w:val="single" w:sz="4" w:space="0" w:color="auto"/>
            </w:tcBorders>
            <w:shd w:val="clear" w:color="auto" w:fill="C6EFCE"/>
          </w:tcPr>
          <w:p w14:paraId="0B3FB3D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7" w:type="dxa"/>
            <w:tcBorders>
              <w:top w:val="single" w:sz="4" w:space="0" w:color="auto"/>
              <w:left w:val="nil"/>
              <w:bottom w:val="single" w:sz="4" w:space="0" w:color="auto"/>
              <w:right w:val="single" w:sz="4" w:space="0" w:color="auto"/>
            </w:tcBorders>
            <w:shd w:val="clear" w:color="auto" w:fill="C6EFCE"/>
          </w:tcPr>
          <w:p w14:paraId="25E2180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65" w:type="dxa"/>
            <w:tcBorders>
              <w:top w:val="single" w:sz="4" w:space="0" w:color="auto"/>
              <w:left w:val="nil"/>
              <w:bottom w:val="single" w:sz="4" w:space="0" w:color="auto"/>
              <w:right w:val="single" w:sz="4" w:space="0" w:color="auto"/>
            </w:tcBorders>
            <w:shd w:val="clear" w:color="auto" w:fill="C6EFCE"/>
          </w:tcPr>
          <w:p w14:paraId="6DC0290B" w14:textId="5F611CD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týchto projektov: Financovanie základného výskumu; Hlavné výskumné projekty; Zriadenie inštitútu aplikovaného výskumu</w:t>
            </w:r>
            <w:r w:rsidR="00AB26B3" w:rsidRPr="00AB26B3">
              <w:rPr>
                <w:noProof/>
                <w:spacing w:val="-6"/>
                <w:lang w:val="sk-SK"/>
              </w:rPr>
              <w:t xml:space="preserve"> a </w:t>
            </w:r>
            <w:r w:rsidRPr="00AB26B3">
              <w:rPr>
                <w:noProof/>
                <w:spacing w:val="-6"/>
                <w:lang w:val="sk-SK"/>
              </w:rPr>
              <w:t>inovácií</w:t>
            </w:r>
            <w:r w:rsidR="00AB26B3" w:rsidRPr="00AB26B3">
              <w:rPr>
                <w:noProof/>
                <w:spacing w:val="-6"/>
                <w:lang w:val="sk-SK"/>
              </w:rPr>
              <w:t xml:space="preserve"> v </w:t>
            </w:r>
            <w:r w:rsidRPr="00AB26B3">
              <w:rPr>
                <w:noProof/>
                <w:spacing w:val="-6"/>
                <w:lang w:val="sk-SK"/>
              </w:rPr>
              <w:t>oblasti umelej inteligencie, spracovania údajov</w:t>
            </w:r>
            <w:r w:rsidR="00AB26B3" w:rsidRPr="00AB26B3">
              <w:rPr>
                <w:noProof/>
                <w:spacing w:val="-6"/>
                <w:lang w:val="sk-SK"/>
              </w:rPr>
              <w:t xml:space="preserve"> a </w:t>
            </w:r>
            <w:r w:rsidRPr="00AB26B3">
              <w:rPr>
                <w:noProof/>
                <w:spacing w:val="-6"/>
                <w:lang w:val="sk-SK"/>
              </w:rPr>
              <w:t>vývoja algoritmov; Účasť na európskych partnerstvách pre vysokovýkonnú výpočtovú techniku (Euro-HPC)</w:t>
            </w:r>
            <w:r w:rsidR="00AB26B3" w:rsidRPr="00AB26B3">
              <w:rPr>
                <w:noProof/>
                <w:spacing w:val="-6"/>
                <w:lang w:val="sk-SK"/>
              </w:rPr>
              <w:t xml:space="preserve"> a </w:t>
            </w:r>
            <w:r w:rsidRPr="00AB26B3">
              <w:rPr>
                <w:noProof/>
                <w:spacing w:val="-6"/>
                <w:lang w:val="sk-SK"/>
              </w:rPr>
              <w:t>kľúčové digitálne technológie.</w:t>
            </w:r>
          </w:p>
        </w:tc>
      </w:tr>
      <w:tr w:rsidR="00302FC1" w:rsidRPr="00AB26B3" w14:paraId="31FAD69E" w14:textId="77777777">
        <w:trPr>
          <w:trHeight w:val="309"/>
          <w:jc w:val="center"/>
        </w:trPr>
        <w:tc>
          <w:tcPr>
            <w:tcW w:w="594" w:type="dxa"/>
            <w:tcBorders>
              <w:top w:val="single" w:sz="4" w:space="0" w:color="auto"/>
              <w:left w:val="single" w:sz="4" w:space="0" w:color="auto"/>
              <w:bottom w:val="single" w:sz="4" w:space="0" w:color="auto"/>
              <w:right w:val="single" w:sz="4" w:space="0" w:color="auto"/>
            </w:tcBorders>
            <w:shd w:val="clear" w:color="auto" w:fill="C6EFCE"/>
            <w:noWrap/>
          </w:tcPr>
          <w:p w14:paraId="3961810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251</w:t>
            </w:r>
          </w:p>
        </w:tc>
        <w:tc>
          <w:tcPr>
            <w:tcW w:w="2571" w:type="dxa"/>
            <w:tcBorders>
              <w:top w:val="single" w:sz="4" w:space="0" w:color="auto"/>
              <w:left w:val="nil"/>
              <w:bottom w:val="single" w:sz="4" w:space="0" w:color="auto"/>
              <w:right w:val="single" w:sz="4" w:space="0" w:color="auto"/>
            </w:tcBorders>
            <w:shd w:val="clear" w:color="auto" w:fill="C6EFCE"/>
            <w:noWrap/>
          </w:tcPr>
          <w:p w14:paraId="6CA0460E" w14:textId="2274906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16654_TH 2 ORAX: Trellis Holistic &amp; Hybrid Operational Ruggedised Autonómny eXemplárny systém</w:t>
            </w:r>
          </w:p>
        </w:tc>
        <w:tc>
          <w:tcPr>
            <w:tcW w:w="1094" w:type="dxa"/>
            <w:tcBorders>
              <w:top w:val="single" w:sz="4" w:space="0" w:color="auto"/>
              <w:left w:val="nil"/>
              <w:bottom w:val="single" w:sz="4" w:space="0" w:color="auto"/>
              <w:right w:val="single" w:sz="4" w:space="0" w:color="auto"/>
            </w:tcBorders>
            <w:shd w:val="clear" w:color="auto" w:fill="C6EFCE"/>
            <w:noWrap/>
          </w:tcPr>
          <w:p w14:paraId="5BAC76B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single" w:sz="4" w:space="0" w:color="auto"/>
              <w:left w:val="nil"/>
              <w:bottom w:val="single" w:sz="4" w:space="0" w:color="auto"/>
              <w:right w:val="single" w:sz="4" w:space="0" w:color="auto"/>
            </w:tcBorders>
            <w:shd w:val="clear" w:color="auto" w:fill="C6EFCE"/>
            <w:noWrap/>
          </w:tcPr>
          <w:p w14:paraId="0253B04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TH2ORAX</w:t>
            </w:r>
          </w:p>
        </w:tc>
        <w:tc>
          <w:tcPr>
            <w:tcW w:w="1774" w:type="dxa"/>
            <w:tcBorders>
              <w:top w:val="single" w:sz="4" w:space="0" w:color="auto"/>
              <w:left w:val="nil"/>
              <w:bottom w:val="single" w:sz="4" w:space="0" w:color="auto"/>
              <w:right w:val="single" w:sz="4" w:space="0" w:color="auto"/>
            </w:tcBorders>
            <w:shd w:val="clear" w:color="auto" w:fill="C6EFCE"/>
            <w:noWrap/>
          </w:tcPr>
          <w:p w14:paraId="5F9EBDE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TH2ORAX</w:t>
            </w:r>
          </w:p>
        </w:tc>
        <w:tc>
          <w:tcPr>
            <w:tcW w:w="960" w:type="dxa"/>
            <w:tcBorders>
              <w:top w:val="single" w:sz="4" w:space="0" w:color="auto"/>
              <w:left w:val="nil"/>
              <w:bottom w:val="single" w:sz="4" w:space="0" w:color="auto"/>
              <w:right w:val="single" w:sz="4" w:space="0" w:color="auto"/>
            </w:tcBorders>
            <w:shd w:val="clear" w:color="auto" w:fill="C6EFCE"/>
            <w:noWrap/>
          </w:tcPr>
          <w:p w14:paraId="67E747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single" w:sz="4" w:space="0" w:color="auto"/>
              <w:left w:val="nil"/>
              <w:bottom w:val="single" w:sz="4" w:space="0" w:color="auto"/>
              <w:right w:val="single" w:sz="4" w:space="0" w:color="auto"/>
            </w:tcBorders>
            <w:shd w:val="clear" w:color="auto" w:fill="C6EFCE"/>
            <w:noWrap/>
          </w:tcPr>
          <w:p w14:paraId="2E9C52F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single" w:sz="4" w:space="0" w:color="auto"/>
              <w:left w:val="nil"/>
              <w:bottom w:val="single" w:sz="4" w:space="0" w:color="auto"/>
              <w:right w:val="single" w:sz="4" w:space="0" w:color="auto"/>
            </w:tcBorders>
            <w:shd w:val="clear" w:color="auto" w:fill="C6EFCE"/>
            <w:noWrap/>
          </w:tcPr>
          <w:p w14:paraId="3E27F13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single" w:sz="4" w:space="0" w:color="auto"/>
              <w:left w:val="nil"/>
              <w:bottom w:val="single" w:sz="4" w:space="0" w:color="auto"/>
              <w:right w:val="single" w:sz="4" w:space="0" w:color="auto"/>
            </w:tcBorders>
            <w:shd w:val="clear" w:color="auto" w:fill="C6EFCE"/>
            <w:noWrap/>
          </w:tcPr>
          <w:p w14:paraId="1D5DFE9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7" w:type="dxa"/>
            <w:tcBorders>
              <w:top w:val="single" w:sz="4" w:space="0" w:color="auto"/>
              <w:left w:val="nil"/>
              <w:bottom w:val="single" w:sz="4" w:space="0" w:color="auto"/>
              <w:right w:val="single" w:sz="4" w:space="0" w:color="auto"/>
            </w:tcBorders>
            <w:shd w:val="clear" w:color="auto" w:fill="C6EFCE"/>
            <w:noWrap/>
          </w:tcPr>
          <w:p w14:paraId="39FC83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65" w:type="dxa"/>
            <w:tcBorders>
              <w:top w:val="single" w:sz="4" w:space="0" w:color="auto"/>
              <w:left w:val="nil"/>
              <w:bottom w:val="single" w:sz="4" w:space="0" w:color="auto"/>
              <w:right w:val="single" w:sz="4" w:space="0" w:color="auto"/>
            </w:tcBorders>
            <w:shd w:val="clear" w:color="auto" w:fill="C6EFCE"/>
            <w:noWrap/>
          </w:tcPr>
          <w:p w14:paraId="273B88C6" w14:textId="7FE0B4B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TH2ORAX: zriadenie platformy pre situačné povedomie, ktorou sa posilní koordinácia</w:t>
            </w:r>
            <w:r w:rsidR="00AB26B3" w:rsidRPr="00AB26B3">
              <w:rPr>
                <w:noProof/>
                <w:spacing w:val="-6"/>
                <w:lang w:val="sk-SK"/>
              </w:rPr>
              <w:t xml:space="preserve"> a </w:t>
            </w:r>
            <w:r w:rsidRPr="00AB26B3">
              <w:rPr>
                <w:noProof/>
                <w:spacing w:val="-6"/>
                <w:lang w:val="sk-SK"/>
              </w:rPr>
              <w:t>synchronizácia príslušných orgánov na gréckom území</w:t>
            </w:r>
            <w:r w:rsidR="00AB26B3" w:rsidRPr="00AB26B3">
              <w:rPr>
                <w:noProof/>
                <w:spacing w:val="-6"/>
                <w:lang w:val="sk-SK"/>
              </w:rPr>
              <w:t xml:space="preserve"> v </w:t>
            </w:r>
            <w:r w:rsidRPr="00AB26B3">
              <w:rPr>
                <w:noProof/>
                <w:spacing w:val="-6"/>
                <w:lang w:val="sk-SK"/>
              </w:rPr>
              <w:t>reálnom čase</w:t>
            </w:r>
            <w:r w:rsidR="00AB26B3" w:rsidRPr="00AB26B3">
              <w:rPr>
                <w:noProof/>
                <w:spacing w:val="-6"/>
                <w:lang w:val="sk-SK"/>
              </w:rPr>
              <w:t xml:space="preserve"> a </w:t>
            </w:r>
            <w:r w:rsidRPr="00AB26B3">
              <w:rPr>
                <w:noProof/>
                <w:spacing w:val="-6"/>
                <w:lang w:val="sk-SK"/>
              </w:rPr>
              <w:t>24 hodín denne 7 dní</w:t>
            </w:r>
            <w:r w:rsidR="00AB26B3" w:rsidRPr="00AB26B3">
              <w:rPr>
                <w:noProof/>
                <w:spacing w:val="-6"/>
                <w:lang w:val="sk-SK"/>
              </w:rPr>
              <w:t xml:space="preserve"> v </w:t>
            </w:r>
            <w:r w:rsidRPr="00AB26B3">
              <w:rPr>
                <w:noProof/>
                <w:spacing w:val="-6"/>
                <w:lang w:val="sk-SK"/>
              </w:rPr>
              <w:t>týždni.</w:t>
            </w:r>
          </w:p>
        </w:tc>
      </w:tr>
      <w:tr w:rsidR="00302FC1" w:rsidRPr="00AB26B3" w14:paraId="56D44412" w14:textId="77777777">
        <w:trPr>
          <w:trHeight w:val="309"/>
          <w:jc w:val="center"/>
        </w:trPr>
        <w:tc>
          <w:tcPr>
            <w:tcW w:w="594" w:type="dxa"/>
            <w:tcBorders>
              <w:top w:val="single" w:sz="4" w:space="0" w:color="auto"/>
              <w:left w:val="single" w:sz="4" w:space="0" w:color="auto"/>
              <w:bottom w:val="single" w:sz="4" w:space="0" w:color="auto"/>
              <w:right w:val="single" w:sz="4" w:space="0" w:color="auto"/>
            </w:tcBorders>
            <w:shd w:val="clear" w:color="auto" w:fill="C6EFCE"/>
            <w:noWrap/>
          </w:tcPr>
          <w:p w14:paraId="7F0838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252</w:t>
            </w:r>
          </w:p>
        </w:tc>
        <w:tc>
          <w:tcPr>
            <w:tcW w:w="2571" w:type="dxa"/>
            <w:tcBorders>
              <w:top w:val="single" w:sz="4" w:space="0" w:color="auto"/>
              <w:left w:val="nil"/>
              <w:bottom w:val="single" w:sz="4" w:space="0" w:color="auto"/>
              <w:right w:val="single" w:sz="4" w:space="0" w:color="auto"/>
            </w:tcBorders>
            <w:shd w:val="clear" w:color="auto" w:fill="C6EFCE"/>
            <w:noWrap/>
          </w:tcPr>
          <w:p w14:paraId="7960DD55" w14:textId="700A191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16971_Výskum – Vytvoriť – Inovovať</w:t>
            </w:r>
          </w:p>
        </w:tc>
        <w:tc>
          <w:tcPr>
            <w:tcW w:w="1094" w:type="dxa"/>
            <w:tcBorders>
              <w:top w:val="single" w:sz="4" w:space="0" w:color="auto"/>
              <w:left w:val="nil"/>
              <w:bottom w:val="single" w:sz="4" w:space="0" w:color="auto"/>
              <w:right w:val="single" w:sz="4" w:space="0" w:color="auto"/>
            </w:tcBorders>
            <w:shd w:val="clear" w:color="auto" w:fill="C6EFCE"/>
            <w:noWrap/>
          </w:tcPr>
          <w:p w14:paraId="1417F9C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single" w:sz="4" w:space="0" w:color="auto"/>
              <w:left w:val="nil"/>
              <w:bottom w:val="single" w:sz="4" w:space="0" w:color="auto"/>
              <w:right w:val="single" w:sz="4" w:space="0" w:color="auto"/>
            </w:tcBorders>
            <w:shd w:val="clear" w:color="auto" w:fill="C6EFCE"/>
            <w:noWrap/>
          </w:tcPr>
          <w:p w14:paraId="76D6BA9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výskumu – Vytvoriť – Inovovať projekty</w:t>
            </w:r>
          </w:p>
        </w:tc>
        <w:tc>
          <w:tcPr>
            <w:tcW w:w="1774" w:type="dxa"/>
            <w:tcBorders>
              <w:top w:val="single" w:sz="4" w:space="0" w:color="auto"/>
              <w:left w:val="nil"/>
              <w:bottom w:val="single" w:sz="4" w:space="0" w:color="auto"/>
              <w:right w:val="single" w:sz="4" w:space="0" w:color="auto"/>
            </w:tcBorders>
            <w:shd w:val="clear" w:color="auto" w:fill="C6EFCE"/>
            <w:noWrap/>
          </w:tcPr>
          <w:p w14:paraId="26C0DE2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výskumu – Vytvoriť – Inovovať projekty</w:t>
            </w:r>
          </w:p>
        </w:tc>
        <w:tc>
          <w:tcPr>
            <w:tcW w:w="960" w:type="dxa"/>
            <w:tcBorders>
              <w:top w:val="single" w:sz="4" w:space="0" w:color="auto"/>
              <w:left w:val="nil"/>
              <w:bottom w:val="single" w:sz="4" w:space="0" w:color="auto"/>
              <w:right w:val="single" w:sz="4" w:space="0" w:color="auto"/>
            </w:tcBorders>
            <w:shd w:val="clear" w:color="auto" w:fill="C6EFCE"/>
            <w:noWrap/>
          </w:tcPr>
          <w:p w14:paraId="5017CAC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single" w:sz="4" w:space="0" w:color="auto"/>
              <w:left w:val="nil"/>
              <w:bottom w:val="single" w:sz="4" w:space="0" w:color="auto"/>
              <w:right w:val="single" w:sz="4" w:space="0" w:color="auto"/>
            </w:tcBorders>
            <w:shd w:val="clear" w:color="auto" w:fill="C6EFCE"/>
            <w:noWrap/>
          </w:tcPr>
          <w:p w14:paraId="3BCBD04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single" w:sz="4" w:space="0" w:color="auto"/>
              <w:left w:val="nil"/>
              <w:bottom w:val="single" w:sz="4" w:space="0" w:color="auto"/>
              <w:right w:val="single" w:sz="4" w:space="0" w:color="auto"/>
            </w:tcBorders>
            <w:shd w:val="clear" w:color="auto" w:fill="C6EFCE"/>
            <w:noWrap/>
          </w:tcPr>
          <w:p w14:paraId="1501D0F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single" w:sz="4" w:space="0" w:color="auto"/>
              <w:left w:val="nil"/>
              <w:bottom w:val="single" w:sz="4" w:space="0" w:color="auto"/>
              <w:right w:val="single" w:sz="4" w:space="0" w:color="auto"/>
            </w:tcBorders>
            <w:shd w:val="clear" w:color="auto" w:fill="C6EFCE"/>
            <w:noWrap/>
          </w:tcPr>
          <w:p w14:paraId="01B97A4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7" w:type="dxa"/>
            <w:tcBorders>
              <w:top w:val="single" w:sz="4" w:space="0" w:color="auto"/>
              <w:left w:val="nil"/>
              <w:bottom w:val="single" w:sz="4" w:space="0" w:color="auto"/>
              <w:right w:val="single" w:sz="4" w:space="0" w:color="auto"/>
            </w:tcBorders>
            <w:shd w:val="clear" w:color="auto" w:fill="C6EFCE"/>
            <w:noWrap/>
          </w:tcPr>
          <w:p w14:paraId="4394CFA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65" w:type="dxa"/>
            <w:tcBorders>
              <w:top w:val="single" w:sz="4" w:space="0" w:color="auto"/>
              <w:left w:val="nil"/>
              <w:bottom w:val="single" w:sz="4" w:space="0" w:color="auto"/>
              <w:right w:val="single" w:sz="4" w:space="0" w:color="auto"/>
            </w:tcBorders>
            <w:shd w:val="clear" w:color="auto" w:fill="C6EFCE"/>
            <w:noWrap/>
          </w:tcPr>
          <w:p w14:paraId="3EEE4B87" w14:textId="7853E19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36 projektov opatrenia, ktoré získali veľmi vysoké hodnotenie</w:t>
            </w:r>
            <w:r w:rsidR="00AB26B3" w:rsidRPr="00AB26B3">
              <w:rPr>
                <w:noProof/>
                <w:spacing w:val="-6"/>
                <w:lang w:val="sk-SK"/>
              </w:rPr>
              <w:t xml:space="preserve"> a </w:t>
            </w:r>
            <w:r w:rsidRPr="00AB26B3">
              <w:rPr>
                <w:noProof/>
                <w:spacing w:val="-6"/>
                <w:lang w:val="sk-SK"/>
              </w:rPr>
              <w:t>považujú sa za vynikajúce návrhy</w:t>
            </w:r>
            <w:r w:rsidR="00AB26B3" w:rsidRPr="00AB26B3">
              <w:rPr>
                <w:noProof/>
                <w:spacing w:val="-6"/>
                <w:lang w:val="sk-SK"/>
              </w:rPr>
              <w:t xml:space="preserve"> v </w:t>
            </w:r>
            <w:r w:rsidRPr="00AB26B3">
              <w:rPr>
                <w:noProof/>
                <w:spacing w:val="-6"/>
                <w:lang w:val="sk-SK"/>
              </w:rPr>
              <w:t>odvetviach národnej stratégie výskumu</w:t>
            </w:r>
            <w:r w:rsidR="00AB26B3" w:rsidRPr="00AB26B3">
              <w:rPr>
                <w:noProof/>
                <w:spacing w:val="-6"/>
                <w:lang w:val="sk-SK"/>
              </w:rPr>
              <w:t xml:space="preserve"> a </w:t>
            </w:r>
            <w:r w:rsidRPr="00AB26B3">
              <w:rPr>
                <w:noProof/>
                <w:spacing w:val="-6"/>
                <w:lang w:val="sk-SK"/>
              </w:rPr>
              <w:t>inovácií pre inteligentnú špecializáciu na roky 2014 – 2020 (RIS3), ale neboli financované</w:t>
            </w:r>
            <w:r w:rsidR="00AB26B3" w:rsidRPr="00AB26B3">
              <w:rPr>
                <w:noProof/>
                <w:spacing w:val="-6"/>
                <w:lang w:val="sk-SK"/>
              </w:rPr>
              <w:t xml:space="preserve"> z </w:t>
            </w:r>
            <w:r w:rsidRPr="00AB26B3">
              <w:rPr>
                <w:noProof/>
                <w:spacing w:val="-6"/>
                <w:lang w:val="sk-SK"/>
              </w:rPr>
              <w:t>EŠIF na roky 2014 – 2020</w:t>
            </w:r>
            <w:r w:rsidR="00AB26B3" w:rsidRPr="00AB26B3">
              <w:rPr>
                <w:noProof/>
                <w:spacing w:val="-6"/>
                <w:lang w:val="sk-SK"/>
              </w:rPr>
              <w:t xml:space="preserve"> z </w:t>
            </w:r>
            <w:r w:rsidRPr="00AB26B3">
              <w:rPr>
                <w:noProof/>
                <w:spacing w:val="-6"/>
                <w:lang w:val="sk-SK"/>
              </w:rPr>
              <w:t>dôvodu vyčerpania dostupných zdrojov. Projekty sa týkajú určitých sektorov, napríklad: I) životné prostredie</w:t>
            </w:r>
            <w:r w:rsidR="00AB26B3" w:rsidRPr="00AB26B3">
              <w:rPr>
                <w:noProof/>
                <w:spacing w:val="-6"/>
                <w:lang w:val="sk-SK"/>
              </w:rPr>
              <w:t xml:space="preserve"> a </w:t>
            </w:r>
            <w:r w:rsidRPr="00AB26B3">
              <w:rPr>
                <w:noProof/>
                <w:spacing w:val="-6"/>
                <w:lang w:val="sk-SK"/>
              </w:rPr>
              <w:t>trvalo udržateľný rozvoj; II) energia; III) informačné</w:t>
            </w:r>
            <w:r w:rsidR="00AB26B3" w:rsidRPr="00AB26B3">
              <w:rPr>
                <w:noProof/>
                <w:spacing w:val="-6"/>
                <w:lang w:val="sk-SK"/>
              </w:rPr>
              <w:t xml:space="preserve"> a </w:t>
            </w:r>
            <w:r w:rsidRPr="00AB26B3">
              <w:rPr>
                <w:noProof/>
                <w:spacing w:val="-6"/>
                <w:lang w:val="sk-SK"/>
              </w:rPr>
              <w:t>komunikačné technológie; IV) zdravie</w:t>
            </w:r>
            <w:r w:rsidR="00AB26B3" w:rsidRPr="00AB26B3">
              <w:rPr>
                <w:noProof/>
                <w:spacing w:val="-6"/>
                <w:lang w:val="sk-SK"/>
              </w:rPr>
              <w:t xml:space="preserve"> a </w:t>
            </w:r>
            <w:r w:rsidRPr="00AB26B3">
              <w:rPr>
                <w:noProof/>
                <w:spacing w:val="-6"/>
                <w:lang w:val="sk-SK"/>
              </w:rPr>
              <w:t>farmaceutiká; v) preprava</w:t>
            </w:r>
            <w:r w:rsidR="00AB26B3" w:rsidRPr="00AB26B3">
              <w:rPr>
                <w:noProof/>
                <w:spacing w:val="-6"/>
                <w:lang w:val="sk-SK"/>
              </w:rPr>
              <w:t xml:space="preserve"> a </w:t>
            </w:r>
            <w:r w:rsidRPr="00AB26B3">
              <w:rPr>
                <w:noProof/>
                <w:spacing w:val="-6"/>
                <w:lang w:val="sk-SK"/>
              </w:rPr>
              <w:t>dodávateľský reťazec; VI) agropotravinársky</w:t>
            </w:r>
            <w:r w:rsidR="00AB26B3" w:rsidRPr="00AB26B3">
              <w:rPr>
                <w:noProof/>
                <w:spacing w:val="-6"/>
                <w:lang w:val="sk-SK"/>
              </w:rPr>
              <w:t xml:space="preserve"> a </w:t>
            </w:r>
            <w:r w:rsidRPr="00AB26B3">
              <w:rPr>
                <w:noProof/>
                <w:spacing w:val="-6"/>
                <w:lang w:val="sk-SK"/>
              </w:rPr>
              <w:t>potravinársky priemysel; VII) materiály</w:t>
            </w:r>
            <w:r w:rsidR="00AB26B3" w:rsidRPr="00AB26B3">
              <w:rPr>
                <w:noProof/>
                <w:spacing w:val="-6"/>
                <w:lang w:val="sk-SK"/>
              </w:rPr>
              <w:t xml:space="preserve"> a </w:t>
            </w:r>
            <w:r w:rsidRPr="00AB26B3">
              <w:rPr>
                <w:noProof/>
                <w:spacing w:val="-6"/>
                <w:lang w:val="sk-SK"/>
              </w:rPr>
              <w:t>stavebníctvo;</w:t>
            </w:r>
            <w:r w:rsidR="00AB26B3" w:rsidRPr="00AB26B3">
              <w:rPr>
                <w:noProof/>
                <w:spacing w:val="-6"/>
                <w:lang w:val="sk-SK"/>
              </w:rPr>
              <w:t xml:space="preserve"> a </w:t>
            </w:r>
            <w:r w:rsidRPr="00AB26B3">
              <w:rPr>
                <w:noProof/>
                <w:spacing w:val="-6"/>
                <w:lang w:val="sk-SK"/>
              </w:rPr>
              <w:t>viii) cestovný ruch, kultúra</w:t>
            </w:r>
            <w:r w:rsidR="00AB26B3" w:rsidRPr="00AB26B3">
              <w:rPr>
                <w:noProof/>
                <w:spacing w:val="-6"/>
                <w:lang w:val="sk-SK"/>
              </w:rPr>
              <w:t xml:space="preserve"> a </w:t>
            </w:r>
            <w:r w:rsidRPr="00AB26B3">
              <w:rPr>
                <w:noProof/>
                <w:spacing w:val="-6"/>
                <w:lang w:val="sk-SK"/>
              </w:rPr>
              <w:t>kreatívny priemysel.</w:t>
            </w:r>
          </w:p>
        </w:tc>
      </w:tr>
      <w:tr w:rsidR="00302FC1" w:rsidRPr="00AB26B3" w14:paraId="23D2FAFD" w14:textId="77777777">
        <w:trPr>
          <w:trHeight w:val="309"/>
          <w:jc w:val="center"/>
        </w:trPr>
        <w:tc>
          <w:tcPr>
            <w:tcW w:w="594" w:type="dxa"/>
            <w:tcBorders>
              <w:top w:val="single" w:sz="4" w:space="0" w:color="auto"/>
              <w:left w:val="single" w:sz="4" w:space="0" w:color="auto"/>
              <w:bottom w:val="single" w:sz="4" w:space="0" w:color="auto"/>
              <w:right w:val="single" w:sz="4" w:space="0" w:color="auto"/>
            </w:tcBorders>
            <w:shd w:val="clear" w:color="auto" w:fill="C6EFCE"/>
            <w:noWrap/>
          </w:tcPr>
          <w:p w14:paraId="2844521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346</w:t>
            </w:r>
          </w:p>
        </w:tc>
        <w:tc>
          <w:tcPr>
            <w:tcW w:w="2571" w:type="dxa"/>
            <w:tcBorders>
              <w:top w:val="single" w:sz="4" w:space="0" w:color="auto"/>
              <w:left w:val="nil"/>
              <w:bottom w:val="single" w:sz="4" w:space="0" w:color="auto"/>
              <w:right w:val="single" w:sz="4" w:space="0" w:color="auto"/>
            </w:tcBorders>
            <w:shd w:val="clear" w:color="auto" w:fill="C6EFCE"/>
            <w:noWrap/>
          </w:tcPr>
          <w:p w14:paraId="600CFC63" w14:textId="0011459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16622_HORIZONT 2020 „známka excelentnosti“: financovanie najinovatívnejších spoločností</w:t>
            </w:r>
          </w:p>
        </w:tc>
        <w:tc>
          <w:tcPr>
            <w:tcW w:w="1094" w:type="dxa"/>
            <w:tcBorders>
              <w:top w:val="single" w:sz="4" w:space="0" w:color="auto"/>
              <w:left w:val="nil"/>
              <w:bottom w:val="single" w:sz="4" w:space="0" w:color="auto"/>
              <w:right w:val="single" w:sz="4" w:space="0" w:color="auto"/>
            </w:tcBorders>
            <w:shd w:val="clear" w:color="auto" w:fill="C6EFCE"/>
            <w:noWrap/>
          </w:tcPr>
          <w:p w14:paraId="6D3B543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794" w:type="dxa"/>
            <w:tcBorders>
              <w:top w:val="single" w:sz="4" w:space="0" w:color="auto"/>
              <w:left w:val="nil"/>
              <w:bottom w:val="single" w:sz="4" w:space="0" w:color="auto"/>
              <w:right w:val="single" w:sz="4" w:space="0" w:color="auto"/>
            </w:tcBorders>
            <w:shd w:val="clear" w:color="auto" w:fill="C6EFCE"/>
            <w:noWrap/>
          </w:tcPr>
          <w:p w14:paraId="181B355A" w14:textId="62B258E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projektov realizovaných malými</w:t>
            </w:r>
            <w:r w:rsidR="00AB26B3" w:rsidRPr="00AB26B3">
              <w:rPr>
                <w:noProof/>
                <w:spacing w:val="-6"/>
                <w:lang w:val="sk-SK"/>
              </w:rPr>
              <w:t xml:space="preserve"> a </w:t>
            </w:r>
            <w:r w:rsidRPr="00AB26B3">
              <w:rPr>
                <w:noProof/>
                <w:spacing w:val="-6"/>
                <w:lang w:val="sk-SK"/>
              </w:rPr>
              <w:t>strednými podnikmi</w:t>
            </w:r>
          </w:p>
        </w:tc>
        <w:tc>
          <w:tcPr>
            <w:tcW w:w="1774" w:type="dxa"/>
            <w:tcBorders>
              <w:top w:val="single" w:sz="4" w:space="0" w:color="auto"/>
              <w:left w:val="nil"/>
              <w:bottom w:val="single" w:sz="4" w:space="0" w:color="auto"/>
              <w:right w:val="single" w:sz="4" w:space="0" w:color="auto"/>
            </w:tcBorders>
            <w:shd w:val="clear" w:color="auto" w:fill="C6EFCE"/>
            <w:noWrap/>
          </w:tcPr>
          <w:p w14:paraId="66DA6FF8" w14:textId="616BAB6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projektov realizovaných malými</w:t>
            </w:r>
            <w:r w:rsidR="00AB26B3" w:rsidRPr="00AB26B3">
              <w:rPr>
                <w:noProof/>
                <w:spacing w:val="-6"/>
                <w:lang w:val="sk-SK"/>
              </w:rPr>
              <w:t xml:space="preserve"> a </w:t>
            </w:r>
            <w:r w:rsidRPr="00AB26B3">
              <w:rPr>
                <w:noProof/>
                <w:spacing w:val="-6"/>
                <w:lang w:val="sk-SK"/>
              </w:rPr>
              <w:t>strednými podnikmi</w:t>
            </w:r>
          </w:p>
        </w:tc>
        <w:tc>
          <w:tcPr>
            <w:tcW w:w="960" w:type="dxa"/>
            <w:tcBorders>
              <w:top w:val="single" w:sz="4" w:space="0" w:color="auto"/>
              <w:left w:val="nil"/>
              <w:bottom w:val="single" w:sz="4" w:space="0" w:color="auto"/>
              <w:right w:val="single" w:sz="4" w:space="0" w:color="auto"/>
            </w:tcBorders>
            <w:shd w:val="clear" w:color="auto" w:fill="C6EFCE"/>
            <w:noWrap/>
          </w:tcPr>
          <w:p w14:paraId="650678B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single" w:sz="4" w:space="0" w:color="auto"/>
              <w:left w:val="nil"/>
              <w:bottom w:val="single" w:sz="4" w:space="0" w:color="auto"/>
              <w:right w:val="single" w:sz="4" w:space="0" w:color="auto"/>
            </w:tcBorders>
            <w:shd w:val="clear" w:color="auto" w:fill="C6EFCE"/>
            <w:noWrap/>
          </w:tcPr>
          <w:p w14:paraId="4452462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07" w:type="dxa"/>
            <w:tcBorders>
              <w:top w:val="single" w:sz="4" w:space="0" w:color="auto"/>
              <w:left w:val="nil"/>
              <w:bottom w:val="single" w:sz="4" w:space="0" w:color="auto"/>
              <w:right w:val="single" w:sz="4" w:space="0" w:color="auto"/>
            </w:tcBorders>
            <w:shd w:val="clear" w:color="auto" w:fill="C6EFCE"/>
            <w:noWrap/>
          </w:tcPr>
          <w:p w14:paraId="235ACE3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single" w:sz="4" w:space="0" w:color="auto"/>
              <w:left w:val="nil"/>
              <w:bottom w:val="single" w:sz="4" w:space="0" w:color="auto"/>
              <w:right w:val="single" w:sz="4" w:space="0" w:color="auto"/>
            </w:tcBorders>
            <w:shd w:val="clear" w:color="auto" w:fill="C6EFCE"/>
            <w:noWrap/>
          </w:tcPr>
          <w:p w14:paraId="6DA5F1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7" w:type="dxa"/>
            <w:tcBorders>
              <w:top w:val="single" w:sz="4" w:space="0" w:color="auto"/>
              <w:left w:val="nil"/>
              <w:bottom w:val="single" w:sz="4" w:space="0" w:color="auto"/>
              <w:right w:val="single" w:sz="4" w:space="0" w:color="auto"/>
            </w:tcBorders>
            <w:shd w:val="clear" w:color="auto" w:fill="C6EFCE"/>
            <w:noWrap/>
          </w:tcPr>
          <w:p w14:paraId="1236DC3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65" w:type="dxa"/>
            <w:tcBorders>
              <w:top w:val="single" w:sz="4" w:space="0" w:color="auto"/>
              <w:left w:val="nil"/>
              <w:bottom w:val="single" w:sz="4" w:space="0" w:color="auto"/>
              <w:right w:val="single" w:sz="4" w:space="0" w:color="auto"/>
            </w:tcBorders>
            <w:shd w:val="clear" w:color="auto" w:fill="C6EFCE"/>
            <w:noWrap/>
          </w:tcPr>
          <w:p w14:paraId="5DABD338" w14:textId="1FC5F57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12 projektov realizovaných malými</w:t>
            </w:r>
            <w:r w:rsidR="00AB26B3" w:rsidRPr="00AB26B3">
              <w:rPr>
                <w:noProof/>
                <w:spacing w:val="-6"/>
                <w:lang w:val="sk-SK"/>
              </w:rPr>
              <w:t xml:space="preserve"> a </w:t>
            </w:r>
            <w:r w:rsidRPr="00AB26B3">
              <w:rPr>
                <w:noProof/>
                <w:spacing w:val="-6"/>
                <w:lang w:val="sk-SK"/>
              </w:rPr>
              <w:t>strednými podnikmi, ktorým bola udelená značka kvality „známka excelentnosti“ programu HORIZONT 2020, ktoré však neboli financované</w:t>
            </w:r>
            <w:r w:rsidR="00AB26B3" w:rsidRPr="00AB26B3">
              <w:rPr>
                <w:noProof/>
                <w:spacing w:val="-6"/>
                <w:lang w:val="sk-SK"/>
              </w:rPr>
              <w:t xml:space="preserve"> z </w:t>
            </w:r>
            <w:r w:rsidRPr="00AB26B3">
              <w:rPr>
                <w:noProof/>
                <w:spacing w:val="-6"/>
                <w:lang w:val="sk-SK"/>
              </w:rPr>
              <w:t>dôvodu rozpočtových obmedzení. Projekty sa týkajú určitých sektorov, napríklad: I) životné prostredie</w:t>
            </w:r>
            <w:r w:rsidR="00AB26B3" w:rsidRPr="00AB26B3">
              <w:rPr>
                <w:noProof/>
                <w:spacing w:val="-6"/>
                <w:lang w:val="sk-SK"/>
              </w:rPr>
              <w:t xml:space="preserve"> a </w:t>
            </w:r>
            <w:r w:rsidRPr="00AB26B3">
              <w:rPr>
                <w:noProof/>
                <w:spacing w:val="-6"/>
                <w:lang w:val="sk-SK"/>
              </w:rPr>
              <w:t>trvalo udržateľný rozvoj; II) energia; III) informačné</w:t>
            </w:r>
            <w:r w:rsidR="00AB26B3" w:rsidRPr="00AB26B3">
              <w:rPr>
                <w:noProof/>
                <w:spacing w:val="-6"/>
                <w:lang w:val="sk-SK"/>
              </w:rPr>
              <w:t xml:space="preserve"> a </w:t>
            </w:r>
            <w:r w:rsidRPr="00AB26B3">
              <w:rPr>
                <w:noProof/>
                <w:spacing w:val="-6"/>
                <w:lang w:val="sk-SK"/>
              </w:rPr>
              <w:t>komunikačné technológie; IV) zdravie</w:t>
            </w:r>
            <w:r w:rsidR="00AB26B3" w:rsidRPr="00AB26B3">
              <w:rPr>
                <w:noProof/>
                <w:spacing w:val="-6"/>
                <w:lang w:val="sk-SK"/>
              </w:rPr>
              <w:t xml:space="preserve"> a </w:t>
            </w:r>
            <w:r w:rsidRPr="00AB26B3">
              <w:rPr>
                <w:noProof/>
                <w:spacing w:val="-6"/>
                <w:lang w:val="sk-SK"/>
              </w:rPr>
              <w:t>farmaceutiká; v) preprava</w:t>
            </w:r>
            <w:r w:rsidR="00AB26B3" w:rsidRPr="00AB26B3">
              <w:rPr>
                <w:noProof/>
                <w:spacing w:val="-6"/>
                <w:lang w:val="sk-SK"/>
              </w:rPr>
              <w:t xml:space="preserve"> a </w:t>
            </w:r>
            <w:r w:rsidRPr="00AB26B3">
              <w:rPr>
                <w:noProof/>
                <w:spacing w:val="-6"/>
                <w:lang w:val="sk-SK"/>
              </w:rPr>
              <w:t>dodávateľský reťazec; VI) agropotravinársky</w:t>
            </w:r>
            <w:r w:rsidR="00AB26B3" w:rsidRPr="00AB26B3">
              <w:rPr>
                <w:noProof/>
                <w:spacing w:val="-6"/>
                <w:lang w:val="sk-SK"/>
              </w:rPr>
              <w:t xml:space="preserve"> a </w:t>
            </w:r>
            <w:r w:rsidRPr="00AB26B3">
              <w:rPr>
                <w:noProof/>
                <w:spacing w:val="-6"/>
                <w:lang w:val="sk-SK"/>
              </w:rPr>
              <w:t>potravinársky priemysel;</w:t>
            </w:r>
            <w:r w:rsidR="00AB26B3" w:rsidRPr="00AB26B3">
              <w:rPr>
                <w:noProof/>
                <w:spacing w:val="-6"/>
                <w:lang w:val="sk-SK"/>
              </w:rPr>
              <w:t xml:space="preserve"> a </w:t>
            </w:r>
            <w:r w:rsidRPr="00AB26B3">
              <w:rPr>
                <w:noProof/>
                <w:spacing w:val="-6"/>
                <w:lang w:val="sk-SK"/>
              </w:rPr>
              <w:t>vii) materiály</w:t>
            </w:r>
            <w:r w:rsidR="00AB26B3" w:rsidRPr="00AB26B3">
              <w:rPr>
                <w:noProof/>
                <w:spacing w:val="-6"/>
                <w:lang w:val="sk-SK"/>
              </w:rPr>
              <w:t xml:space="preserve"> a </w:t>
            </w:r>
            <w:r w:rsidRPr="00AB26B3">
              <w:rPr>
                <w:noProof/>
                <w:spacing w:val="-6"/>
                <w:lang w:val="sk-SK"/>
              </w:rPr>
              <w:t xml:space="preserve">stavebníctvo. </w:t>
            </w:r>
          </w:p>
        </w:tc>
      </w:tr>
    </w:tbl>
    <w:p w14:paraId="6FF3881C"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268"/>
          <w:headerReference w:type="default" r:id="rId269"/>
          <w:footerReference w:type="even" r:id="rId270"/>
          <w:footerReference w:type="default" r:id="rId271"/>
          <w:headerReference w:type="first" r:id="rId272"/>
          <w:footerReference w:type="first" r:id="rId273"/>
          <w:pgSz w:w="16839" w:h="11907" w:orient="landscape"/>
          <w:pgMar w:top="720" w:right="720" w:bottom="720" w:left="720" w:header="709" w:footer="709" w:gutter="0"/>
          <w:cols w:space="720"/>
          <w:docGrid w:linePitch="360"/>
        </w:sectPr>
      </w:pPr>
    </w:p>
    <w:p w14:paraId="574B88EC" w14:textId="77777777" w:rsidR="00302FC1" w:rsidRPr="00AB26B3" w:rsidRDefault="00D64F26">
      <w:pPr>
        <w:pStyle w:val="P68B1DB1-Normal46"/>
        <w:spacing w:before="120" w:after="120" w:line="240" w:lineRule="auto"/>
        <w:ind w:firstLine="6"/>
        <w:jc w:val="both"/>
        <w:outlineLvl w:val="3"/>
        <w:rPr>
          <w:rFonts w:cs="Times New Roman"/>
          <w:bCs/>
          <w:noProof/>
          <w:spacing w:val="-6"/>
          <w:lang w:val="sk-SK"/>
        </w:rPr>
      </w:pPr>
      <w:r w:rsidRPr="00AB26B3">
        <w:rPr>
          <w:noProof/>
          <w:spacing w:val="-6"/>
          <w:lang w:val="sk-SK"/>
        </w:rPr>
        <w:t>Q. ZLOŽKA 4.6: MODERNIZÁCIA A ZVÝŠENIE ODOLNOSTI KĽÚČOVÝCH HOSPODÁRSKYCH ODVETVÍ</w:t>
      </w:r>
    </w:p>
    <w:p w14:paraId="07D0A978" w14:textId="26E38E80"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Tento komponent gréckeho plánu obnovy</w:t>
      </w:r>
      <w:r w:rsidR="00AB26B3" w:rsidRPr="00AB26B3">
        <w:rPr>
          <w:noProof/>
          <w:spacing w:val="-6"/>
          <w:lang w:val="sk-SK"/>
        </w:rPr>
        <w:t xml:space="preserve"> a </w:t>
      </w:r>
      <w:r w:rsidRPr="00AB26B3">
        <w:rPr>
          <w:noProof/>
          <w:spacing w:val="-6"/>
          <w:lang w:val="sk-SK"/>
        </w:rPr>
        <w:t>odolnosti zahŕňa cielené reformy</w:t>
      </w:r>
      <w:r w:rsidR="00AB26B3" w:rsidRPr="00AB26B3">
        <w:rPr>
          <w:noProof/>
          <w:spacing w:val="-6"/>
          <w:lang w:val="sk-SK"/>
        </w:rPr>
        <w:t xml:space="preserve"> a </w:t>
      </w:r>
      <w:r w:rsidRPr="00AB26B3">
        <w:rPr>
          <w:noProof/>
          <w:spacing w:val="-6"/>
          <w:lang w:val="sk-SK"/>
        </w:rPr>
        <w:t>investície na zlepšenie konkurencieschopnosti kľúčových odvetví gréckeho hospodárstva, konkrétne cestovného ruchu</w:t>
      </w:r>
      <w:r w:rsidR="00AB26B3" w:rsidRPr="00AB26B3">
        <w:rPr>
          <w:noProof/>
          <w:spacing w:val="-6"/>
          <w:lang w:val="sk-SK"/>
        </w:rPr>
        <w:t xml:space="preserve"> a </w:t>
      </w:r>
      <w:r w:rsidRPr="00AB26B3">
        <w:rPr>
          <w:noProof/>
          <w:spacing w:val="-6"/>
          <w:lang w:val="sk-SK"/>
        </w:rPr>
        <w:t>kultúry, poľnohospodárstva, výroby</w:t>
      </w:r>
      <w:r w:rsidR="00AB26B3" w:rsidRPr="00AB26B3">
        <w:rPr>
          <w:noProof/>
          <w:spacing w:val="-6"/>
          <w:lang w:val="sk-SK"/>
        </w:rPr>
        <w:t xml:space="preserve"> a </w:t>
      </w:r>
      <w:r w:rsidRPr="00AB26B3">
        <w:rPr>
          <w:noProof/>
          <w:spacing w:val="-6"/>
          <w:lang w:val="sk-SK"/>
        </w:rPr>
        <w:t>akvakultúry. Komponent zahŕňa aj investície do dopravnej infraštruktúry zamerané na zlepšenie prepojenosti</w:t>
      </w:r>
      <w:r w:rsidR="00AB26B3" w:rsidRPr="00AB26B3">
        <w:rPr>
          <w:noProof/>
          <w:spacing w:val="-6"/>
          <w:lang w:val="sk-SK"/>
        </w:rPr>
        <w:t xml:space="preserve"> a </w:t>
      </w:r>
      <w:r w:rsidRPr="00AB26B3">
        <w:rPr>
          <w:noProof/>
          <w:spacing w:val="-6"/>
          <w:lang w:val="sk-SK"/>
        </w:rPr>
        <w:t>bezpečnosti cestnej premávky. Cestovný ruch sa podporuje investíciami do tematického cestovného ruchu</w:t>
      </w:r>
      <w:r w:rsidR="00AB26B3" w:rsidRPr="00AB26B3">
        <w:rPr>
          <w:noProof/>
          <w:spacing w:val="-6"/>
          <w:lang w:val="sk-SK"/>
        </w:rPr>
        <w:t xml:space="preserve"> s </w:t>
      </w:r>
      <w:r w:rsidRPr="00AB26B3">
        <w:rPr>
          <w:noProof/>
          <w:spacing w:val="-6"/>
          <w:lang w:val="sk-SK"/>
        </w:rPr>
        <w:t>cieľom preskúmať nové trhy cestovného ruchu. Komponent ďalej zahŕňa investície do kultúry</w:t>
      </w:r>
      <w:r w:rsidR="00AB26B3" w:rsidRPr="00AB26B3">
        <w:rPr>
          <w:noProof/>
          <w:spacing w:val="-6"/>
          <w:lang w:val="sk-SK"/>
        </w:rPr>
        <w:t xml:space="preserve"> s </w:t>
      </w:r>
      <w:r w:rsidRPr="00AB26B3">
        <w:rPr>
          <w:noProof/>
          <w:spacing w:val="-6"/>
          <w:lang w:val="sk-SK"/>
        </w:rPr>
        <w:t>cieľom zlepšiť konkurencieschopnosť</w:t>
      </w:r>
      <w:r w:rsidR="00AB26B3" w:rsidRPr="00AB26B3">
        <w:rPr>
          <w:noProof/>
          <w:spacing w:val="-6"/>
          <w:lang w:val="sk-SK"/>
        </w:rPr>
        <w:t xml:space="preserve"> a </w:t>
      </w:r>
      <w:r w:rsidRPr="00AB26B3">
        <w:rPr>
          <w:noProof/>
          <w:spacing w:val="-6"/>
          <w:lang w:val="sk-SK"/>
        </w:rPr>
        <w:t>odolnosť odvetvia</w:t>
      </w:r>
      <w:r w:rsidR="00AB26B3" w:rsidRPr="00AB26B3">
        <w:rPr>
          <w:noProof/>
          <w:spacing w:val="-6"/>
          <w:lang w:val="sk-SK"/>
        </w:rPr>
        <w:t xml:space="preserve"> a </w:t>
      </w:r>
      <w:r w:rsidRPr="00AB26B3">
        <w:rPr>
          <w:noProof/>
          <w:spacing w:val="-6"/>
          <w:lang w:val="sk-SK"/>
        </w:rPr>
        <w:t>lepšie využívať jeho prepojenia</w:t>
      </w:r>
      <w:r w:rsidR="00AB26B3" w:rsidRPr="00AB26B3">
        <w:rPr>
          <w:noProof/>
          <w:spacing w:val="-6"/>
          <w:lang w:val="sk-SK"/>
        </w:rPr>
        <w:t xml:space="preserve"> s </w:t>
      </w:r>
      <w:r w:rsidRPr="00AB26B3">
        <w:rPr>
          <w:noProof/>
          <w:spacing w:val="-6"/>
          <w:lang w:val="sk-SK"/>
        </w:rPr>
        <w:t>cestovným ruchom. Investície do poľnohospodárstva zvyšujú efektívnosť výrobných metód, podporujú organizácie výrobcov</w:t>
      </w:r>
      <w:r w:rsidR="00AB26B3" w:rsidRPr="00AB26B3">
        <w:rPr>
          <w:noProof/>
          <w:spacing w:val="-6"/>
          <w:lang w:val="sk-SK"/>
        </w:rPr>
        <w:t xml:space="preserve"> a </w:t>
      </w:r>
      <w:r w:rsidRPr="00AB26B3">
        <w:rPr>
          <w:noProof/>
          <w:spacing w:val="-6"/>
          <w:lang w:val="sk-SK"/>
        </w:rPr>
        <w:t>družstvá</w:t>
      </w:r>
      <w:r w:rsidR="00AB26B3" w:rsidRPr="00AB26B3">
        <w:rPr>
          <w:noProof/>
          <w:spacing w:val="-6"/>
          <w:lang w:val="sk-SK"/>
        </w:rPr>
        <w:t xml:space="preserve"> a </w:t>
      </w:r>
      <w:r w:rsidRPr="00AB26B3">
        <w:rPr>
          <w:noProof/>
          <w:spacing w:val="-6"/>
          <w:lang w:val="sk-SK"/>
        </w:rPr>
        <w:t>podnecujú preorientovanie na výrobky</w:t>
      </w:r>
      <w:r w:rsidR="00AB26B3" w:rsidRPr="00AB26B3">
        <w:rPr>
          <w:noProof/>
          <w:spacing w:val="-6"/>
          <w:lang w:val="sk-SK"/>
        </w:rPr>
        <w:t xml:space="preserve"> s </w:t>
      </w:r>
      <w:r w:rsidRPr="00AB26B3">
        <w:rPr>
          <w:noProof/>
          <w:spacing w:val="-6"/>
          <w:lang w:val="sk-SK"/>
        </w:rPr>
        <w:t>vyššou pridanou hodnotou. Komponent zahŕňa aj hĺbkovú reformu železničného sektora</w:t>
      </w:r>
      <w:r w:rsidR="00AB26B3" w:rsidRPr="00AB26B3">
        <w:rPr>
          <w:noProof/>
          <w:spacing w:val="-6"/>
          <w:lang w:val="sk-SK"/>
        </w:rPr>
        <w:t xml:space="preserve"> s </w:t>
      </w:r>
      <w:r w:rsidRPr="00AB26B3">
        <w:rPr>
          <w:noProof/>
          <w:spacing w:val="-6"/>
          <w:lang w:val="sk-SK"/>
        </w:rPr>
        <w:t>cieľom zvýšiť jeho efektívnosť</w:t>
      </w:r>
      <w:r w:rsidR="00AB26B3" w:rsidRPr="00AB26B3">
        <w:rPr>
          <w:noProof/>
          <w:spacing w:val="-6"/>
          <w:lang w:val="sk-SK"/>
        </w:rPr>
        <w:t xml:space="preserve"> a </w:t>
      </w:r>
      <w:r w:rsidRPr="00AB26B3">
        <w:rPr>
          <w:noProof/>
          <w:spacing w:val="-6"/>
          <w:lang w:val="sk-SK"/>
        </w:rPr>
        <w:t>konkurencieschopnosť. Tieto investície podporujú hladké fungovanie vnútorného trhu</w:t>
      </w:r>
      <w:r w:rsidR="00AB26B3" w:rsidRPr="00AB26B3">
        <w:rPr>
          <w:noProof/>
          <w:spacing w:val="-6"/>
          <w:lang w:val="sk-SK"/>
        </w:rPr>
        <w:t xml:space="preserve"> a </w:t>
      </w:r>
      <w:r w:rsidRPr="00AB26B3">
        <w:rPr>
          <w:noProof/>
          <w:spacing w:val="-6"/>
          <w:lang w:val="sk-SK"/>
        </w:rPr>
        <w:t>rozvoj udržateľného dopravného systému. Komponent podporuje riešenie odporúčaní pre jednotlivé krajiny týkajúcich sa verejných</w:t>
      </w:r>
      <w:r w:rsidR="00AB26B3" w:rsidRPr="00AB26B3">
        <w:rPr>
          <w:noProof/>
          <w:spacing w:val="-6"/>
          <w:lang w:val="sk-SK"/>
        </w:rPr>
        <w:t xml:space="preserve"> a </w:t>
      </w:r>
      <w:r w:rsidRPr="00AB26B3">
        <w:rPr>
          <w:noProof/>
          <w:spacing w:val="-6"/>
          <w:lang w:val="sk-SK"/>
        </w:rPr>
        <w:t xml:space="preserve">súkromných investícií (odporúčanie pre jednotlivé krajiny </w:t>
      </w:r>
      <w:r w:rsidR="00AB26B3" w:rsidRPr="00AB26B3">
        <w:rPr>
          <w:noProof/>
          <w:spacing w:val="-6"/>
          <w:lang w:val="sk-SK"/>
        </w:rPr>
        <w:t>č. </w:t>
      </w:r>
      <w:r w:rsidRPr="00AB26B3">
        <w:rPr>
          <w:noProof/>
          <w:spacing w:val="-6"/>
          <w:lang w:val="sk-SK"/>
        </w:rPr>
        <w:t>2 2019</w:t>
      </w:r>
      <w:r w:rsidR="00AB26B3" w:rsidRPr="00AB26B3">
        <w:rPr>
          <w:noProof/>
          <w:spacing w:val="-6"/>
          <w:lang w:val="sk-SK"/>
        </w:rPr>
        <w:t xml:space="preserve"> a </w:t>
      </w:r>
      <w:r w:rsidRPr="00AB26B3">
        <w:rPr>
          <w:noProof/>
          <w:spacing w:val="-6"/>
          <w:lang w:val="sk-SK"/>
        </w:rPr>
        <w:t xml:space="preserve">odporúčanie pre jednotlivé krajiny </w:t>
      </w:r>
      <w:r w:rsidR="00AB26B3" w:rsidRPr="00AB26B3">
        <w:rPr>
          <w:noProof/>
          <w:spacing w:val="-6"/>
          <w:lang w:val="sk-SK"/>
        </w:rPr>
        <w:t>č. </w:t>
      </w:r>
      <w:r w:rsidRPr="00AB26B3">
        <w:rPr>
          <w:noProof/>
          <w:spacing w:val="-6"/>
          <w:lang w:val="sk-SK"/>
        </w:rPr>
        <w:t>3 2020).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6B020B00" w14:textId="232595BF"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Q.1.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486CF7DC"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Modernizácia bezpečnosti cestnej premávky (opatrenie ID 16631)</w:t>
      </w:r>
    </w:p>
    <w:p w14:paraId="176D8C50" w14:textId="21830D0F"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znížiť počet dopravných nehôd</w:t>
      </w:r>
      <w:r w:rsidR="00AB26B3" w:rsidRPr="00AB26B3">
        <w:rPr>
          <w:noProof/>
          <w:spacing w:val="-6"/>
          <w:lang w:val="sk-SK"/>
        </w:rPr>
        <w:t xml:space="preserve"> v </w:t>
      </w:r>
      <w:r w:rsidRPr="00AB26B3">
        <w:rPr>
          <w:noProof/>
          <w:spacing w:val="-6"/>
          <w:lang w:val="sk-SK"/>
        </w:rPr>
        <w:t>krajine. Investícia zahŕňa zásahy na nebezpečných miestach</w:t>
      </w:r>
      <w:r w:rsidR="00AB26B3" w:rsidRPr="00AB26B3">
        <w:rPr>
          <w:noProof/>
          <w:spacing w:val="-6"/>
          <w:lang w:val="sk-SK"/>
        </w:rPr>
        <w:t xml:space="preserve"> a </w:t>
      </w:r>
      <w:r w:rsidRPr="00AB26B3">
        <w:rPr>
          <w:noProof/>
          <w:spacing w:val="-6"/>
          <w:lang w:val="sk-SK"/>
        </w:rPr>
        <w:t>inštaláciu inteligentne vedených osvetľovacích stĺpov</w:t>
      </w:r>
      <w:r w:rsidR="00AB26B3" w:rsidRPr="00AB26B3">
        <w:rPr>
          <w:noProof/>
          <w:spacing w:val="-6"/>
          <w:lang w:val="sk-SK"/>
        </w:rPr>
        <w:t xml:space="preserve"> v </w:t>
      </w:r>
      <w:r w:rsidRPr="00AB26B3">
        <w:rPr>
          <w:noProof/>
          <w:spacing w:val="-6"/>
          <w:lang w:val="sk-SK"/>
        </w:rPr>
        <w:t>celej krajine.</w:t>
      </w:r>
    </w:p>
    <w:p w14:paraId="60ACA749" w14:textId="34A816D6"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Diaľnica E-65</w:t>
      </w:r>
      <w:r w:rsidR="00AB26B3" w:rsidRPr="00AB26B3">
        <w:rPr>
          <w:noProof/>
          <w:spacing w:val="-6"/>
          <w:lang w:val="sk-SK"/>
        </w:rPr>
        <w:t xml:space="preserve"> v </w:t>
      </w:r>
      <w:r w:rsidRPr="00AB26B3">
        <w:rPr>
          <w:noProof/>
          <w:spacing w:val="-6"/>
          <w:lang w:val="sk-SK"/>
        </w:rPr>
        <w:t>strednom Grécku: Trikala – Sekcia Egnatia (opatrenie ID 16628)</w:t>
      </w:r>
    </w:p>
    <w:p w14:paraId="5A9A8DA2" w14:textId="6C1C685A" w:rsidR="00302FC1" w:rsidRPr="00AB26B3" w:rsidRDefault="00D64F26">
      <w:pPr>
        <w:pStyle w:val="P68B1DB1-Normal7"/>
        <w:spacing w:before="120" w:after="120" w:line="240" w:lineRule="auto"/>
        <w:jc w:val="both"/>
        <w:rPr>
          <w:rFonts w:cs="Times New Roman"/>
          <w:noProof/>
          <w:spacing w:val="-6"/>
          <w:highlight w:val="green"/>
          <w:lang w:val="sk-SK"/>
        </w:rPr>
      </w:pPr>
      <w:r w:rsidRPr="00AB26B3">
        <w:rPr>
          <w:noProof/>
          <w:spacing w:val="-6"/>
          <w:lang w:val="sk-SK"/>
        </w:rPr>
        <w:t>Cieľom tejto investície je zlepšiť prepojenosť medzi južným Gréckom, Tesáliou</w:t>
      </w:r>
      <w:r w:rsidR="00AB26B3" w:rsidRPr="00AB26B3">
        <w:rPr>
          <w:noProof/>
          <w:spacing w:val="-6"/>
          <w:lang w:val="sk-SK"/>
        </w:rPr>
        <w:t xml:space="preserve"> a </w:t>
      </w:r>
      <w:r w:rsidRPr="00AB26B3">
        <w:rPr>
          <w:noProof/>
          <w:spacing w:val="-6"/>
          <w:lang w:val="sk-SK"/>
        </w:rPr>
        <w:t>západným Macedónskom. Investícia zahŕňa stavebné práce na úseku diaľnice E-65 Trikala – Egnatia potrebné na fungovanie diaľnice.</w:t>
      </w:r>
    </w:p>
    <w:p w14:paraId="76387230" w14:textId="7F5FCCDE"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Severná diaľnica</w:t>
      </w:r>
      <w:r w:rsidR="00AB26B3" w:rsidRPr="00AB26B3">
        <w:rPr>
          <w:noProof/>
          <w:spacing w:val="-6"/>
          <w:lang w:val="sk-SK"/>
        </w:rPr>
        <w:t xml:space="preserve"> v </w:t>
      </w:r>
      <w:r w:rsidRPr="00AB26B3">
        <w:rPr>
          <w:noProof/>
          <w:spacing w:val="-6"/>
          <w:lang w:val="sk-SK"/>
        </w:rPr>
        <w:t>Kréte (Β.Ο.Α.Κ.) (opatrenie ID 16630)</w:t>
      </w:r>
    </w:p>
    <w:p w14:paraId="6E81A2AE" w14:textId="3CEA801E"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investície je zlepšiť prístupnosť medzi veľkými mestami na Kréte. Investícia pozostáva</w:t>
      </w:r>
      <w:r w:rsidR="00AB26B3" w:rsidRPr="00AB26B3">
        <w:rPr>
          <w:noProof/>
          <w:spacing w:val="-6"/>
          <w:lang w:val="sk-SK"/>
        </w:rPr>
        <w:t xml:space="preserve"> z </w:t>
      </w:r>
      <w:r w:rsidRPr="00AB26B3">
        <w:rPr>
          <w:noProof/>
          <w:spacing w:val="-6"/>
          <w:lang w:val="sk-SK"/>
        </w:rPr>
        <w:t>vopred vymedzených prác na segmentoch z:</w:t>
      </w:r>
    </w:p>
    <w:p w14:paraId="64A65802" w14:textId="77777777" w:rsidR="00AB26B3" w:rsidRPr="00AB26B3" w:rsidRDefault="00D64F26">
      <w:pPr>
        <w:pStyle w:val="P68B1DB1-ListParagraph45"/>
        <w:numPr>
          <w:ilvl w:val="0"/>
          <w:numId w:val="77"/>
        </w:numPr>
        <w:spacing w:before="120" w:after="120" w:line="240" w:lineRule="auto"/>
        <w:jc w:val="both"/>
        <w:rPr>
          <w:noProof/>
          <w:spacing w:val="-6"/>
          <w:lang w:val="sk-SK"/>
        </w:rPr>
      </w:pPr>
      <w:r w:rsidRPr="00AB26B3">
        <w:rPr>
          <w:noProof/>
          <w:spacing w:val="-6"/>
          <w:lang w:val="sk-SK"/>
        </w:rPr>
        <w:t>Chania – Heraklion,</w:t>
      </w:r>
    </w:p>
    <w:p w14:paraId="63426E44" w14:textId="77777777" w:rsidR="00AB26B3" w:rsidRPr="00AB26B3" w:rsidRDefault="00D64F26">
      <w:pPr>
        <w:pStyle w:val="P68B1DB1-ListParagraph45"/>
        <w:numPr>
          <w:ilvl w:val="0"/>
          <w:numId w:val="77"/>
        </w:numPr>
        <w:spacing w:before="120" w:after="120" w:line="240" w:lineRule="auto"/>
        <w:jc w:val="both"/>
        <w:rPr>
          <w:noProof/>
          <w:spacing w:val="-6"/>
          <w:lang w:val="sk-SK"/>
        </w:rPr>
      </w:pPr>
      <w:r w:rsidRPr="00AB26B3">
        <w:rPr>
          <w:noProof/>
          <w:spacing w:val="-6"/>
          <w:lang w:val="sk-SK"/>
        </w:rPr>
        <w:t>Hersonissos do Neapoli</w:t>
      </w:r>
      <w:r w:rsidR="00AB26B3" w:rsidRPr="00AB26B3">
        <w:rPr>
          <w:noProof/>
          <w:spacing w:val="-6"/>
          <w:lang w:val="sk-SK"/>
        </w:rPr>
        <w:t xml:space="preserve"> a</w:t>
      </w:r>
    </w:p>
    <w:p w14:paraId="04B0A6B3" w14:textId="5C8B3378" w:rsidR="00AB26B3" w:rsidRPr="00AB26B3" w:rsidRDefault="00D64F26">
      <w:pPr>
        <w:pStyle w:val="P68B1DB1-ListParagraph45"/>
        <w:numPr>
          <w:ilvl w:val="0"/>
          <w:numId w:val="77"/>
        </w:numPr>
        <w:spacing w:before="120" w:after="120" w:line="240" w:lineRule="auto"/>
        <w:jc w:val="both"/>
        <w:rPr>
          <w:noProof/>
          <w:spacing w:val="-6"/>
          <w:lang w:val="sk-SK"/>
        </w:rPr>
      </w:pPr>
      <w:r w:rsidRPr="00AB26B3">
        <w:rPr>
          <w:noProof/>
          <w:spacing w:val="-6"/>
          <w:lang w:val="sk-SK"/>
        </w:rPr>
        <w:t>Neapolis po Agios Nikolaos</w:t>
      </w:r>
      <w:r w:rsidR="00AB26B3" w:rsidRPr="00AB26B3">
        <w:rPr>
          <w:noProof/>
          <w:spacing w:val="-6"/>
          <w:lang w:val="sk-SK"/>
        </w:rPr>
        <w:t>.</w:t>
      </w:r>
    </w:p>
    <w:p w14:paraId="04E80A3E" w14:textId="44AAAC53"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Inteligentná infraštruktúra</w:t>
      </w:r>
      <w:r w:rsidR="00AB26B3" w:rsidRPr="00AB26B3">
        <w:rPr>
          <w:noProof/>
          <w:spacing w:val="-6"/>
          <w:lang w:val="sk-SK"/>
        </w:rPr>
        <w:t xml:space="preserve"> s </w:t>
      </w:r>
      <w:r w:rsidRPr="00AB26B3">
        <w:rPr>
          <w:noProof/>
          <w:spacing w:val="-6"/>
          <w:lang w:val="sk-SK"/>
        </w:rPr>
        <w:t>environmentálnym</w:t>
      </w:r>
      <w:r w:rsidR="00AB26B3" w:rsidRPr="00AB26B3">
        <w:rPr>
          <w:noProof/>
          <w:spacing w:val="-6"/>
          <w:lang w:val="sk-SK"/>
        </w:rPr>
        <w:t xml:space="preserve"> a </w:t>
      </w:r>
      <w:r w:rsidRPr="00AB26B3">
        <w:rPr>
          <w:noProof/>
          <w:spacing w:val="-6"/>
          <w:lang w:val="sk-SK"/>
        </w:rPr>
        <w:t>kultúrnym zameraním (opatrenie ID 16960)</w:t>
      </w:r>
    </w:p>
    <w:p w14:paraId="54DD9E80" w14:textId="4ACCD802"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posilniť ochranu životného prostredia, priestorové plánovanie</w:t>
      </w:r>
      <w:r w:rsidR="00AB26B3" w:rsidRPr="00AB26B3">
        <w:rPr>
          <w:noProof/>
          <w:spacing w:val="-6"/>
          <w:lang w:val="sk-SK"/>
        </w:rPr>
        <w:t xml:space="preserve"> a </w:t>
      </w:r>
      <w:r w:rsidRPr="00AB26B3">
        <w:rPr>
          <w:noProof/>
          <w:spacing w:val="-6"/>
          <w:lang w:val="sk-SK"/>
        </w:rPr>
        <w:t>podporu kultúry prostredníctvom digitalizácie. Investícia zahŕňa informačné systémy na riadenie vodných tokov, stavebné transakcie, prístup ku geopriestorovým údajom, nezákonné sledovanie budov, ako aj digitálne služby pre kultúrne výstavy</w:t>
      </w:r>
      <w:r w:rsidR="00AB26B3" w:rsidRPr="00AB26B3">
        <w:rPr>
          <w:noProof/>
          <w:spacing w:val="-6"/>
          <w:lang w:val="sk-SK"/>
        </w:rPr>
        <w:t xml:space="preserve"> a </w:t>
      </w:r>
      <w:r w:rsidRPr="00AB26B3">
        <w:rPr>
          <w:noProof/>
          <w:spacing w:val="-6"/>
          <w:lang w:val="sk-SK"/>
        </w:rPr>
        <w:t>monitorovanie znečistenia ovzdušia</w:t>
      </w:r>
      <w:r w:rsidR="00AB26B3" w:rsidRPr="00AB26B3">
        <w:rPr>
          <w:noProof/>
          <w:spacing w:val="-6"/>
          <w:lang w:val="sk-SK"/>
        </w:rPr>
        <w:t xml:space="preserve"> a </w:t>
      </w:r>
      <w:r w:rsidRPr="00AB26B3">
        <w:rPr>
          <w:noProof/>
          <w:spacing w:val="-6"/>
          <w:lang w:val="sk-SK"/>
        </w:rPr>
        <w:t>mora.</w:t>
      </w:r>
    </w:p>
    <w:p w14:paraId="55167442" w14:textId="041F6CB8" w:rsidR="00302FC1" w:rsidRPr="00AB26B3" w:rsidRDefault="00D64F26">
      <w:pPr>
        <w:pStyle w:val="P68B1DB1-Normal7"/>
        <w:spacing w:before="120" w:after="120" w:line="240" w:lineRule="auto"/>
        <w:jc w:val="both"/>
        <w:rPr>
          <w:noProof/>
          <w:spacing w:val="-6"/>
          <w:lang w:val="sk-SK"/>
        </w:rPr>
      </w:pPr>
      <w:r w:rsidRPr="00AB26B3">
        <w:rPr>
          <w:b/>
          <w:noProof/>
          <w:spacing w:val="-6"/>
          <w:lang w:val="sk-SK"/>
        </w:rPr>
        <w:t>Investície:</w:t>
      </w:r>
      <w:r w:rsidRPr="00AB26B3">
        <w:rPr>
          <w:noProof/>
          <w:spacing w:val="-6"/>
          <w:lang w:val="sk-SK"/>
        </w:rPr>
        <w:t xml:space="preserve"> Obnova prístupnosti po ničivých účinkoch búrok „DANIEL“</w:t>
      </w:r>
      <w:r w:rsidR="00AB26B3" w:rsidRPr="00AB26B3">
        <w:rPr>
          <w:noProof/>
          <w:spacing w:val="-6"/>
          <w:lang w:val="sk-SK"/>
        </w:rPr>
        <w:t xml:space="preserve"> a </w:t>
      </w:r>
      <w:r w:rsidRPr="00AB26B3">
        <w:rPr>
          <w:noProof/>
          <w:spacing w:val="-6"/>
          <w:lang w:val="sk-SK"/>
        </w:rPr>
        <w:t>„ELIAS“ (opatrenie ID 16999)</w:t>
      </w:r>
    </w:p>
    <w:p w14:paraId="5976E70F" w14:textId="4ADD52B4"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investície je obnova cestnej</w:t>
      </w:r>
      <w:r w:rsidR="00AB26B3" w:rsidRPr="00AB26B3">
        <w:rPr>
          <w:noProof/>
          <w:spacing w:val="-6"/>
          <w:lang w:val="sk-SK"/>
        </w:rPr>
        <w:t xml:space="preserve"> a </w:t>
      </w:r>
      <w:r w:rsidRPr="00AB26B3">
        <w:rPr>
          <w:noProof/>
          <w:spacing w:val="-6"/>
          <w:lang w:val="sk-SK"/>
        </w:rPr>
        <w:t>železničnej siete</w:t>
      </w:r>
      <w:r w:rsidR="00AB26B3" w:rsidRPr="00AB26B3">
        <w:rPr>
          <w:noProof/>
          <w:spacing w:val="-6"/>
          <w:lang w:val="sk-SK"/>
        </w:rPr>
        <w:t xml:space="preserve"> v </w:t>
      </w:r>
      <w:r w:rsidRPr="00AB26B3">
        <w:rPr>
          <w:noProof/>
          <w:spacing w:val="-6"/>
          <w:lang w:val="sk-SK"/>
        </w:rPr>
        <w:t>oblastiach postihnutých búrkami „DANIEL“</w:t>
      </w:r>
      <w:r w:rsidR="00AB26B3" w:rsidRPr="00AB26B3">
        <w:rPr>
          <w:noProof/>
          <w:spacing w:val="-6"/>
          <w:lang w:val="sk-SK"/>
        </w:rPr>
        <w:t xml:space="preserve"> a </w:t>
      </w:r>
      <w:r w:rsidRPr="00AB26B3">
        <w:rPr>
          <w:noProof/>
          <w:spacing w:val="-6"/>
          <w:lang w:val="sk-SK"/>
        </w:rPr>
        <w:t>„ELIAS“. Investícia pozostáva</w:t>
      </w:r>
      <w:r w:rsidR="00AB26B3" w:rsidRPr="00AB26B3">
        <w:rPr>
          <w:noProof/>
          <w:spacing w:val="-6"/>
          <w:lang w:val="sk-SK"/>
        </w:rPr>
        <w:t xml:space="preserve"> z </w:t>
      </w:r>
      <w:r w:rsidRPr="00AB26B3">
        <w:rPr>
          <w:noProof/>
          <w:spacing w:val="-6"/>
          <w:lang w:val="sk-SK"/>
        </w:rPr>
        <w:t>rekonštrukčných prác</w:t>
      </w:r>
      <w:r w:rsidR="00AB26B3" w:rsidRPr="00AB26B3">
        <w:rPr>
          <w:noProof/>
          <w:spacing w:val="-6"/>
          <w:lang w:val="sk-SK"/>
        </w:rPr>
        <w:t xml:space="preserve"> v </w:t>
      </w:r>
      <w:r w:rsidRPr="00AB26B3">
        <w:rPr>
          <w:noProof/>
          <w:spacing w:val="-6"/>
          <w:lang w:val="sk-SK"/>
        </w:rPr>
        <w:t>častiach cestnej</w:t>
      </w:r>
      <w:r w:rsidR="00AB26B3" w:rsidRPr="00AB26B3">
        <w:rPr>
          <w:noProof/>
          <w:spacing w:val="-6"/>
          <w:lang w:val="sk-SK"/>
        </w:rPr>
        <w:t xml:space="preserve"> a </w:t>
      </w:r>
      <w:r w:rsidRPr="00AB26B3">
        <w:rPr>
          <w:noProof/>
          <w:spacing w:val="-6"/>
          <w:lang w:val="sk-SK"/>
        </w:rPr>
        <w:t>železničnej siete.</w:t>
      </w:r>
    </w:p>
    <w:p w14:paraId="418B178C"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Modernizácia prímestskej železnice Západnej Atiky (opatrenie ID 16892)</w:t>
      </w:r>
    </w:p>
    <w:p w14:paraId="10131B52" w14:textId="01C820F2"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investície je prispieť</w:t>
      </w:r>
      <w:r w:rsidR="00AB26B3" w:rsidRPr="00AB26B3">
        <w:rPr>
          <w:noProof/>
          <w:spacing w:val="-6"/>
          <w:lang w:val="sk-SK"/>
        </w:rPr>
        <w:t xml:space="preserve"> k </w:t>
      </w:r>
      <w:r w:rsidRPr="00AB26B3">
        <w:rPr>
          <w:noProof/>
          <w:spacing w:val="-6"/>
          <w:lang w:val="sk-SK"/>
        </w:rPr>
        <w:t>hospodárskej, sociálnej</w:t>
      </w:r>
      <w:r w:rsidR="00AB26B3" w:rsidRPr="00AB26B3">
        <w:rPr>
          <w:noProof/>
          <w:spacing w:val="-6"/>
          <w:lang w:val="sk-SK"/>
        </w:rPr>
        <w:t xml:space="preserve"> a </w:t>
      </w:r>
      <w:r w:rsidRPr="00AB26B3">
        <w:rPr>
          <w:noProof/>
          <w:spacing w:val="-6"/>
          <w:lang w:val="sk-SK"/>
        </w:rPr>
        <w:t>územnej súdržnosti</w:t>
      </w:r>
      <w:r w:rsidR="00AB26B3" w:rsidRPr="00AB26B3">
        <w:rPr>
          <w:noProof/>
          <w:spacing w:val="-6"/>
          <w:lang w:val="sk-SK"/>
        </w:rPr>
        <w:t xml:space="preserve"> a </w:t>
      </w:r>
      <w:r w:rsidRPr="00AB26B3">
        <w:rPr>
          <w:noProof/>
          <w:spacing w:val="-6"/>
          <w:lang w:val="sk-SK"/>
        </w:rPr>
        <w:t>podporiť prepojenosť</w:t>
      </w:r>
      <w:r w:rsidR="00AB26B3" w:rsidRPr="00AB26B3">
        <w:rPr>
          <w:noProof/>
          <w:spacing w:val="-6"/>
          <w:lang w:val="sk-SK"/>
        </w:rPr>
        <w:t xml:space="preserve"> v </w:t>
      </w:r>
      <w:r w:rsidRPr="00AB26B3">
        <w:rPr>
          <w:noProof/>
          <w:spacing w:val="-6"/>
          <w:lang w:val="sk-SK"/>
        </w:rPr>
        <w:t>západnej Atike. Opatrenie pozostáva</w:t>
      </w:r>
      <w:r w:rsidR="00AB26B3" w:rsidRPr="00AB26B3">
        <w:rPr>
          <w:noProof/>
          <w:spacing w:val="-6"/>
          <w:lang w:val="sk-SK"/>
        </w:rPr>
        <w:t xml:space="preserve"> z </w:t>
      </w:r>
      <w:r w:rsidRPr="00AB26B3">
        <w:rPr>
          <w:noProof/>
          <w:spacing w:val="-6"/>
          <w:lang w:val="sk-SK"/>
        </w:rPr>
        <w:t>výstavby časti prímestskej železničnej vetvy</w:t>
      </w:r>
      <w:r w:rsidR="00AB26B3" w:rsidRPr="00AB26B3">
        <w:rPr>
          <w:noProof/>
          <w:spacing w:val="-6"/>
          <w:lang w:val="sk-SK"/>
        </w:rPr>
        <w:t xml:space="preserve"> v </w:t>
      </w:r>
      <w:r w:rsidRPr="00AB26B3">
        <w:rPr>
          <w:noProof/>
          <w:spacing w:val="-6"/>
          <w:lang w:val="sk-SK"/>
        </w:rPr>
        <w:t>západnej Atike.</w:t>
      </w:r>
    </w:p>
    <w:p w14:paraId="480BDAE0"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Vykonávanie bezpečnostných prác na letisku (opatrenie ID 16833)</w:t>
      </w:r>
    </w:p>
    <w:p w14:paraId="09D8A529" w14:textId="46C683B3"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modernizovať 13 regionálnych letísk. Opatrenie pozostáva</w:t>
      </w:r>
      <w:r w:rsidR="00AB26B3" w:rsidRPr="00AB26B3">
        <w:rPr>
          <w:noProof/>
          <w:spacing w:val="-6"/>
          <w:lang w:val="sk-SK"/>
        </w:rPr>
        <w:t xml:space="preserve"> z </w:t>
      </w:r>
      <w:r w:rsidRPr="00AB26B3">
        <w:rPr>
          <w:noProof/>
          <w:spacing w:val="-6"/>
          <w:lang w:val="sk-SK"/>
        </w:rPr>
        <w:t>opatrení na stiahnutie 169 dokumentov</w:t>
      </w:r>
      <w:r w:rsidR="00AB26B3" w:rsidRPr="00AB26B3">
        <w:rPr>
          <w:noProof/>
          <w:spacing w:val="-6"/>
          <w:lang w:val="sk-SK"/>
        </w:rPr>
        <w:t xml:space="preserve"> o </w:t>
      </w:r>
      <w:r w:rsidRPr="00AB26B3">
        <w:rPr>
          <w:noProof/>
          <w:spacing w:val="-6"/>
          <w:lang w:val="sk-SK"/>
        </w:rPr>
        <w:t>prijatí odchýlky</w:t>
      </w:r>
      <w:r w:rsidR="00AB26B3" w:rsidRPr="00AB26B3">
        <w:rPr>
          <w:noProof/>
          <w:spacing w:val="-6"/>
          <w:lang w:val="sk-SK"/>
        </w:rPr>
        <w:t xml:space="preserve"> a </w:t>
      </w:r>
      <w:r w:rsidRPr="00AB26B3">
        <w:rPr>
          <w:noProof/>
          <w:spacing w:val="-6"/>
          <w:lang w:val="sk-SK"/>
        </w:rPr>
        <w:t>akčných dokumentov (DAAD).</w:t>
      </w:r>
    </w:p>
    <w:p w14:paraId="5744CAF1"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Inteligentné mosty (opatrenie ID 16949)</w:t>
      </w:r>
    </w:p>
    <w:p w14:paraId="052A7079" w14:textId="59F22947"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investície je zlepšiť úroveň bezpečnosti mostov</w:t>
      </w:r>
      <w:r w:rsidR="00AB26B3" w:rsidRPr="00AB26B3">
        <w:rPr>
          <w:noProof/>
          <w:spacing w:val="-6"/>
          <w:lang w:val="sk-SK"/>
        </w:rPr>
        <w:t xml:space="preserve"> a </w:t>
      </w:r>
      <w:r w:rsidRPr="00AB26B3">
        <w:rPr>
          <w:noProof/>
          <w:spacing w:val="-6"/>
          <w:lang w:val="sk-SK"/>
        </w:rPr>
        <w:t>predchádzať nehodám pri prechode ťažkých vozidiel alebo rizikám súvisiacim so zmenou klímy. Investícia pozostáva</w:t>
      </w:r>
      <w:r w:rsidR="00AB26B3" w:rsidRPr="00AB26B3">
        <w:rPr>
          <w:noProof/>
          <w:spacing w:val="-6"/>
          <w:lang w:val="sk-SK"/>
        </w:rPr>
        <w:t xml:space="preserve"> z </w:t>
      </w:r>
      <w:r w:rsidRPr="00AB26B3">
        <w:rPr>
          <w:noProof/>
          <w:spacing w:val="-6"/>
          <w:lang w:val="sk-SK"/>
        </w:rPr>
        <w:t>troch fáz: I) fáza I investície zahŕňa vybavenie mostov špeciálnymi systémami</w:t>
      </w:r>
      <w:r w:rsidR="00AB26B3" w:rsidRPr="00AB26B3">
        <w:rPr>
          <w:noProof/>
          <w:spacing w:val="-6"/>
          <w:lang w:val="sk-SK"/>
        </w:rPr>
        <w:t xml:space="preserve"> a </w:t>
      </w:r>
      <w:r w:rsidRPr="00AB26B3">
        <w:rPr>
          <w:noProof/>
          <w:spacing w:val="-6"/>
          <w:lang w:val="sk-SK"/>
        </w:rPr>
        <w:t>snímačmi na meranie zaťaženia alebo optickými vláknami, ktoré merajú posun mostov</w:t>
      </w:r>
      <w:r w:rsidR="00AB26B3" w:rsidRPr="00AB26B3">
        <w:rPr>
          <w:noProof/>
          <w:spacing w:val="-6"/>
          <w:lang w:val="sk-SK"/>
        </w:rPr>
        <w:t xml:space="preserve"> v </w:t>
      </w:r>
      <w:r w:rsidRPr="00AB26B3">
        <w:rPr>
          <w:noProof/>
          <w:spacing w:val="-6"/>
          <w:lang w:val="sk-SK"/>
        </w:rPr>
        <w:t>reálnom čase; II) fáza II zahŕňa vybavenie mostov bezdrôtovými snímačmi poháňanými solárnymi panelmi; III) fáza III zahŕňa vybavenie ďalších 19 mostov so špeciálnymi systémami</w:t>
      </w:r>
      <w:r w:rsidR="00AB26B3" w:rsidRPr="00AB26B3">
        <w:rPr>
          <w:noProof/>
          <w:spacing w:val="-6"/>
          <w:lang w:val="sk-SK"/>
        </w:rPr>
        <w:t xml:space="preserve"> a </w:t>
      </w:r>
      <w:r w:rsidRPr="00AB26B3">
        <w:rPr>
          <w:noProof/>
          <w:spacing w:val="-6"/>
          <w:lang w:val="sk-SK"/>
        </w:rPr>
        <w:t>snímačmi na meranie zaťaženia alebo optickými vláknami, ktoré merajú posun mostov</w:t>
      </w:r>
      <w:r w:rsidR="00AB26B3" w:rsidRPr="00AB26B3">
        <w:rPr>
          <w:noProof/>
          <w:spacing w:val="-6"/>
          <w:lang w:val="sk-SK"/>
        </w:rPr>
        <w:t xml:space="preserve"> v </w:t>
      </w:r>
      <w:r w:rsidRPr="00AB26B3">
        <w:rPr>
          <w:noProof/>
          <w:spacing w:val="-6"/>
          <w:lang w:val="sk-SK"/>
        </w:rPr>
        <w:t>reálnom čase,</w:t>
      </w:r>
      <w:r w:rsidR="00AB26B3" w:rsidRPr="00AB26B3">
        <w:rPr>
          <w:noProof/>
          <w:spacing w:val="-6"/>
          <w:lang w:val="sk-SK"/>
        </w:rPr>
        <w:t xml:space="preserve"> a </w:t>
      </w:r>
      <w:r w:rsidRPr="00AB26B3">
        <w:rPr>
          <w:noProof/>
          <w:spacing w:val="-6"/>
          <w:lang w:val="sk-SK"/>
        </w:rPr>
        <w:t>vybavenie ďalších 117 mostov bezdrôtovými snímačmi poháňanými solárnymi panelmi.</w:t>
      </w:r>
    </w:p>
    <w:p w14:paraId="48297B2B"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gréckych železníc (opatrenie ID 16959)</w:t>
      </w:r>
    </w:p>
    <w:p w14:paraId="7A66F6B6" w14:textId="608F586A"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vybaviť grécke železnice digitálnou infraštruktúrou</w:t>
      </w:r>
      <w:r w:rsidR="00AB26B3" w:rsidRPr="00AB26B3">
        <w:rPr>
          <w:noProof/>
          <w:spacing w:val="-6"/>
          <w:lang w:val="sk-SK"/>
        </w:rPr>
        <w:t xml:space="preserve"> a </w:t>
      </w:r>
      <w:r w:rsidRPr="00AB26B3">
        <w:rPr>
          <w:noProof/>
          <w:spacing w:val="-6"/>
          <w:lang w:val="sk-SK"/>
        </w:rPr>
        <w:t>službami. Opatrenie pozostáva</w:t>
      </w:r>
      <w:r w:rsidR="00AB26B3" w:rsidRPr="00AB26B3">
        <w:rPr>
          <w:noProof/>
          <w:spacing w:val="-6"/>
          <w:lang w:val="sk-SK"/>
        </w:rPr>
        <w:t xml:space="preserve"> z </w:t>
      </w:r>
      <w:r w:rsidRPr="00AB26B3">
        <w:rPr>
          <w:noProof/>
          <w:spacing w:val="-6"/>
          <w:lang w:val="sk-SK"/>
        </w:rPr>
        <w:t>poskytovania digitálnych projektov, systémov, vybavenia</w:t>
      </w:r>
      <w:r w:rsidR="00AB26B3" w:rsidRPr="00AB26B3">
        <w:rPr>
          <w:noProof/>
          <w:spacing w:val="-6"/>
          <w:lang w:val="sk-SK"/>
        </w:rPr>
        <w:t xml:space="preserve"> a </w:t>
      </w:r>
      <w:r w:rsidRPr="00AB26B3">
        <w:rPr>
          <w:noProof/>
          <w:spacing w:val="-6"/>
          <w:lang w:val="sk-SK"/>
        </w:rPr>
        <w:t>služieb.</w:t>
      </w:r>
    </w:p>
    <w:p w14:paraId="5B139901" w14:textId="21ECDF7F"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Digitálny integrovaný systém riadenia programov na správu technických prác</w:t>
      </w:r>
      <w:r w:rsidR="00AB26B3" w:rsidRPr="00AB26B3">
        <w:rPr>
          <w:noProof/>
          <w:spacing w:val="-6"/>
          <w:lang w:val="sk-SK"/>
        </w:rPr>
        <w:t xml:space="preserve"> a </w:t>
      </w:r>
      <w:r w:rsidRPr="00AB26B3">
        <w:rPr>
          <w:noProof/>
          <w:spacing w:val="-6"/>
          <w:lang w:val="sk-SK"/>
        </w:rPr>
        <w:t>štrukturálnych aktív ministerstva infraštruktúry</w:t>
      </w:r>
      <w:r w:rsidR="00AB26B3" w:rsidRPr="00AB26B3">
        <w:rPr>
          <w:noProof/>
          <w:spacing w:val="-6"/>
          <w:lang w:val="sk-SK"/>
        </w:rPr>
        <w:t xml:space="preserve"> a </w:t>
      </w:r>
      <w:r w:rsidRPr="00AB26B3">
        <w:rPr>
          <w:noProof/>
          <w:spacing w:val="-6"/>
          <w:lang w:val="sk-SK"/>
        </w:rPr>
        <w:t>dopravy (opatrenie ID 16937)</w:t>
      </w:r>
    </w:p>
    <w:p w14:paraId="3B7F7986" w14:textId="029DA33C"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reformy je poskytnúť ministerstvu infraštruktúry</w:t>
      </w:r>
      <w:r w:rsidR="00AB26B3" w:rsidRPr="00AB26B3">
        <w:rPr>
          <w:noProof/>
          <w:spacing w:val="-6"/>
          <w:lang w:val="sk-SK"/>
        </w:rPr>
        <w:t xml:space="preserve"> a </w:t>
      </w:r>
      <w:r w:rsidRPr="00AB26B3">
        <w:rPr>
          <w:noProof/>
          <w:spacing w:val="-6"/>
          <w:lang w:val="sk-SK"/>
        </w:rPr>
        <w:t>dopravy nástroj na riadenie jeho portfólia technických prác</w:t>
      </w:r>
      <w:r w:rsidR="00AB26B3" w:rsidRPr="00AB26B3">
        <w:rPr>
          <w:noProof/>
          <w:spacing w:val="-6"/>
          <w:lang w:val="sk-SK"/>
        </w:rPr>
        <w:t xml:space="preserve"> a </w:t>
      </w:r>
      <w:r w:rsidRPr="00AB26B3">
        <w:rPr>
          <w:noProof/>
          <w:spacing w:val="-6"/>
          <w:lang w:val="sk-SK"/>
        </w:rPr>
        <w:t>aktív. Opatrenie spočíva</w:t>
      </w:r>
      <w:r w:rsidR="00AB26B3" w:rsidRPr="00AB26B3">
        <w:rPr>
          <w:noProof/>
          <w:spacing w:val="-6"/>
          <w:lang w:val="sk-SK"/>
        </w:rPr>
        <w:t xml:space="preserve"> v </w:t>
      </w:r>
      <w:r w:rsidRPr="00AB26B3">
        <w:rPr>
          <w:noProof/>
          <w:spacing w:val="-6"/>
          <w:lang w:val="sk-SK"/>
        </w:rPr>
        <w:t>tom, že sa ministerstvu poskytne informačný systém pre správu portfólia (PMIS).</w:t>
      </w:r>
    </w:p>
    <w:p w14:paraId="19E1A2FE" w14:textId="348EABCC"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Zjednodušenie postupov ministerstva infraštruktúry</w:t>
      </w:r>
      <w:r w:rsidR="00AB26B3" w:rsidRPr="00AB26B3">
        <w:rPr>
          <w:noProof/>
          <w:spacing w:val="-6"/>
          <w:lang w:val="sk-SK"/>
        </w:rPr>
        <w:t xml:space="preserve"> a </w:t>
      </w:r>
      <w:r w:rsidRPr="00AB26B3">
        <w:rPr>
          <w:noProof/>
          <w:spacing w:val="-6"/>
          <w:lang w:val="sk-SK"/>
        </w:rPr>
        <w:t>dopravy (opatrenie ID 16786)</w:t>
      </w:r>
    </w:p>
    <w:p w14:paraId="0036A5C5" w14:textId="7A0F6721"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reformy je digitalizovať</w:t>
      </w:r>
      <w:r w:rsidR="00AB26B3" w:rsidRPr="00AB26B3">
        <w:rPr>
          <w:noProof/>
          <w:spacing w:val="-6"/>
          <w:lang w:val="sk-SK"/>
        </w:rPr>
        <w:t xml:space="preserve"> a </w:t>
      </w:r>
      <w:r w:rsidRPr="00AB26B3">
        <w:rPr>
          <w:noProof/>
          <w:spacing w:val="-6"/>
          <w:lang w:val="sk-SK"/>
        </w:rPr>
        <w:t>zjednodušiť postupy na ministerstve infraštruktúry</w:t>
      </w:r>
      <w:r w:rsidR="00AB26B3" w:rsidRPr="00AB26B3">
        <w:rPr>
          <w:noProof/>
          <w:spacing w:val="-6"/>
          <w:lang w:val="sk-SK"/>
        </w:rPr>
        <w:t xml:space="preserve"> a </w:t>
      </w:r>
      <w:r w:rsidRPr="00AB26B3">
        <w:rPr>
          <w:noProof/>
          <w:spacing w:val="-6"/>
          <w:lang w:val="sk-SK"/>
        </w:rPr>
        <w:t>dopravy. Zahŕňa postupy a) vydávania, nahrádzania</w:t>
      </w:r>
      <w:r w:rsidR="00AB26B3" w:rsidRPr="00AB26B3">
        <w:rPr>
          <w:noProof/>
          <w:spacing w:val="-6"/>
          <w:lang w:val="sk-SK"/>
        </w:rPr>
        <w:t xml:space="preserve"> a </w:t>
      </w:r>
      <w:r w:rsidRPr="00AB26B3">
        <w:rPr>
          <w:noProof/>
          <w:spacing w:val="-6"/>
          <w:lang w:val="sk-SK"/>
        </w:rPr>
        <w:t>obnovovania vodičských preukazov, b) odovzdávania vozidiel, c) vydávania dopravných registračných preukazov</w:t>
      </w:r>
      <w:r w:rsidR="00AB26B3" w:rsidRPr="00AB26B3">
        <w:rPr>
          <w:noProof/>
          <w:spacing w:val="-6"/>
          <w:lang w:val="sk-SK"/>
        </w:rPr>
        <w:t xml:space="preserve"> a </w:t>
      </w:r>
      <w:r w:rsidRPr="00AB26B3">
        <w:rPr>
          <w:noProof/>
          <w:spacing w:val="-6"/>
          <w:lang w:val="sk-SK"/>
        </w:rPr>
        <w:t>tabuliek</w:t>
      </w:r>
      <w:r w:rsidR="00AB26B3" w:rsidRPr="00AB26B3">
        <w:rPr>
          <w:noProof/>
          <w:spacing w:val="-6"/>
          <w:lang w:val="sk-SK"/>
        </w:rPr>
        <w:t xml:space="preserve"> a </w:t>
      </w:r>
      <w:r w:rsidRPr="00AB26B3">
        <w:rPr>
          <w:noProof/>
          <w:spacing w:val="-6"/>
          <w:lang w:val="sk-SK"/>
        </w:rPr>
        <w:t>d) skúšok vodičských preukazov.</w:t>
      </w:r>
    </w:p>
    <w:p w14:paraId="4B823295" w14:textId="1288D8E3"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Reforma práce</w:t>
      </w:r>
      <w:r w:rsidR="00AB26B3" w:rsidRPr="00AB26B3">
        <w:rPr>
          <w:noProof/>
          <w:spacing w:val="-6"/>
          <w:lang w:val="sk-SK"/>
        </w:rPr>
        <w:t xml:space="preserve"> v </w:t>
      </w:r>
      <w:r w:rsidRPr="00AB26B3">
        <w:rPr>
          <w:noProof/>
          <w:spacing w:val="-6"/>
          <w:lang w:val="sk-SK"/>
        </w:rPr>
        <w:t>kultúrnom sektore (opatrenie ID 16715)</w:t>
      </w:r>
    </w:p>
    <w:p w14:paraId="5CDB6AED" w14:textId="6D49EF81" w:rsidR="00302FC1" w:rsidRPr="00AB26B3" w:rsidRDefault="00D64F26">
      <w:pPr>
        <w:pStyle w:val="P68B1DB1-Normal5"/>
        <w:spacing w:before="120" w:after="120" w:line="240" w:lineRule="auto"/>
        <w:jc w:val="both"/>
        <w:rPr>
          <w:b/>
          <w:noProof/>
          <w:spacing w:val="-6"/>
          <w:lang w:val="sk-SK"/>
        </w:rPr>
      </w:pPr>
      <w:r w:rsidRPr="00AB26B3">
        <w:rPr>
          <w:noProof/>
          <w:spacing w:val="-6"/>
          <w:lang w:val="sk-SK"/>
        </w:rPr>
        <w:t>Touto reformou sa zavedú právne predpisy</w:t>
      </w:r>
      <w:r w:rsidR="00AB26B3" w:rsidRPr="00AB26B3">
        <w:rPr>
          <w:noProof/>
          <w:spacing w:val="-6"/>
          <w:lang w:val="sk-SK"/>
        </w:rPr>
        <w:t xml:space="preserve"> v </w:t>
      </w:r>
      <w:r w:rsidRPr="00AB26B3">
        <w:rPr>
          <w:noProof/>
          <w:spacing w:val="-6"/>
          <w:lang w:val="sk-SK"/>
        </w:rPr>
        <w:t>oblasti práce</w:t>
      </w:r>
      <w:r w:rsidR="00AB26B3" w:rsidRPr="00AB26B3">
        <w:rPr>
          <w:noProof/>
          <w:spacing w:val="-6"/>
          <w:lang w:val="sk-SK"/>
        </w:rPr>
        <w:t xml:space="preserve"> a </w:t>
      </w:r>
      <w:r w:rsidRPr="00AB26B3">
        <w:rPr>
          <w:noProof/>
          <w:spacing w:val="-6"/>
          <w:lang w:val="sk-SK"/>
        </w:rPr>
        <w:t>sociálneho zabezpečenia pre kultúrny</w:t>
      </w:r>
      <w:r w:rsidR="00AB26B3" w:rsidRPr="00AB26B3">
        <w:rPr>
          <w:noProof/>
          <w:spacing w:val="-6"/>
          <w:lang w:val="sk-SK"/>
        </w:rPr>
        <w:t xml:space="preserve"> a </w:t>
      </w:r>
      <w:r w:rsidRPr="00AB26B3">
        <w:rPr>
          <w:noProof/>
          <w:spacing w:val="-6"/>
          <w:lang w:val="sk-SK"/>
        </w:rPr>
        <w:t>kreatívny sektor</w:t>
      </w:r>
      <w:r w:rsidR="00AB26B3" w:rsidRPr="00AB26B3">
        <w:rPr>
          <w:noProof/>
          <w:spacing w:val="-6"/>
          <w:lang w:val="sk-SK"/>
        </w:rPr>
        <w:t xml:space="preserve"> s </w:t>
      </w:r>
      <w:r w:rsidRPr="00AB26B3">
        <w:rPr>
          <w:noProof/>
          <w:spacing w:val="-6"/>
          <w:lang w:val="sk-SK"/>
        </w:rPr>
        <w:t>cieľom zvýšiť podiel deklarovanej práce</w:t>
      </w:r>
      <w:r w:rsidR="00AB26B3" w:rsidRPr="00AB26B3">
        <w:rPr>
          <w:noProof/>
          <w:spacing w:val="-6"/>
          <w:lang w:val="sk-SK"/>
        </w:rPr>
        <w:t xml:space="preserve"> v </w:t>
      </w:r>
      <w:r w:rsidRPr="00AB26B3">
        <w:rPr>
          <w:noProof/>
          <w:spacing w:val="-6"/>
          <w:lang w:val="sk-SK"/>
        </w:rPr>
        <w:t>tomto sektore</w:t>
      </w:r>
      <w:r w:rsidR="00AB26B3" w:rsidRPr="00AB26B3">
        <w:rPr>
          <w:noProof/>
          <w:spacing w:val="-6"/>
          <w:lang w:val="sk-SK"/>
        </w:rPr>
        <w:t xml:space="preserve"> a </w:t>
      </w:r>
      <w:r w:rsidRPr="00AB26B3">
        <w:rPr>
          <w:noProof/>
          <w:spacing w:val="-6"/>
          <w:lang w:val="sk-SK"/>
        </w:rPr>
        <w:t>podporiť odborníkov</w:t>
      </w:r>
      <w:r w:rsidR="00AB26B3" w:rsidRPr="00AB26B3">
        <w:rPr>
          <w:noProof/>
          <w:spacing w:val="-6"/>
          <w:lang w:val="sk-SK"/>
        </w:rPr>
        <w:t xml:space="preserve"> v </w:t>
      </w:r>
      <w:r w:rsidRPr="00AB26B3">
        <w:rPr>
          <w:noProof/>
          <w:spacing w:val="-6"/>
          <w:lang w:val="sk-SK"/>
        </w:rPr>
        <w:t>tomto odvetví</w:t>
      </w:r>
      <w:r w:rsidR="00AB26B3" w:rsidRPr="00AB26B3">
        <w:rPr>
          <w:noProof/>
          <w:spacing w:val="-6"/>
          <w:lang w:val="sk-SK"/>
        </w:rPr>
        <w:t xml:space="preserve"> a </w:t>
      </w:r>
      <w:r w:rsidRPr="00AB26B3">
        <w:rPr>
          <w:noProof/>
          <w:spacing w:val="-6"/>
          <w:lang w:val="sk-SK"/>
        </w:rPr>
        <w:t>chrániť ich práva duševného vlastníctva. Cieľom tejto reformy je zvýšiť odolnosť kultúrneho</w:t>
      </w:r>
      <w:r w:rsidR="00AB26B3" w:rsidRPr="00AB26B3">
        <w:rPr>
          <w:noProof/>
          <w:spacing w:val="-6"/>
          <w:lang w:val="sk-SK"/>
        </w:rPr>
        <w:t xml:space="preserve"> a </w:t>
      </w:r>
      <w:r w:rsidRPr="00AB26B3">
        <w:rPr>
          <w:noProof/>
          <w:spacing w:val="-6"/>
          <w:lang w:val="sk-SK"/>
        </w:rPr>
        <w:t>kreatívneho sektora. Implementácia reformy sa dokončí do 30</w:t>
      </w:r>
      <w:r w:rsidR="00AB26B3" w:rsidRPr="00AB26B3">
        <w:rPr>
          <w:noProof/>
          <w:spacing w:val="-6"/>
          <w:lang w:val="sk-SK"/>
        </w:rPr>
        <w:t>. septembra</w:t>
      </w:r>
      <w:r w:rsidRPr="00AB26B3">
        <w:rPr>
          <w:noProof/>
          <w:spacing w:val="-6"/>
          <w:lang w:val="sk-SK"/>
        </w:rPr>
        <w:t xml:space="preserve"> 2022.</w:t>
      </w:r>
    </w:p>
    <w:p w14:paraId="68A1E46E"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Kultúra ako hnacia sila rastu (opatrenie ID 16293)</w:t>
      </w:r>
    </w:p>
    <w:p w14:paraId="25C5441A" w14:textId="0673E2A7"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investície je zvýšiť príspevok kultúry</w:t>
      </w:r>
      <w:r w:rsidR="00AB26B3" w:rsidRPr="00AB26B3">
        <w:rPr>
          <w:noProof/>
          <w:spacing w:val="-6"/>
          <w:lang w:val="sk-SK"/>
        </w:rPr>
        <w:t xml:space="preserve"> k </w:t>
      </w:r>
      <w:r w:rsidRPr="00AB26B3">
        <w:rPr>
          <w:noProof/>
          <w:spacing w:val="-6"/>
          <w:lang w:val="sk-SK"/>
        </w:rPr>
        <w:t>inteligentnému</w:t>
      </w:r>
      <w:r w:rsidR="00AB26B3" w:rsidRPr="00AB26B3">
        <w:rPr>
          <w:noProof/>
          <w:spacing w:val="-6"/>
          <w:lang w:val="sk-SK"/>
        </w:rPr>
        <w:t xml:space="preserve"> a </w:t>
      </w:r>
      <w:r w:rsidRPr="00AB26B3">
        <w:rPr>
          <w:noProof/>
          <w:spacing w:val="-6"/>
          <w:lang w:val="sk-SK"/>
        </w:rPr>
        <w:t>udržateľnému rastu</w:t>
      </w:r>
      <w:r w:rsidR="00AB26B3" w:rsidRPr="00AB26B3">
        <w:rPr>
          <w:noProof/>
          <w:spacing w:val="-6"/>
          <w:lang w:val="sk-SK"/>
        </w:rPr>
        <w:t xml:space="preserve"> a </w:t>
      </w:r>
      <w:r w:rsidRPr="00AB26B3">
        <w:rPr>
          <w:noProof/>
          <w:spacing w:val="-6"/>
          <w:lang w:val="sk-SK"/>
        </w:rPr>
        <w:t>hospodárskej, sociálnej</w:t>
      </w:r>
      <w:r w:rsidR="00AB26B3" w:rsidRPr="00AB26B3">
        <w:rPr>
          <w:noProof/>
          <w:spacing w:val="-6"/>
          <w:lang w:val="sk-SK"/>
        </w:rPr>
        <w:t xml:space="preserve"> a </w:t>
      </w:r>
      <w:r w:rsidRPr="00AB26B3">
        <w:rPr>
          <w:noProof/>
          <w:spacing w:val="-6"/>
          <w:lang w:val="sk-SK"/>
        </w:rPr>
        <w:t>územnej súdržnosti. Pozostáva</w:t>
      </w:r>
      <w:r w:rsidR="00AB26B3" w:rsidRPr="00AB26B3">
        <w:rPr>
          <w:noProof/>
          <w:spacing w:val="-6"/>
          <w:lang w:val="sk-SK"/>
        </w:rPr>
        <w:t xml:space="preserve"> z </w:t>
      </w:r>
      <w:r w:rsidRPr="00AB26B3">
        <w:rPr>
          <w:noProof/>
          <w:spacing w:val="-6"/>
          <w:lang w:val="sk-SK"/>
        </w:rPr>
        <w:t>opatrení pre sektor kultúry.</w:t>
      </w:r>
    </w:p>
    <w:p w14:paraId="1BD261C1"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Múzeum podvodných starožitností (opatrenie ID 16486)</w:t>
      </w:r>
    </w:p>
    <w:p w14:paraId="70FCE773" w14:textId="05E505EE"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obnoviť priemyselnú budovu</w:t>
      </w:r>
      <w:r w:rsidR="00AB26B3" w:rsidRPr="00AB26B3">
        <w:rPr>
          <w:noProof/>
          <w:spacing w:val="-6"/>
          <w:lang w:val="sk-SK"/>
        </w:rPr>
        <w:t xml:space="preserve"> v </w:t>
      </w:r>
      <w:r w:rsidRPr="00AB26B3">
        <w:rPr>
          <w:noProof/>
          <w:spacing w:val="-6"/>
          <w:lang w:val="sk-SK"/>
        </w:rPr>
        <w:t>Pireu</w:t>
      </w:r>
      <w:r w:rsidR="00AB26B3" w:rsidRPr="00AB26B3">
        <w:rPr>
          <w:noProof/>
          <w:spacing w:val="-6"/>
          <w:lang w:val="sk-SK"/>
        </w:rPr>
        <w:t xml:space="preserve"> a </w:t>
      </w:r>
      <w:r w:rsidRPr="00AB26B3">
        <w:rPr>
          <w:noProof/>
          <w:spacing w:val="-6"/>
          <w:lang w:val="sk-SK"/>
        </w:rPr>
        <w:t>znovu ju otvoriť ako múzeum podmorských starožitností. Investícia pozostáva</w:t>
      </w:r>
      <w:r w:rsidR="00AB26B3" w:rsidRPr="00AB26B3">
        <w:rPr>
          <w:noProof/>
          <w:spacing w:val="-6"/>
          <w:lang w:val="sk-SK"/>
        </w:rPr>
        <w:t xml:space="preserve"> z </w:t>
      </w:r>
      <w:r w:rsidRPr="00AB26B3">
        <w:rPr>
          <w:noProof/>
          <w:spacing w:val="-6"/>
          <w:lang w:val="sk-SK"/>
        </w:rPr>
        <w:t>prác</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infraštruktúry na usporiadanie stálej výstavy.</w:t>
      </w:r>
    </w:p>
    <w:p w14:paraId="31482BC7" w14:textId="1B6B6F58"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Využívanie „umení na lekársky predpis“, podpora sociálnej súdržnosti</w:t>
      </w:r>
      <w:r w:rsidR="00AB26B3" w:rsidRPr="00AB26B3">
        <w:rPr>
          <w:noProof/>
          <w:spacing w:val="-6"/>
          <w:lang w:val="sk-SK"/>
        </w:rPr>
        <w:t xml:space="preserve"> a </w:t>
      </w:r>
      <w:r w:rsidRPr="00AB26B3">
        <w:rPr>
          <w:noProof/>
          <w:spacing w:val="-6"/>
          <w:lang w:val="sk-SK"/>
        </w:rPr>
        <w:t>využívanie striebornej ekonomiky (opatrenie ID 16735)</w:t>
      </w:r>
    </w:p>
    <w:p w14:paraId="38C434A7" w14:textId="079C060B"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investície je prilákať návštevníkov vo veku 65 rokov</w:t>
      </w:r>
      <w:r w:rsidR="00AB26B3" w:rsidRPr="00AB26B3">
        <w:rPr>
          <w:noProof/>
          <w:spacing w:val="-6"/>
          <w:lang w:val="sk-SK"/>
        </w:rPr>
        <w:t xml:space="preserve"> a </w:t>
      </w:r>
      <w:r w:rsidRPr="00AB26B3">
        <w:rPr>
          <w:noProof/>
          <w:spacing w:val="-6"/>
          <w:lang w:val="sk-SK"/>
        </w:rPr>
        <w:t>viac, ako aj návštevníkov so zdravotným postihnutím na kultúrne podujatia. Pozostáva</w:t>
      </w:r>
      <w:r w:rsidR="00AB26B3" w:rsidRPr="00AB26B3">
        <w:rPr>
          <w:noProof/>
          <w:spacing w:val="-6"/>
          <w:lang w:val="sk-SK"/>
        </w:rPr>
        <w:t xml:space="preserve"> z </w:t>
      </w:r>
      <w:r w:rsidRPr="00AB26B3">
        <w:rPr>
          <w:noProof/>
          <w:spacing w:val="-6"/>
          <w:lang w:val="sk-SK"/>
        </w:rPr>
        <w:t>prác na infraštruktúre</w:t>
      </w:r>
      <w:r w:rsidR="00AB26B3" w:rsidRPr="00AB26B3">
        <w:rPr>
          <w:noProof/>
          <w:spacing w:val="-6"/>
          <w:lang w:val="sk-SK"/>
        </w:rPr>
        <w:t xml:space="preserve"> a </w:t>
      </w:r>
      <w:r w:rsidRPr="00AB26B3">
        <w:rPr>
          <w:noProof/>
          <w:spacing w:val="-6"/>
          <w:lang w:val="sk-SK"/>
        </w:rPr>
        <w:t>programu „umenie na lekársky predpis“.</w:t>
      </w:r>
    </w:p>
    <w:p w14:paraId="5A24CFD2" w14:textId="36297048"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Modernizácia infraštruktúry, obnova vybavenia</w:t>
      </w:r>
      <w:r w:rsidR="00AB26B3" w:rsidRPr="00AB26B3">
        <w:rPr>
          <w:noProof/>
          <w:spacing w:val="-6"/>
          <w:lang w:val="sk-SK"/>
        </w:rPr>
        <w:t xml:space="preserve"> a </w:t>
      </w:r>
      <w:r w:rsidRPr="00AB26B3">
        <w:rPr>
          <w:noProof/>
          <w:spacing w:val="-6"/>
          <w:lang w:val="sk-SK"/>
        </w:rPr>
        <w:t>zvýšenie kvality služieb poskytovaných obchodmi HOCRED – bývalými obchodmi ARF (na mieste</w:t>
      </w:r>
      <w:r w:rsidR="00AB26B3" w:rsidRPr="00AB26B3">
        <w:rPr>
          <w:noProof/>
          <w:spacing w:val="-6"/>
          <w:lang w:val="sk-SK"/>
        </w:rPr>
        <w:t xml:space="preserve"> a </w:t>
      </w:r>
      <w:r w:rsidRPr="00AB26B3">
        <w:rPr>
          <w:noProof/>
          <w:spacing w:val="-6"/>
          <w:lang w:val="sk-SK"/>
        </w:rPr>
        <w:t>elektronicky) (opatrenie ID 16536)</w:t>
      </w:r>
    </w:p>
    <w:p w14:paraId="51458D5F" w14:textId="34EC7DA2"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investície je zvýšiť kvalitu služieb poskytovaných Helénskou organizáciou pre rozvoj kultúrnych zdrojov (HOCRED)</w:t>
      </w:r>
      <w:r w:rsidR="00AB26B3" w:rsidRPr="00AB26B3">
        <w:rPr>
          <w:noProof/>
          <w:spacing w:val="-6"/>
          <w:lang w:val="sk-SK"/>
        </w:rPr>
        <w:t xml:space="preserve"> a </w:t>
      </w:r>
      <w:r w:rsidRPr="00AB26B3">
        <w:rPr>
          <w:noProof/>
          <w:spacing w:val="-6"/>
          <w:lang w:val="sk-SK"/>
        </w:rPr>
        <w:t>rozšíriť sieť obchodov HOCRED. Investícia zahŕňa opatrenia</w:t>
      </w:r>
      <w:r w:rsidR="00AB26B3" w:rsidRPr="00AB26B3">
        <w:rPr>
          <w:noProof/>
          <w:spacing w:val="-6"/>
          <w:lang w:val="sk-SK"/>
        </w:rPr>
        <w:t xml:space="preserve"> v </w:t>
      </w:r>
      <w:r w:rsidRPr="00AB26B3">
        <w:rPr>
          <w:noProof/>
          <w:spacing w:val="-6"/>
          <w:lang w:val="sk-SK"/>
        </w:rPr>
        <w:t>oblasti energetickej efektívnosti, renovácie, výstavbu obchodov</w:t>
      </w:r>
      <w:r w:rsidR="00AB26B3" w:rsidRPr="00AB26B3">
        <w:rPr>
          <w:noProof/>
          <w:spacing w:val="-6"/>
          <w:lang w:val="sk-SK"/>
        </w:rPr>
        <w:t xml:space="preserve"> a </w:t>
      </w:r>
      <w:r w:rsidRPr="00AB26B3">
        <w:rPr>
          <w:noProof/>
          <w:spacing w:val="-6"/>
          <w:lang w:val="sk-SK"/>
        </w:rPr>
        <w:t>zariadení pre fyzické</w:t>
      </w:r>
      <w:r w:rsidR="00AB26B3" w:rsidRPr="00AB26B3">
        <w:rPr>
          <w:noProof/>
          <w:spacing w:val="-6"/>
          <w:lang w:val="sk-SK"/>
        </w:rPr>
        <w:t xml:space="preserve"> a </w:t>
      </w:r>
      <w:r w:rsidRPr="00AB26B3">
        <w:rPr>
          <w:noProof/>
          <w:spacing w:val="-6"/>
          <w:lang w:val="sk-SK"/>
        </w:rPr>
        <w:t>online predajne HOCRED.</w:t>
      </w:r>
    </w:p>
    <w:p w14:paraId="744D466E" w14:textId="63555D3B"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Ochrana kultúrnych pamiatok</w:t>
      </w:r>
      <w:r w:rsidR="00AB26B3" w:rsidRPr="00AB26B3">
        <w:rPr>
          <w:noProof/>
          <w:spacing w:val="-6"/>
          <w:lang w:val="sk-SK"/>
        </w:rPr>
        <w:t xml:space="preserve"> a </w:t>
      </w:r>
      <w:r w:rsidRPr="00AB26B3">
        <w:rPr>
          <w:noProof/>
          <w:spacing w:val="-6"/>
          <w:lang w:val="sk-SK"/>
        </w:rPr>
        <w:t>archeologických nálezísk pred zmenou klímy (opatrenie ID 16433)</w:t>
      </w:r>
    </w:p>
    <w:p w14:paraId="5393F0C2" w14:textId="1CE6E40F"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investície je chrániť kultúrne dedičstvo Grécka</w:t>
      </w:r>
      <w:r w:rsidR="00AB26B3" w:rsidRPr="00AB26B3">
        <w:rPr>
          <w:noProof/>
          <w:spacing w:val="-6"/>
          <w:lang w:val="sk-SK"/>
        </w:rPr>
        <w:t xml:space="preserve"> a </w:t>
      </w:r>
      <w:r w:rsidRPr="00AB26B3">
        <w:rPr>
          <w:noProof/>
          <w:spacing w:val="-6"/>
          <w:lang w:val="sk-SK"/>
        </w:rPr>
        <w:t>zlepšiť jeho odolnosť proti zmene klímy. Investícia pozostáva</w:t>
      </w:r>
      <w:r w:rsidR="00AB26B3" w:rsidRPr="00AB26B3">
        <w:rPr>
          <w:noProof/>
          <w:spacing w:val="-6"/>
          <w:lang w:val="sk-SK"/>
        </w:rPr>
        <w:t xml:space="preserve"> z </w:t>
      </w:r>
      <w:r w:rsidRPr="00AB26B3">
        <w:rPr>
          <w:noProof/>
          <w:spacing w:val="-6"/>
          <w:lang w:val="sk-SK"/>
        </w:rPr>
        <w:t>ochranných prác</w:t>
      </w:r>
      <w:r w:rsidR="00AB26B3" w:rsidRPr="00AB26B3">
        <w:rPr>
          <w:noProof/>
          <w:spacing w:val="-6"/>
          <w:lang w:val="sk-SK"/>
        </w:rPr>
        <w:t xml:space="preserve"> a </w:t>
      </w:r>
      <w:r w:rsidRPr="00AB26B3">
        <w:rPr>
          <w:noProof/>
          <w:spacing w:val="-6"/>
          <w:lang w:val="sk-SK"/>
        </w:rPr>
        <w:t>plánov adaptácie na zmenu klímy.</w:t>
      </w:r>
    </w:p>
    <w:p w14:paraId="6D88139F"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Modernizácia vysokoškolského umeleckého vzdelávania (opatrenie ID 16725)</w:t>
      </w:r>
    </w:p>
    <w:p w14:paraId="4AA2DEE5" w14:textId="6E551430"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investície je modernizovať verejné inštitúcie vysokoškolského vzdelávania</w:t>
      </w:r>
      <w:r w:rsidR="00AB26B3" w:rsidRPr="00AB26B3">
        <w:rPr>
          <w:noProof/>
          <w:spacing w:val="-6"/>
          <w:lang w:val="sk-SK"/>
        </w:rPr>
        <w:t xml:space="preserve"> v </w:t>
      </w:r>
      <w:r w:rsidRPr="00AB26B3">
        <w:rPr>
          <w:noProof/>
          <w:spacing w:val="-6"/>
          <w:lang w:val="sk-SK"/>
        </w:rPr>
        <w:t>Grécku. Pozostáva</w:t>
      </w:r>
      <w:r w:rsidR="00AB26B3" w:rsidRPr="00AB26B3">
        <w:rPr>
          <w:noProof/>
          <w:spacing w:val="-6"/>
          <w:lang w:val="sk-SK"/>
        </w:rPr>
        <w:t xml:space="preserve"> z </w:t>
      </w:r>
      <w:r w:rsidRPr="00AB26B3">
        <w:rPr>
          <w:noProof/>
          <w:spacing w:val="-6"/>
          <w:lang w:val="sk-SK"/>
        </w:rPr>
        <w:t>modernizácie fyzickej</w:t>
      </w:r>
      <w:r w:rsidR="00AB26B3" w:rsidRPr="00AB26B3">
        <w:rPr>
          <w:noProof/>
          <w:spacing w:val="-6"/>
          <w:lang w:val="sk-SK"/>
        </w:rPr>
        <w:t xml:space="preserve"> a </w:t>
      </w:r>
      <w:r w:rsidRPr="00AB26B3">
        <w:rPr>
          <w:noProof/>
          <w:spacing w:val="-6"/>
          <w:lang w:val="sk-SK"/>
        </w:rPr>
        <w:t>technickej infraštruktúry inštitúcií</w:t>
      </w:r>
      <w:r w:rsidR="00AB26B3" w:rsidRPr="00AB26B3">
        <w:rPr>
          <w:noProof/>
          <w:spacing w:val="-6"/>
          <w:lang w:val="sk-SK"/>
        </w:rPr>
        <w:t xml:space="preserve"> a </w:t>
      </w:r>
      <w:r w:rsidRPr="00AB26B3">
        <w:rPr>
          <w:noProof/>
          <w:spacing w:val="-6"/>
          <w:lang w:val="sk-SK"/>
        </w:rPr>
        <w:t>je sprevádzaná preskúmaním</w:t>
      </w:r>
      <w:r w:rsidR="00AB26B3" w:rsidRPr="00AB26B3">
        <w:rPr>
          <w:noProof/>
          <w:spacing w:val="-6"/>
          <w:lang w:val="sk-SK"/>
        </w:rPr>
        <w:t xml:space="preserve"> a </w:t>
      </w:r>
      <w:r w:rsidRPr="00AB26B3">
        <w:rPr>
          <w:noProof/>
          <w:spacing w:val="-6"/>
          <w:lang w:val="sk-SK"/>
        </w:rPr>
        <w:t>aktualizáciou všetkých učebných plánov vysokoškolského umeleckého vzdelávania na vysokoškolskej úrovni (EKR6)</w:t>
      </w:r>
      <w:r w:rsidR="00AB26B3" w:rsidRPr="00AB26B3">
        <w:rPr>
          <w:noProof/>
          <w:spacing w:val="-6"/>
          <w:lang w:val="sk-SK"/>
        </w:rPr>
        <w:t>.</w:t>
      </w:r>
    </w:p>
    <w:p w14:paraId="10219A4F" w14:textId="498931FB"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Kultúrne trasy na emblematických archeologických náleziskách</w:t>
      </w:r>
      <w:r w:rsidR="00AB26B3" w:rsidRPr="00AB26B3">
        <w:rPr>
          <w:noProof/>
          <w:spacing w:val="-6"/>
          <w:lang w:val="sk-SK"/>
        </w:rPr>
        <w:t xml:space="preserve"> a </w:t>
      </w:r>
      <w:r w:rsidRPr="00AB26B3">
        <w:rPr>
          <w:noProof/>
          <w:spacing w:val="-6"/>
          <w:lang w:val="sk-SK"/>
        </w:rPr>
        <w:t>pamiatkach (opatrenie ID 16485)</w:t>
      </w:r>
    </w:p>
    <w:p w14:paraId="74297966" w14:textId="2AD24D15"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vytvoriť päť symbolických kultúrnych trás</w:t>
      </w:r>
      <w:r w:rsidR="00AB26B3" w:rsidRPr="00AB26B3">
        <w:rPr>
          <w:noProof/>
          <w:spacing w:val="-6"/>
          <w:lang w:val="sk-SK"/>
        </w:rPr>
        <w:t xml:space="preserve"> s </w:t>
      </w:r>
      <w:r w:rsidRPr="00AB26B3">
        <w:rPr>
          <w:noProof/>
          <w:spacing w:val="-6"/>
          <w:lang w:val="sk-SK"/>
        </w:rPr>
        <w:t>tematickými naratívmi pokrývajúcimi obdobia gréckej histórie. Investícia zahŕňa zachovanie</w:t>
      </w:r>
      <w:r w:rsidR="00AB26B3" w:rsidRPr="00AB26B3">
        <w:rPr>
          <w:noProof/>
          <w:spacing w:val="-6"/>
          <w:lang w:val="sk-SK"/>
        </w:rPr>
        <w:t xml:space="preserve"> a </w:t>
      </w:r>
      <w:r w:rsidRPr="00AB26B3">
        <w:rPr>
          <w:noProof/>
          <w:spacing w:val="-6"/>
          <w:lang w:val="sk-SK"/>
        </w:rPr>
        <w:t>obnovu vybraných pamiatok, modernizáciu služieb</w:t>
      </w:r>
      <w:r w:rsidR="00AB26B3" w:rsidRPr="00AB26B3">
        <w:rPr>
          <w:noProof/>
          <w:spacing w:val="-6"/>
          <w:lang w:val="sk-SK"/>
        </w:rPr>
        <w:t xml:space="preserve"> a </w:t>
      </w:r>
      <w:r w:rsidRPr="00AB26B3">
        <w:rPr>
          <w:noProof/>
          <w:spacing w:val="-6"/>
          <w:lang w:val="sk-SK"/>
        </w:rPr>
        <w:t>infraštruktúry</w:t>
      </w:r>
      <w:r w:rsidR="00AB26B3" w:rsidRPr="00AB26B3">
        <w:rPr>
          <w:noProof/>
          <w:spacing w:val="-6"/>
          <w:lang w:val="sk-SK"/>
        </w:rPr>
        <w:t xml:space="preserve"> a </w:t>
      </w:r>
      <w:r w:rsidRPr="00AB26B3">
        <w:rPr>
          <w:noProof/>
          <w:spacing w:val="-6"/>
          <w:lang w:val="sk-SK"/>
        </w:rPr>
        <w:t>interaktívne digitálne aplikácie.</w:t>
      </w:r>
    </w:p>
    <w:p w14:paraId="762340CD"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Obnova – ochrana – zlepšenie pamiatok Acropolis (opatrenie ID 16435)</w:t>
      </w:r>
    </w:p>
    <w:p w14:paraId="4179F754" w14:textId="24C2C523"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chrániť pamiatky Akropoly</w:t>
      </w:r>
      <w:r w:rsidR="00AB26B3" w:rsidRPr="00AB26B3">
        <w:rPr>
          <w:noProof/>
          <w:spacing w:val="-6"/>
          <w:lang w:val="sk-SK"/>
        </w:rPr>
        <w:t xml:space="preserve"> v </w:t>
      </w:r>
      <w:r w:rsidRPr="00AB26B3">
        <w:rPr>
          <w:noProof/>
          <w:spacing w:val="-6"/>
          <w:lang w:val="sk-SK"/>
        </w:rPr>
        <w:t>Aténach pred zmenou klímy. Pozostáva</w:t>
      </w:r>
      <w:r w:rsidR="00AB26B3" w:rsidRPr="00AB26B3">
        <w:rPr>
          <w:noProof/>
          <w:spacing w:val="-6"/>
          <w:lang w:val="sk-SK"/>
        </w:rPr>
        <w:t xml:space="preserve"> z </w:t>
      </w:r>
      <w:r w:rsidRPr="00AB26B3">
        <w:rPr>
          <w:noProof/>
          <w:spacing w:val="-6"/>
          <w:lang w:val="sk-SK"/>
        </w:rPr>
        <w:t>reštauračných prác</w:t>
      </w:r>
      <w:r w:rsidR="00AB26B3" w:rsidRPr="00AB26B3">
        <w:rPr>
          <w:noProof/>
          <w:spacing w:val="-6"/>
          <w:lang w:val="sk-SK"/>
        </w:rPr>
        <w:t xml:space="preserve"> a </w:t>
      </w:r>
      <w:r w:rsidRPr="00AB26B3">
        <w:rPr>
          <w:noProof/>
          <w:spacing w:val="-6"/>
          <w:lang w:val="sk-SK"/>
        </w:rPr>
        <w:t>prác na prístupnosti pre návštevníkov.</w:t>
      </w:r>
    </w:p>
    <w:p w14:paraId="7F1218EB"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Rozvoj cestovného ruchu (opatrenie ID 16931)</w:t>
      </w:r>
    </w:p>
    <w:p w14:paraId="7452F38B" w14:textId="6560442C" w:rsidR="00302FC1" w:rsidRPr="00AB26B3" w:rsidRDefault="00D64F26">
      <w:pPr>
        <w:pStyle w:val="P68B1DB1-Normal5"/>
        <w:spacing w:before="120" w:after="120" w:line="240" w:lineRule="auto"/>
        <w:jc w:val="both"/>
        <w:rPr>
          <w:noProof/>
          <w:spacing w:val="-6"/>
          <w:szCs w:val="24"/>
          <w:lang w:val="sk-SK"/>
        </w:rPr>
      </w:pPr>
      <w:r w:rsidRPr="00AB26B3">
        <w:rPr>
          <w:noProof/>
          <w:spacing w:val="-6"/>
          <w:lang w:val="sk-SK"/>
        </w:rPr>
        <w:t>Cieľom investície je predĺžiť turistickú sezónu</w:t>
      </w:r>
      <w:r w:rsidR="00AB26B3" w:rsidRPr="00AB26B3">
        <w:rPr>
          <w:noProof/>
          <w:spacing w:val="-6"/>
          <w:lang w:val="sk-SK"/>
        </w:rPr>
        <w:t xml:space="preserve"> v </w:t>
      </w:r>
      <w:r w:rsidRPr="00AB26B3">
        <w:rPr>
          <w:noProof/>
          <w:spacing w:val="-6"/>
          <w:lang w:val="sk-SK"/>
        </w:rPr>
        <w:t>Grécku nad rámec letných mesiacov</w:t>
      </w:r>
      <w:r w:rsidR="00AB26B3" w:rsidRPr="00AB26B3">
        <w:rPr>
          <w:noProof/>
          <w:spacing w:val="-6"/>
          <w:lang w:val="sk-SK"/>
        </w:rPr>
        <w:t xml:space="preserve"> a </w:t>
      </w:r>
      <w:r w:rsidRPr="00AB26B3">
        <w:rPr>
          <w:noProof/>
          <w:spacing w:val="-6"/>
          <w:lang w:val="sk-SK"/>
        </w:rPr>
        <w:t>podporiť alternatívne formy cestovného ruchu. Investícia pozostáva</w:t>
      </w:r>
      <w:r w:rsidR="00AB26B3" w:rsidRPr="00AB26B3">
        <w:rPr>
          <w:noProof/>
          <w:spacing w:val="-6"/>
          <w:lang w:val="sk-SK"/>
        </w:rPr>
        <w:t xml:space="preserve"> z </w:t>
      </w:r>
      <w:r w:rsidRPr="00AB26B3">
        <w:rPr>
          <w:noProof/>
          <w:spacing w:val="-6"/>
          <w:lang w:val="sk-SK"/>
        </w:rPr>
        <w:t>opatrení na modernizáciu turistických prístavov</w:t>
      </w:r>
      <w:r w:rsidR="00AB26B3" w:rsidRPr="00AB26B3">
        <w:rPr>
          <w:noProof/>
          <w:spacing w:val="-6"/>
          <w:lang w:val="sk-SK"/>
        </w:rPr>
        <w:t xml:space="preserve"> a </w:t>
      </w:r>
      <w:r w:rsidRPr="00AB26B3">
        <w:rPr>
          <w:noProof/>
          <w:spacing w:val="-6"/>
          <w:lang w:val="sk-SK"/>
        </w:rPr>
        <w:t>opatrení zeleného</w:t>
      </w:r>
      <w:r w:rsidR="00AB26B3" w:rsidRPr="00AB26B3">
        <w:rPr>
          <w:noProof/>
          <w:spacing w:val="-6"/>
          <w:lang w:val="sk-SK"/>
        </w:rPr>
        <w:t xml:space="preserve"> a </w:t>
      </w:r>
      <w:r w:rsidRPr="00AB26B3">
        <w:rPr>
          <w:noProof/>
          <w:spacing w:val="-6"/>
          <w:lang w:val="sk-SK"/>
        </w:rPr>
        <w:t>modrého rozvoja.</w:t>
      </w:r>
    </w:p>
    <w:p w14:paraId="58131A92" w14:textId="3BF9B3BF"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Rekvalifikácia</w:t>
      </w:r>
      <w:r w:rsidR="00AB26B3" w:rsidRPr="00AB26B3">
        <w:rPr>
          <w:noProof/>
          <w:spacing w:val="-6"/>
          <w:lang w:val="sk-SK"/>
        </w:rPr>
        <w:t xml:space="preserve"> a </w:t>
      </w:r>
      <w:r w:rsidRPr="00AB26B3">
        <w:rPr>
          <w:noProof/>
          <w:spacing w:val="-6"/>
          <w:lang w:val="sk-SK"/>
        </w:rPr>
        <w:t>zvyšovanie úrovne zručností</w:t>
      </w:r>
      <w:r w:rsidR="00AB26B3" w:rsidRPr="00AB26B3">
        <w:rPr>
          <w:noProof/>
          <w:spacing w:val="-6"/>
          <w:lang w:val="sk-SK"/>
        </w:rPr>
        <w:t xml:space="preserve"> v </w:t>
      </w:r>
      <w:r w:rsidRPr="00AB26B3">
        <w:rPr>
          <w:noProof/>
          <w:spacing w:val="-6"/>
          <w:lang w:val="sk-SK"/>
        </w:rPr>
        <w:t>cestovnom ruchu (opatrenie ID 16921)</w:t>
      </w:r>
    </w:p>
    <w:p w14:paraId="6FEF3C16" w14:textId="1CA4B604"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investície je zlepšiť zručnosti gréckej pracovnej sily</w:t>
      </w:r>
      <w:r w:rsidR="00AB26B3" w:rsidRPr="00AB26B3">
        <w:rPr>
          <w:noProof/>
          <w:spacing w:val="-6"/>
          <w:lang w:val="sk-SK"/>
        </w:rPr>
        <w:t xml:space="preserve"> v </w:t>
      </w:r>
      <w:r w:rsidRPr="00AB26B3">
        <w:rPr>
          <w:noProof/>
          <w:spacing w:val="-6"/>
          <w:lang w:val="sk-SK"/>
        </w:rPr>
        <w:t>odvetví cestovného ruchu. Investícia zahŕňa zvyšovanie úrovne zručností</w:t>
      </w:r>
      <w:r w:rsidR="00AB26B3" w:rsidRPr="00AB26B3">
        <w:rPr>
          <w:noProof/>
          <w:spacing w:val="-6"/>
          <w:lang w:val="sk-SK"/>
        </w:rPr>
        <w:t xml:space="preserve"> a </w:t>
      </w:r>
      <w:r w:rsidRPr="00AB26B3">
        <w:rPr>
          <w:noProof/>
          <w:spacing w:val="-6"/>
          <w:lang w:val="sk-SK"/>
        </w:rPr>
        <w:t>rekvalifikáciu sezónnych pracovníkov, dlhodobo nezamestnaných, ako aj pracovníkov, ktorých pracovná zmluva bola počas pandémie COVID-19 pozastavená.</w:t>
      </w:r>
    </w:p>
    <w:p w14:paraId="47E10B28"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Priemyselné parky (opatrenie ID 16634)</w:t>
      </w:r>
    </w:p>
    <w:p w14:paraId="1F75DE6A" w14:textId="32CDA1D8"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opatrenia je podporiť investície do priemyselných parkov. Investícia pozostáva</w:t>
      </w:r>
      <w:r w:rsidR="00AB26B3" w:rsidRPr="00AB26B3">
        <w:rPr>
          <w:noProof/>
          <w:spacing w:val="-6"/>
          <w:lang w:val="sk-SK"/>
        </w:rPr>
        <w:t xml:space="preserve"> z </w:t>
      </w:r>
      <w:r w:rsidRPr="00AB26B3">
        <w:rPr>
          <w:noProof/>
          <w:spacing w:val="-6"/>
          <w:lang w:val="sk-SK"/>
        </w:rPr>
        <w:t>finančnej pomoci na infraštruktúru parkov</w:t>
      </w:r>
      <w:r w:rsidR="00AB26B3" w:rsidRPr="00AB26B3">
        <w:rPr>
          <w:noProof/>
          <w:spacing w:val="-6"/>
          <w:lang w:val="sk-SK"/>
        </w:rPr>
        <w:t xml:space="preserve"> a </w:t>
      </w:r>
      <w:r w:rsidRPr="00AB26B3">
        <w:rPr>
          <w:noProof/>
          <w:spacing w:val="-6"/>
          <w:lang w:val="sk-SK"/>
        </w:rPr>
        <w:t>na zásobovanie parkov elektrickými prenosovými stanicami</w:t>
      </w:r>
      <w:r w:rsidR="00AB26B3" w:rsidRPr="00AB26B3">
        <w:rPr>
          <w:noProof/>
          <w:spacing w:val="-6"/>
          <w:lang w:val="sk-SK"/>
        </w:rPr>
        <w:t xml:space="preserve"> a z </w:t>
      </w:r>
      <w:r w:rsidRPr="00AB26B3">
        <w:rPr>
          <w:noProof/>
          <w:spacing w:val="-6"/>
          <w:lang w:val="sk-SK"/>
        </w:rPr>
        <w:t>reformy regulačného rámca pre priemyselné parky.</w:t>
      </w:r>
    </w:p>
    <w:p w14:paraId="07E25D08"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Urýchlenie inteligentnej výroby (opatrenie ID 16721)</w:t>
      </w:r>
    </w:p>
    <w:p w14:paraId="77305C5E" w14:textId="6ECC0B15"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opatrenia je podporiť investície do výrobného sektora. Investícia zahŕňa finančnú podporu pre malé</w:t>
      </w:r>
      <w:r w:rsidR="00AB26B3" w:rsidRPr="00AB26B3">
        <w:rPr>
          <w:noProof/>
          <w:spacing w:val="-6"/>
          <w:lang w:val="sk-SK"/>
        </w:rPr>
        <w:t xml:space="preserve"> a </w:t>
      </w:r>
      <w:r w:rsidRPr="00AB26B3">
        <w:rPr>
          <w:noProof/>
          <w:spacing w:val="-6"/>
          <w:lang w:val="sk-SK"/>
        </w:rPr>
        <w:t>stredné podniky</w:t>
      </w:r>
      <w:r w:rsidR="00AB26B3" w:rsidRPr="00AB26B3">
        <w:rPr>
          <w:noProof/>
          <w:spacing w:val="-6"/>
          <w:lang w:val="sk-SK"/>
        </w:rPr>
        <w:t xml:space="preserve"> v </w:t>
      </w:r>
      <w:r w:rsidRPr="00AB26B3">
        <w:rPr>
          <w:noProof/>
          <w:spacing w:val="-6"/>
          <w:lang w:val="sk-SK"/>
        </w:rPr>
        <w:t>priemyselnom sektore na modernizáciu ich výrobných zariadení</w:t>
      </w:r>
      <w:r w:rsidR="00AB26B3" w:rsidRPr="00AB26B3">
        <w:rPr>
          <w:noProof/>
          <w:spacing w:val="-6"/>
          <w:lang w:val="sk-SK"/>
        </w:rPr>
        <w:t xml:space="preserve"> a </w:t>
      </w:r>
      <w:r w:rsidRPr="00AB26B3">
        <w:rPr>
          <w:noProof/>
          <w:spacing w:val="-6"/>
          <w:lang w:val="sk-SK"/>
        </w:rPr>
        <w:t>infraštruktúry inteligentnými technológiami</w:t>
      </w:r>
      <w:r w:rsidR="00AB26B3" w:rsidRPr="00AB26B3">
        <w:rPr>
          <w:noProof/>
          <w:spacing w:val="-6"/>
          <w:lang w:val="sk-SK"/>
        </w:rPr>
        <w:t xml:space="preserve"> s </w:t>
      </w:r>
      <w:r w:rsidRPr="00AB26B3">
        <w:rPr>
          <w:noProof/>
          <w:spacing w:val="-6"/>
          <w:lang w:val="sk-SK"/>
        </w:rPr>
        <w:t>malým vplyvom na životné prostredie</w:t>
      </w:r>
      <w:r w:rsidR="00AB26B3" w:rsidRPr="00AB26B3">
        <w:rPr>
          <w:noProof/>
          <w:spacing w:val="-6"/>
          <w:lang w:val="sk-SK"/>
        </w:rPr>
        <w:t>.</w:t>
      </w:r>
    </w:p>
    <w:p w14:paraId="310F1B84" w14:textId="2C129A2E"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Hospodárska transformácia odvetví poľnohospodárstva</w:t>
      </w:r>
      <w:r w:rsidR="00AB26B3" w:rsidRPr="00AB26B3">
        <w:rPr>
          <w:noProof/>
          <w:spacing w:val="-6"/>
          <w:lang w:val="sk-SK"/>
        </w:rPr>
        <w:t xml:space="preserve"> a </w:t>
      </w:r>
      <w:r w:rsidRPr="00AB26B3">
        <w:rPr>
          <w:noProof/>
          <w:spacing w:val="-6"/>
          <w:lang w:val="sk-SK"/>
        </w:rPr>
        <w:t>akvakultúry (opatrenie ID 16626)</w:t>
      </w:r>
    </w:p>
    <w:p w14:paraId="2B9F70F2" w14:textId="1A05D776"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investície je podporiť rozvoj odvetví poľnohospodárstva</w:t>
      </w:r>
      <w:r w:rsidR="00AB26B3" w:rsidRPr="00AB26B3">
        <w:rPr>
          <w:noProof/>
          <w:spacing w:val="-6"/>
          <w:lang w:val="sk-SK"/>
        </w:rPr>
        <w:t xml:space="preserve"> a </w:t>
      </w:r>
      <w:r w:rsidRPr="00AB26B3">
        <w:rPr>
          <w:noProof/>
          <w:spacing w:val="-6"/>
          <w:lang w:val="sk-SK"/>
        </w:rPr>
        <w:t>akvakultúry</w:t>
      </w:r>
      <w:r w:rsidR="00AB26B3" w:rsidRPr="00AB26B3">
        <w:rPr>
          <w:noProof/>
          <w:spacing w:val="-6"/>
          <w:lang w:val="sk-SK"/>
        </w:rPr>
        <w:t xml:space="preserve"> v </w:t>
      </w:r>
      <w:r w:rsidRPr="00AB26B3">
        <w:rPr>
          <w:noProof/>
          <w:spacing w:val="-6"/>
          <w:lang w:val="sk-SK"/>
        </w:rPr>
        <w:t>Grécku. Investícia pozostáva</w:t>
      </w:r>
      <w:r w:rsidR="00AB26B3" w:rsidRPr="00AB26B3">
        <w:rPr>
          <w:noProof/>
          <w:spacing w:val="-6"/>
          <w:lang w:val="sk-SK"/>
        </w:rPr>
        <w:t xml:space="preserve"> z </w:t>
      </w:r>
      <w:r w:rsidRPr="00AB26B3">
        <w:rPr>
          <w:noProof/>
          <w:spacing w:val="-6"/>
          <w:lang w:val="sk-SK"/>
        </w:rPr>
        <w:t>350 projektov.</w:t>
      </w:r>
    </w:p>
    <w:p w14:paraId="1EBCAD29"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Digitálna transformácia agropotravinárskeho sektora (opatrenie ID 16653)</w:t>
      </w:r>
    </w:p>
    <w:p w14:paraId="627BF215" w14:textId="34D9454A"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uľahčiť zavádzanie inovačných technológií</w:t>
      </w:r>
      <w:r w:rsidR="00AB26B3" w:rsidRPr="00AB26B3">
        <w:rPr>
          <w:noProof/>
          <w:spacing w:val="-6"/>
          <w:lang w:val="sk-SK"/>
        </w:rPr>
        <w:t xml:space="preserve"> v </w:t>
      </w:r>
      <w:r w:rsidRPr="00AB26B3">
        <w:rPr>
          <w:noProof/>
          <w:spacing w:val="-6"/>
          <w:lang w:val="sk-SK"/>
        </w:rPr>
        <w:t>gréckom poľnohospodárskom sektore, kontrolu falšovania gréckych výrobkov</w:t>
      </w:r>
      <w:r w:rsidR="00AB26B3" w:rsidRPr="00AB26B3">
        <w:rPr>
          <w:noProof/>
          <w:spacing w:val="-6"/>
          <w:lang w:val="sk-SK"/>
        </w:rPr>
        <w:t xml:space="preserve"> a </w:t>
      </w:r>
      <w:r w:rsidRPr="00AB26B3">
        <w:rPr>
          <w:noProof/>
          <w:spacing w:val="-6"/>
          <w:lang w:val="sk-SK"/>
        </w:rPr>
        <w:t>gréckych potravinových výrobkov, vytvoriť nové agropotravinárske znalosti</w:t>
      </w:r>
      <w:r w:rsidR="00AB26B3" w:rsidRPr="00AB26B3">
        <w:rPr>
          <w:noProof/>
          <w:spacing w:val="-6"/>
          <w:lang w:val="sk-SK"/>
        </w:rPr>
        <w:t xml:space="preserve"> v </w:t>
      </w:r>
      <w:r w:rsidRPr="00AB26B3">
        <w:rPr>
          <w:noProof/>
          <w:spacing w:val="-6"/>
          <w:lang w:val="sk-SK"/>
        </w:rPr>
        <w:t>Grécku. Investícia pozostáva</w:t>
      </w:r>
      <w:r w:rsidR="00AB26B3" w:rsidRPr="00AB26B3">
        <w:rPr>
          <w:noProof/>
          <w:spacing w:val="-6"/>
          <w:lang w:val="sk-SK"/>
        </w:rPr>
        <w:t xml:space="preserve"> z </w:t>
      </w:r>
      <w:r w:rsidRPr="00AB26B3">
        <w:rPr>
          <w:noProof/>
          <w:spacing w:val="-6"/>
          <w:lang w:val="sk-SK"/>
        </w:rPr>
        <w:t>projektu digitálnej transformácie odvetvia poľnohospodárstva</w:t>
      </w:r>
      <w:r w:rsidR="00AB26B3" w:rsidRPr="00AB26B3">
        <w:rPr>
          <w:noProof/>
          <w:spacing w:val="-6"/>
          <w:lang w:val="sk-SK"/>
        </w:rPr>
        <w:t xml:space="preserve"> a </w:t>
      </w:r>
      <w:r w:rsidRPr="00AB26B3">
        <w:rPr>
          <w:noProof/>
          <w:spacing w:val="-6"/>
          <w:lang w:val="sk-SK"/>
        </w:rPr>
        <w:t>projektu zameraného na vonkajšie poľnohospodárstvo</w:t>
      </w:r>
      <w:r w:rsidR="00AB26B3" w:rsidRPr="00AB26B3">
        <w:rPr>
          <w:noProof/>
          <w:spacing w:val="-6"/>
          <w:lang w:val="sk-SK"/>
        </w:rPr>
        <w:t>.</w:t>
      </w:r>
    </w:p>
    <w:p w14:paraId="4252A7F8" w14:textId="15546A3A"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Modernizácia intervencií pre regionálne prístavy (opatrenie ID 16975)</w:t>
      </w:r>
    </w:p>
    <w:p w14:paraId="7802C02A" w14:textId="2A109CA2"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podporiť hospodársky rozvoj</w:t>
      </w:r>
      <w:r w:rsidR="00AB26B3" w:rsidRPr="00AB26B3">
        <w:rPr>
          <w:noProof/>
          <w:spacing w:val="-6"/>
          <w:lang w:val="sk-SK"/>
        </w:rPr>
        <w:t xml:space="preserve"> v </w:t>
      </w:r>
      <w:r w:rsidRPr="00AB26B3">
        <w:rPr>
          <w:noProof/>
          <w:spacing w:val="-6"/>
          <w:lang w:val="sk-SK"/>
        </w:rPr>
        <w:t>regionálnych prístavoch. Opatrenie pozostáva</w:t>
      </w:r>
      <w:r w:rsidR="00AB26B3" w:rsidRPr="00AB26B3">
        <w:rPr>
          <w:noProof/>
          <w:spacing w:val="-6"/>
          <w:lang w:val="sk-SK"/>
        </w:rPr>
        <w:t xml:space="preserve"> z </w:t>
      </w:r>
      <w:r w:rsidRPr="00AB26B3">
        <w:rPr>
          <w:noProof/>
          <w:spacing w:val="-6"/>
          <w:lang w:val="sk-SK"/>
        </w:rPr>
        <w:t>výstavby infraštruktúrnych prác</w:t>
      </w:r>
      <w:r w:rsidR="00AB26B3" w:rsidRPr="00AB26B3">
        <w:rPr>
          <w:noProof/>
          <w:spacing w:val="-6"/>
          <w:lang w:val="sk-SK"/>
        </w:rPr>
        <w:t xml:space="preserve"> v </w:t>
      </w:r>
      <w:r w:rsidRPr="00AB26B3">
        <w:rPr>
          <w:noProof/>
          <w:spacing w:val="-6"/>
          <w:lang w:val="sk-SK"/>
        </w:rPr>
        <w:t>13 prístavoch.</w:t>
      </w:r>
    </w:p>
    <w:p w14:paraId="1C92FAC1" w14:textId="77777777"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Hlavný plán obnovy gréckej flotily osobnej lodnej dopravy (opatrenie ID 16944)</w:t>
      </w:r>
    </w:p>
    <w:p w14:paraId="4DAA7C61" w14:textId="5E0F20E7"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tejto investície je prispieť</w:t>
      </w:r>
      <w:r w:rsidR="00AB26B3" w:rsidRPr="00AB26B3">
        <w:rPr>
          <w:noProof/>
          <w:spacing w:val="-6"/>
          <w:lang w:val="sk-SK"/>
        </w:rPr>
        <w:t xml:space="preserve"> k </w:t>
      </w:r>
      <w:r w:rsidRPr="00AB26B3">
        <w:rPr>
          <w:noProof/>
          <w:spacing w:val="-6"/>
          <w:lang w:val="sk-SK"/>
        </w:rPr>
        <w:t>zelenej transformácii osobnej lodnej dopravy</w:t>
      </w:r>
      <w:r w:rsidR="00AB26B3" w:rsidRPr="00AB26B3">
        <w:rPr>
          <w:noProof/>
          <w:spacing w:val="-6"/>
          <w:lang w:val="sk-SK"/>
        </w:rPr>
        <w:t xml:space="preserve"> v </w:t>
      </w:r>
      <w:r w:rsidRPr="00AB26B3">
        <w:rPr>
          <w:noProof/>
          <w:spacing w:val="-6"/>
          <w:lang w:val="sk-SK"/>
        </w:rPr>
        <w:t>Grécku. Opatrenie pozostáva</w:t>
      </w:r>
      <w:r w:rsidR="00AB26B3" w:rsidRPr="00AB26B3">
        <w:rPr>
          <w:noProof/>
          <w:spacing w:val="-6"/>
          <w:lang w:val="sk-SK"/>
        </w:rPr>
        <w:t xml:space="preserve"> z </w:t>
      </w:r>
      <w:r w:rsidRPr="00AB26B3">
        <w:rPr>
          <w:noProof/>
          <w:spacing w:val="-6"/>
          <w:lang w:val="sk-SK"/>
        </w:rPr>
        <w:t>prípravy štúdie</w:t>
      </w:r>
      <w:r w:rsidR="00AB26B3" w:rsidRPr="00AB26B3">
        <w:rPr>
          <w:noProof/>
          <w:spacing w:val="-6"/>
          <w:lang w:val="sk-SK"/>
        </w:rPr>
        <w:t xml:space="preserve"> a </w:t>
      </w:r>
      <w:r w:rsidRPr="00AB26B3">
        <w:rPr>
          <w:noProof/>
          <w:spacing w:val="-6"/>
          <w:lang w:val="sk-SK"/>
        </w:rPr>
        <w:t>hlavného plánu obnovy flotily osobnej lodnej dopravy</w:t>
      </w:r>
      <w:r w:rsidR="00AB26B3" w:rsidRPr="00AB26B3">
        <w:rPr>
          <w:noProof/>
          <w:spacing w:val="-6"/>
          <w:lang w:val="sk-SK"/>
        </w:rPr>
        <w:t xml:space="preserve"> v </w:t>
      </w:r>
      <w:r w:rsidRPr="00AB26B3">
        <w:rPr>
          <w:noProof/>
          <w:spacing w:val="-6"/>
          <w:lang w:val="sk-SK"/>
        </w:rPr>
        <w:t>krajine.</w:t>
      </w:r>
    </w:p>
    <w:p w14:paraId="20726CE8" w14:textId="482F637E"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Organizačná reforma</w:t>
      </w:r>
      <w:r w:rsidR="00AB26B3" w:rsidRPr="00AB26B3">
        <w:rPr>
          <w:noProof/>
          <w:spacing w:val="-6"/>
          <w:lang w:val="sk-SK"/>
        </w:rPr>
        <w:t xml:space="preserve"> v </w:t>
      </w:r>
      <w:r w:rsidRPr="00AB26B3">
        <w:rPr>
          <w:noProof/>
          <w:spacing w:val="-6"/>
          <w:lang w:val="sk-SK"/>
        </w:rPr>
        <w:t>sektore železníc (opatrenie ID 16982)</w:t>
      </w:r>
    </w:p>
    <w:p w14:paraId="3BE6F169" w14:textId="4C4BC25E"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reformy je zvýšiť bezpečnosť, efektívnosť, integráciu, modernosť gréckeho železničného sektora</w:t>
      </w:r>
      <w:r w:rsidR="00AB26B3" w:rsidRPr="00AB26B3">
        <w:rPr>
          <w:noProof/>
          <w:spacing w:val="-6"/>
          <w:lang w:val="sk-SK"/>
        </w:rPr>
        <w:t xml:space="preserve"> a </w:t>
      </w:r>
      <w:r w:rsidRPr="00AB26B3">
        <w:rPr>
          <w:noProof/>
          <w:spacing w:val="-6"/>
          <w:lang w:val="sk-SK"/>
        </w:rPr>
        <w:t>jeho schopnosť reagovať na dopyt zákazníkov. Opatrenie pozostáva</w:t>
      </w:r>
      <w:r w:rsidR="00AB26B3" w:rsidRPr="00AB26B3">
        <w:rPr>
          <w:noProof/>
          <w:spacing w:val="-6"/>
          <w:lang w:val="sk-SK"/>
        </w:rPr>
        <w:t xml:space="preserve"> z </w:t>
      </w:r>
      <w:r w:rsidRPr="00AB26B3">
        <w:rPr>
          <w:noProof/>
          <w:spacing w:val="-6"/>
          <w:lang w:val="sk-SK"/>
        </w:rPr>
        <w:t>právnych</w:t>
      </w:r>
      <w:r w:rsidR="00AB26B3" w:rsidRPr="00AB26B3">
        <w:rPr>
          <w:noProof/>
          <w:spacing w:val="-6"/>
          <w:lang w:val="sk-SK"/>
        </w:rPr>
        <w:t xml:space="preserve"> a </w:t>
      </w:r>
      <w:r w:rsidRPr="00AB26B3">
        <w:rPr>
          <w:noProof/>
          <w:spacing w:val="-6"/>
          <w:lang w:val="sk-SK"/>
        </w:rPr>
        <w:t>organizačných reforiem.</w:t>
      </w:r>
    </w:p>
    <w:p w14:paraId="60C8C7B0" w14:textId="6ECBBFC0"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Zmena právneho rámca na prilákanie strategických investícií (opatrenie ID 16593)</w:t>
      </w:r>
    </w:p>
    <w:p w14:paraId="37219FF5" w14:textId="26B1DE14"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reformy je podporiť Grécko ako atraktívnu destináciu pre potenciálnych investorov. Reforma pozostáva</w:t>
      </w:r>
      <w:r w:rsidR="00AB26B3" w:rsidRPr="00AB26B3">
        <w:rPr>
          <w:noProof/>
          <w:spacing w:val="-6"/>
          <w:lang w:val="sk-SK"/>
        </w:rPr>
        <w:t xml:space="preserve"> z </w:t>
      </w:r>
      <w:r w:rsidRPr="00AB26B3">
        <w:rPr>
          <w:noProof/>
          <w:spacing w:val="-6"/>
          <w:lang w:val="sk-SK"/>
        </w:rPr>
        <w:t>revízie</w:t>
      </w:r>
      <w:r w:rsidR="00AB26B3" w:rsidRPr="00AB26B3">
        <w:rPr>
          <w:noProof/>
          <w:spacing w:val="-6"/>
          <w:lang w:val="sk-SK"/>
        </w:rPr>
        <w:t xml:space="preserve"> a </w:t>
      </w:r>
      <w:r w:rsidRPr="00AB26B3">
        <w:rPr>
          <w:noProof/>
          <w:spacing w:val="-6"/>
          <w:lang w:val="sk-SK"/>
        </w:rPr>
        <w:t>konsolidácie právneho rámca pre prilákanie strategických investícií, vytvorenia novej kategórie strategických investícií („emblematické investície veľkého významu“)</w:t>
      </w:r>
      <w:r w:rsidR="00AB26B3" w:rsidRPr="00AB26B3">
        <w:rPr>
          <w:noProof/>
          <w:spacing w:val="-6"/>
          <w:lang w:val="sk-SK"/>
        </w:rPr>
        <w:t xml:space="preserve"> s </w:t>
      </w:r>
      <w:r w:rsidRPr="00AB26B3">
        <w:rPr>
          <w:noProof/>
          <w:spacing w:val="-6"/>
          <w:lang w:val="sk-SK"/>
        </w:rPr>
        <w:t>dodatočnými stimulmi</w:t>
      </w:r>
      <w:r w:rsidR="00AB26B3" w:rsidRPr="00AB26B3">
        <w:rPr>
          <w:noProof/>
          <w:spacing w:val="-6"/>
          <w:lang w:val="sk-SK"/>
        </w:rPr>
        <w:t xml:space="preserve"> a </w:t>
      </w:r>
      <w:r w:rsidRPr="00AB26B3">
        <w:rPr>
          <w:noProof/>
          <w:spacing w:val="-6"/>
          <w:lang w:val="sk-SK"/>
        </w:rPr>
        <w:t>ponuky finančných stimulov pre ne</w:t>
      </w:r>
      <w:r w:rsidR="00AB26B3" w:rsidRPr="00AB26B3">
        <w:rPr>
          <w:noProof/>
          <w:spacing w:val="-6"/>
          <w:lang w:val="sk-SK"/>
        </w:rPr>
        <w:t>.</w:t>
      </w:r>
    </w:p>
    <w:p w14:paraId="50E1E662" w14:textId="4803069D" w:rsidR="00302FC1" w:rsidRPr="00AB26B3" w:rsidRDefault="00302FC1">
      <w:pPr>
        <w:spacing w:before="120" w:after="120" w:line="240" w:lineRule="auto"/>
        <w:jc w:val="both"/>
        <w:rPr>
          <w:rFonts w:ascii="Times New Roman" w:hAnsi="Times New Roman" w:cs="Times New Roman"/>
          <w:b/>
          <w:noProof/>
          <w:spacing w:val="-6"/>
          <w:sz w:val="24"/>
          <w:u w:val="single"/>
          <w:lang w:val="sk-SK"/>
        </w:rPr>
      </w:pPr>
    </w:p>
    <w:p w14:paraId="05501C77"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274"/>
          <w:headerReference w:type="default" r:id="rId275"/>
          <w:footerReference w:type="even" r:id="rId276"/>
          <w:footerReference w:type="default" r:id="rId277"/>
          <w:headerReference w:type="first" r:id="rId278"/>
          <w:footerReference w:type="first" r:id="rId279"/>
          <w:pgSz w:w="11906" w:h="16838"/>
          <w:pgMar w:top="1417" w:right="1417" w:bottom="1417" w:left="1417" w:header="708" w:footer="708" w:gutter="0"/>
          <w:cols w:space="708"/>
          <w:docGrid w:linePitch="360"/>
        </w:sectPr>
      </w:pPr>
    </w:p>
    <w:p w14:paraId="339AA824" w14:textId="77777777" w:rsidR="00AB26B3" w:rsidRPr="00AB26B3" w:rsidRDefault="00D64F26">
      <w:pPr>
        <w:pStyle w:val="P68B1DB1-Normal6"/>
        <w:spacing w:before="120" w:after="120" w:line="240" w:lineRule="auto"/>
        <w:jc w:val="both"/>
        <w:rPr>
          <w:noProof/>
          <w:color w:val="2B579A"/>
          <w:spacing w:val="-6"/>
          <w:shd w:val="clear" w:color="auto" w:fill="E6E6E6"/>
          <w:lang w:val="sk-SK"/>
        </w:rPr>
      </w:pPr>
      <w:r w:rsidRPr="00AB26B3">
        <w:rPr>
          <w:noProof/>
          <w:spacing w:val="-6"/>
          <w:lang w:val="sk-SK"/>
        </w:rPr>
        <w:t>Q.2.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31C21846" w14:textId="131F5208" w:rsidR="00302FC1" w:rsidRPr="00AB26B3" w:rsidRDefault="00D64F26">
      <w:pPr>
        <w:pStyle w:val="P68B1DB1-Normal9"/>
        <w:keepNext/>
        <w:keepLines/>
        <w:spacing w:before="40" w:after="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Hlavná investícia 6: Diaľnica E-65</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strednom Grécku: Trikala – úsek Egnatia</w:t>
      </w:r>
    </w:p>
    <w:tbl>
      <w:tblPr>
        <w:tblW w:w="15354" w:type="dxa"/>
        <w:jc w:val="center"/>
        <w:tblLook w:val="04A0" w:firstRow="1" w:lastRow="0" w:firstColumn="1" w:lastColumn="0" w:noHBand="0" w:noVBand="1"/>
      </w:tblPr>
      <w:tblGrid>
        <w:gridCol w:w="542"/>
        <w:gridCol w:w="1732"/>
        <w:gridCol w:w="1061"/>
        <w:gridCol w:w="1137"/>
        <w:gridCol w:w="1713"/>
        <w:gridCol w:w="1230"/>
        <w:gridCol w:w="909"/>
        <w:gridCol w:w="946"/>
        <w:gridCol w:w="1440"/>
        <w:gridCol w:w="1096"/>
        <w:gridCol w:w="3600"/>
      </w:tblGrid>
      <w:tr w:rsidR="00302FC1" w:rsidRPr="00AB26B3" w14:paraId="4B0D1240" w14:textId="77777777">
        <w:trPr>
          <w:trHeight w:val="810"/>
          <w:tblHeader/>
          <w:jc w:val="center"/>
        </w:trPr>
        <w:tc>
          <w:tcPr>
            <w:tcW w:w="5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29F664" w14:textId="6F86F5EF"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 xml:space="preserve">A nasl. </w:t>
            </w:r>
            <w:r w:rsidRPr="00AB26B3">
              <w:rPr>
                <w:noProof/>
                <w:spacing w:val="-6"/>
                <w:lang w:val="sk-SK"/>
              </w:rPr>
              <w:br/>
              <w:t>Nie.</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DE46AD"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Súvisiace opatrenie (reforma alebo investícia)</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4A2780"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Míľnik/cieľ</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3DA2C5F"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Názov</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E50E4E"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Kvalitatívne ukazovatele (pre míľniky)</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5629F5B" w14:textId="2E1D8BDF"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Kvantitatívne ukazovatele (pre ciele)</w:t>
            </w:r>
          </w:p>
        </w:tc>
        <w:tc>
          <w:tcPr>
            <w:tcW w:w="2536" w:type="dxa"/>
            <w:gridSpan w:val="2"/>
            <w:tcBorders>
              <w:top w:val="single" w:sz="4" w:space="0" w:color="auto"/>
              <w:left w:val="nil"/>
              <w:bottom w:val="single" w:sz="4" w:space="0" w:color="auto"/>
              <w:right w:val="single" w:sz="4" w:space="0" w:color="auto"/>
            </w:tcBorders>
            <w:shd w:val="clear" w:color="auto" w:fill="BDD7EE"/>
            <w:vAlign w:val="center"/>
            <w:hideMark/>
          </w:tcPr>
          <w:p w14:paraId="03881172"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Orientačný harmonogram dokončenia </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611FC69" w14:textId="2E07CB4F"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60D0819D" w14:textId="77777777">
        <w:trPr>
          <w:trHeight w:val="440"/>
          <w:tblHeader/>
          <w:jc w:val="center"/>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4F81ED6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67C6AB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2E15FAF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C48C5F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13" w:type="dxa"/>
            <w:vMerge/>
            <w:tcBorders>
              <w:top w:val="single" w:sz="4" w:space="0" w:color="auto"/>
              <w:left w:val="single" w:sz="4" w:space="0" w:color="auto"/>
              <w:bottom w:val="single" w:sz="4" w:space="0" w:color="auto"/>
              <w:right w:val="single" w:sz="4" w:space="0" w:color="auto"/>
            </w:tcBorders>
            <w:vAlign w:val="center"/>
            <w:hideMark/>
          </w:tcPr>
          <w:p w14:paraId="2EDE98F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3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C9E796C"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857" w:type="dxa"/>
            <w:tcBorders>
              <w:top w:val="nil"/>
              <w:left w:val="nil"/>
              <w:bottom w:val="single" w:sz="4" w:space="0" w:color="auto"/>
              <w:right w:val="single" w:sz="4" w:space="0" w:color="auto"/>
            </w:tcBorders>
            <w:shd w:val="clear" w:color="auto" w:fill="BDD7EE"/>
            <w:vAlign w:val="center"/>
            <w:hideMark/>
          </w:tcPr>
          <w:p w14:paraId="56A4E13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946" w:type="dxa"/>
            <w:tcBorders>
              <w:top w:val="nil"/>
              <w:left w:val="nil"/>
              <w:bottom w:val="single" w:sz="4" w:space="0" w:color="auto"/>
              <w:right w:val="single" w:sz="4" w:space="0" w:color="auto"/>
            </w:tcBorders>
            <w:shd w:val="clear" w:color="auto" w:fill="BDD7EE"/>
            <w:vAlign w:val="center"/>
            <w:hideMark/>
          </w:tcPr>
          <w:p w14:paraId="0E61425E"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1440" w:type="dxa"/>
            <w:tcBorders>
              <w:top w:val="nil"/>
              <w:left w:val="nil"/>
              <w:bottom w:val="single" w:sz="4" w:space="0" w:color="auto"/>
              <w:right w:val="single" w:sz="4" w:space="0" w:color="auto"/>
            </w:tcBorders>
            <w:shd w:val="clear" w:color="auto" w:fill="BDD7EE"/>
            <w:vAlign w:val="center"/>
            <w:hideMark/>
          </w:tcPr>
          <w:p w14:paraId="443BD0E3"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1096" w:type="dxa"/>
            <w:tcBorders>
              <w:top w:val="nil"/>
              <w:left w:val="nil"/>
              <w:bottom w:val="single" w:sz="4" w:space="0" w:color="auto"/>
              <w:right w:val="single" w:sz="4" w:space="0" w:color="auto"/>
            </w:tcBorders>
            <w:shd w:val="clear" w:color="auto" w:fill="BDD7EE"/>
            <w:vAlign w:val="center"/>
            <w:hideMark/>
          </w:tcPr>
          <w:p w14:paraId="45C96BE8"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3600" w:type="dxa"/>
            <w:vMerge/>
            <w:tcBorders>
              <w:top w:val="single" w:sz="4" w:space="0" w:color="auto"/>
              <w:bottom w:val="single" w:sz="4" w:space="0" w:color="auto"/>
              <w:right w:val="single" w:sz="4" w:space="0" w:color="auto"/>
            </w:tcBorders>
            <w:vAlign w:val="center"/>
            <w:hideMark/>
          </w:tcPr>
          <w:p w14:paraId="5B3D7C2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03317B23" w14:textId="77777777">
        <w:trPr>
          <w:trHeight w:val="313"/>
          <w:jc w:val="center"/>
        </w:trPr>
        <w:tc>
          <w:tcPr>
            <w:tcW w:w="542" w:type="dxa"/>
            <w:tcBorders>
              <w:top w:val="single" w:sz="4" w:space="0" w:color="auto"/>
              <w:left w:val="single" w:sz="4" w:space="0" w:color="auto"/>
              <w:bottom w:val="single" w:sz="4" w:space="0" w:color="auto"/>
              <w:right w:val="single" w:sz="4" w:space="0" w:color="auto"/>
            </w:tcBorders>
            <w:shd w:val="clear" w:color="auto" w:fill="C6EFCE"/>
            <w:noWrap/>
          </w:tcPr>
          <w:p w14:paraId="3A094CA3"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254</w:t>
            </w:r>
          </w:p>
        </w:tc>
        <w:tc>
          <w:tcPr>
            <w:tcW w:w="1732" w:type="dxa"/>
            <w:tcBorders>
              <w:top w:val="single" w:sz="4" w:space="0" w:color="auto"/>
              <w:left w:val="nil"/>
              <w:bottom w:val="single" w:sz="4" w:space="0" w:color="auto"/>
              <w:right w:val="single" w:sz="4" w:space="0" w:color="auto"/>
            </w:tcBorders>
            <w:shd w:val="clear" w:color="auto" w:fill="C6EFCE"/>
            <w:noWrap/>
          </w:tcPr>
          <w:p w14:paraId="11CDD293" w14:textId="74375555"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16628_Central Greece Highway E-65: Trikala – úsek Egnatia</w:t>
            </w:r>
          </w:p>
        </w:tc>
        <w:tc>
          <w:tcPr>
            <w:tcW w:w="1061" w:type="dxa"/>
            <w:tcBorders>
              <w:top w:val="single" w:sz="4" w:space="0" w:color="auto"/>
              <w:left w:val="nil"/>
              <w:bottom w:val="single" w:sz="4" w:space="0" w:color="auto"/>
              <w:right w:val="single" w:sz="4" w:space="0" w:color="auto"/>
            </w:tcBorders>
            <w:shd w:val="clear" w:color="auto" w:fill="C6EFCE"/>
            <w:noWrap/>
          </w:tcPr>
          <w:p w14:paraId="2013FE36"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Míľnik</w:t>
            </w:r>
          </w:p>
        </w:tc>
        <w:tc>
          <w:tcPr>
            <w:tcW w:w="1137" w:type="dxa"/>
            <w:tcBorders>
              <w:top w:val="single" w:sz="4" w:space="0" w:color="auto"/>
              <w:left w:val="nil"/>
              <w:bottom w:val="single" w:sz="4" w:space="0" w:color="auto"/>
              <w:right w:val="single" w:sz="4" w:space="0" w:color="auto"/>
            </w:tcBorders>
            <w:shd w:val="clear" w:color="auto" w:fill="C6EFCE"/>
            <w:noWrap/>
          </w:tcPr>
          <w:p w14:paraId="3A0C28EC" w14:textId="7EF18555"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Začiatok stavebných prác</w:t>
            </w:r>
            <w:r w:rsidR="00AB26B3" w:rsidRPr="00AB26B3">
              <w:rPr>
                <w:noProof/>
                <w:spacing w:val="-6"/>
                <w:lang w:val="sk-SK"/>
              </w:rPr>
              <w:t xml:space="preserve"> v </w:t>
            </w:r>
            <w:r w:rsidRPr="00AB26B3">
              <w:rPr>
                <w:noProof/>
                <w:spacing w:val="-6"/>
                <w:lang w:val="sk-SK"/>
              </w:rPr>
              <w:t>E-65</w:t>
            </w:r>
          </w:p>
        </w:tc>
        <w:tc>
          <w:tcPr>
            <w:tcW w:w="1713" w:type="dxa"/>
            <w:tcBorders>
              <w:top w:val="single" w:sz="4" w:space="0" w:color="auto"/>
              <w:left w:val="nil"/>
              <w:bottom w:val="single" w:sz="4" w:space="0" w:color="auto"/>
              <w:right w:val="single" w:sz="4" w:space="0" w:color="auto"/>
            </w:tcBorders>
            <w:shd w:val="clear" w:color="auto" w:fill="C6EFCE"/>
            <w:noWrap/>
          </w:tcPr>
          <w:p w14:paraId="7F8AAE43" w14:textId="7951211F"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Správa nezávislého inžiniera ratifikovaná ministerstvom infraštruktúry</w:t>
            </w:r>
          </w:p>
        </w:tc>
        <w:tc>
          <w:tcPr>
            <w:tcW w:w="1230" w:type="dxa"/>
            <w:tcBorders>
              <w:top w:val="single" w:sz="4" w:space="0" w:color="auto"/>
              <w:left w:val="nil"/>
              <w:bottom w:val="single" w:sz="4" w:space="0" w:color="auto"/>
              <w:right w:val="single" w:sz="4" w:space="0" w:color="auto"/>
            </w:tcBorders>
            <w:shd w:val="clear" w:color="auto" w:fill="C6EFCE"/>
            <w:noWrap/>
          </w:tcPr>
          <w:p w14:paraId="064C39F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3557F1A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46" w:type="dxa"/>
            <w:tcBorders>
              <w:top w:val="nil"/>
              <w:left w:val="nil"/>
              <w:bottom w:val="single" w:sz="4" w:space="0" w:color="auto"/>
              <w:right w:val="single" w:sz="4" w:space="0" w:color="auto"/>
            </w:tcBorders>
            <w:shd w:val="clear" w:color="auto" w:fill="C6EFCE"/>
            <w:noWrap/>
          </w:tcPr>
          <w:p w14:paraId="09DD528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40" w:type="dxa"/>
            <w:tcBorders>
              <w:top w:val="nil"/>
              <w:left w:val="nil"/>
              <w:bottom w:val="single" w:sz="4" w:space="0" w:color="auto"/>
              <w:right w:val="single" w:sz="4" w:space="0" w:color="auto"/>
            </w:tcBorders>
            <w:shd w:val="clear" w:color="auto" w:fill="C6EFCE"/>
            <w:noWrap/>
          </w:tcPr>
          <w:p w14:paraId="0AB2EE5E"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ŠTVRŤROK</w:t>
            </w:r>
          </w:p>
        </w:tc>
        <w:tc>
          <w:tcPr>
            <w:tcW w:w="1096" w:type="dxa"/>
            <w:tcBorders>
              <w:top w:val="nil"/>
              <w:left w:val="nil"/>
              <w:bottom w:val="single" w:sz="4" w:space="0" w:color="auto"/>
              <w:right w:val="single" w:sz="4" w:space="0" w:color="auto"/>
            </w:tcBorders>
            <w:shd w:val="clear" w:color="auto" w:fill="C6EFCE"/>
            <w:noWrap/>
          </w:tcPr>
          <w:p w14:paraId="0D6F34EA"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2022</w:t>
            </w:r>
          </w:p>
        </w:tc>
        <w:tc>
          <w:tcPr>
            <w:tcW w:w="3600" w:type="dxa"/>
            <w:tcBorders>
              <w:top w:val="single" w:sz="4" w:space="0" w:color="auto"/>
              <w:left w:val="nil"/>
              <w:bottom w:val="single" w:sz="4" w:space="0" w:color="auto"/>
              <w:right w:val="single" w:sz="4" w:space="0" w:color="auto"/>
            </w:tcBorders>
            <w:shd w:val="clear" w:color="auto" w:fill="C6EFCE"/>
            <w:noWrap/>
          </w:tcPr>
          <w:p w14:paraId="7E4DA149" w14:textId="786A2E7B"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Začiatok stavebných prác na diaľnici E-65</w:t>
            </w:r>
            <w:r w:rsidR="00AB26B3" w:rsidRPr="00AB26B3">
              <w:rPr>
                <w:noProof/>
                <w:spacing w:val="-6"/>
                <w:lang w:val="sk-SK"/>
              </w:rPr>
              <w:t xml:space="preserve"> v </w:t>
            </w:r>
            <w:r w:rsidRPr="00AB26B3">
              <w:rPr>
                <w:noProof/>
                <w:spacing w:val="-6"/>
                <w:lang w:val="sk-SK"/>
              </w:rPr>
              <w:t>strednom Grécku: Trikala – Egnatia</w:t>
            </w:r>
          </w:p>
        </w:tc>
      </w:tr>
      <w:tr w:rsidR="00302FC1" w:rsidRPr="00AB26B3" w14:paraId="040E05B2" w14:textId="77777777">
        <w:trPr>
          <w:trHeight w:val="313"/>
          <w:jc w:val="center"/>
        </w:trPr>
        <w:tc>
          <w:tcPr>
            <w:tcW w:w="542" w:type="dxa"/>
            <w:tcBorders>
              <w:top w:val="nil"/>
              <w:left w:val="single" w:sz="4" w:space="0" w:color="auto"/>
              <w:bottom w:val="single" w:sz="4" w:space="0" w:color="auto"/>
              <w:right w:val="single" w:sz="4" w:space="0" w:color="auto"/>
            </w:tcBorders>
            <w:shd w:val="clear" w:color="auto" w:fill="C6EFCE"/>
            <w:noWrap/>
            <w:hideMark/>
          </w:tcPr>
          <w:p w14:paraId="1C4DACE2"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256</w:t>
            </w:r>
          </w:p>
        </w:tc>
        <w:tc>
          <w:tcPr>
            <w:tcW w:w="1732" w:type="dxa"/>
            <w:tcBorders>
              <w:top w:val="nil"/>
              <w:left w:val="nil"/>
              <w:bottom w:val="single" w:sz="4" w:space="0" w:color="auto"/>
              <w:right w:val="single" w:sz="4" w:space="0" w:color="auto"/>
            </w:tcBorders>
            <w:shd w:val="clear" w:color="auto" w:fill="C6EFCE"/>
            <w:noWrap/>
            <w:hideMark/>
          </w:tcPr>
          <w:p w14:paraId="6AEE124C" w14:textId="47C7731A"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 17 – 4.6. Modernizácia</w:t>
            </w:r>
            <w:r w:rsidR="00AB26B3" w:rsidRPr="00AB26B3">
              <w:rPr>
                <w:noProof/>
                <w:spacing w:val="-6"/>
                <w:lang w:val="sk-SK"/>
              </w:rPr>
              <w:t xml:space="preserve"> a </w:t>
            </w:r>
            <w:r w:rsidRPr="00AB26B3">
              <w:rPr>
                <w:noProof/>
                <w:spacing w:val="-6"/>
                <w:lang w:val="sk-SK"/>
              </w:rPr>
              <w:t>zlepšenie odolnosti kľúčových hospodárskych odvetví – 16628_Central Greece Highway E-65: Trikala – úsek Egnatia</w:t>
            </w:r>
          </w:p>
        </w:tc>
        <w:tc>
          <w:tcPr>
            <w:tcW w:w="1061" w:type="dxa"/>
            <w:tcBorders>
              <w:top w:val="nil"/>
              <w:left w:val="nil"/>
              <w:bottom w:val="single" w:sz="4" w:space="0" w:color="auto"/>
              <w:right w:val="single" w:sz="4" w:space="0" w:color="auto"/>
            </w:tcBorders>
            <w:shd w:val="clear" w:color="auto" w:fill="C6EFCE"/>
            <w:noWrap/>
            <w:hideMark/>
          </w:tcPr>
          <w:p w14:paraId="4A40E74B"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Míľnik</w:t>
            </w:r>
          </w:p>
        </w:tc>
        <w:tc>
          <w:tcPr>
            <w:tcW w:w="1137" w:type="dxa"/>
            <w:tcBorders>
              <w:top w:val="nil"/>
              <w:left w:val="nil"/>
              <w:bottom w:val="single" w:sz="4" w:space="0" w:color="auto"/>
              <w:right w:val="single" w:sz="4" w:space="0" w:color="auto"/>
            </w:tcBorders>
            <w:shd w:val="clear" w:color="auto" w:fill="C6EFCE"/>
            <w:noWrap/>
            <w:hideMark/>
          </w:tcPr>
          <w:p w14:paraId="36F6017D"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E-65 práce – dokončenie</w:t>
            </w:r>
          </w:p>
        </w:tc>
        <w:tc>
          <w:tcPr>
            <w:tcW w:w="1713" w:type="dxa"/>
            <w:tcBorders>
              <w:top w:val="nil"/>
              <w:left w:val="nil"/>
              <w:bottom w:val="single" w:sz="4" w:space="0" w:color="auto"/>
              <w:right w:val="single" w:sz="4" w:space="0" w:color="auto"/>
            </w:tcBorders>
            <w:shd w:val="clear" w:color="auto" w:fill="C6EFCE"/>
            <w:noWrap/>
            <w:hideMark/>
          </w:tcPr>
          <w:p w14:paraId="16A3D8B4" w14:textId="3870AB75" w:rsidR="00302FC1" w:rsidRPr="00AB26B3" w:rsidRDefault="00D64F26">
            <w:pPr>
              <w:pStyle w:val="P68B1DB1-Normal24"/>
              <w:spacing w:after="0" w:line="240" w:lineRule="auto"/>
              <w:rPr>
                <w:noProof/>
                <w:spacing w:val="-6"/>
                <w:lang w:val="sk-SK"/>
              </w:rPr>
            </w:pPr>
            <w:r w:rsidRPr="00AB26B3">
              <w:rPr>
                <w:noProof/>
                <w:spacing w:val="-6"/>
                <w:lang w:val="sk-SK"/>
              </w:rPr>
              <w:t>Stavebné práce vykonané na úseku diaľnice E-65 Trikala – Egnatia potrebné na fungovanie diaľnice</w:t>
            </w:r>
          </w:p>
        </w:tc>
        <w:tc>
          <w:tcPr>
            <w:tcW w:w="1230" w:type="dxa"/>
            <w:tcBorders>
              <w:top w:val="nil"/>
              <w:left w:val="nil"/>
              <w:bottom w:val="single" w:sz="4" w:space="0" w:color="auto"/>
              <w:right w:val="single" w:sz="4" w:space="0" w:color="auto"/>
            </w:tcBorders>
            <w:shd w:val="clear" w:color="auto" w:fill="C6EFCE"/>
            <w:noWrap/>
            <w:hideMark/>
          </w:tcPr>
          <w:p w14:paraId="26BD1F0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hideMark/>
          </w:tcPr>
          <w:p w14:paraId="405BF46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46" w:type="dxa"/>
            <w:tcBorders>
              <w:top w:val="nil"/>
              <w:left w:val="nil"/>
              <w:bottom w:val="single" w:sz="4" w:space="0" w:color="auto"/>
              <w:right w:val="single" w:sz="4" w:space="0" w:color="auto"/>
            </w:tcBorders>
            <w:shd w:val="clear" w:color="auto" w:fill="C6EFCE"/>
            <w:noWrap/>
            <w:hideMark/>
          </w:tcPr>
          <w:p w14:paraId="22BC21B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40" w:type="dxa"/>
            <w:tcBorders>
              <w:top w:val="nil"/>
              <w:left w:val="nil"/>
              <w:bottom w:val="single" w:sz="4" w:space="0" w:color="auto"/>
              <w:right w:val="single" w:sz="4" w:space="0" w:color="auto"/>
            </w:tcBorders>
            <w:shd w:val="clear" w:color="auto" w:fill="C6EFCE"/>
            <w:noWrap/>
            <w:hideMark/>
          </w:tcPr>
          <w:p w14:paraId="2665F41F"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ŠTVRTÝ ŠTVRŤROK</w:t>
            </w:r>
          </w:p>
        </w:tc>
        <w:tc>
          <w:tcPr>
            <w:tcW w:w="1096" w:type="dxa"/>
            <w:tcBorders>
              <w:top w:val="nil"/>
              <w:left w:val="nil"/>
              <w:bottom w:val="single" w:sz="4" w:space="0" w:color="auto"/>
              <w:right w:val="single" w:sz="4" w:space="0" w:color="auto"/>
            </w:tcBorders>
            <w:shd w:val="clear" w:color="auto" w:fill="C6EFCE"/>
            <w:noWrap/>
            <w:hideMark/>
          </w:tcPr>
          <w:p w14:paraId="30531B29"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2025</w:t>
            </w:r>
          </w:p>
        </w:tc>
        <w:tc>
          <w:tcPr>
            <w:tcW w:w="3600" w:type="dxa"/>
            <w:tcBorders>
              <w:top w:val="nil"/>
              <w:left w:val="nil"/>
              <w:bottom w:val="single" w:sz="4" w:space="0" w:color="auto"/>
              <w:right w:val="single" w:sz="4" w:space="0" w:color="auto"/>
            </w:tcBorders>
            <w:shd w:val="clear" w:color="auto" w:fill="C6EFCE"/>
            <w:noWrap/>
            <w:hideMark/>
          </w:tcPr>
          <w:p w14:paraId="314375E1" w14:textId="42279438" w:rsidR="00302FC1" w:rsidRPr="00AB26B3" w:rsidRDefault="00D64F26">
            <w:pPr>
              <w:pStyle w:val="P68B1DB1-Normal24"/>
              <w:spacing w:after="0" w:line="240" w:lineRule="auto"/>
              <w:rPr>
                <w:noProof/>
                <w:spacing w:val="-6"/>
                <w:lang w:val="sk-SK"/>
              </w:rPr>
            </w:pPr>
            <w:r w:rsidRPr="00AB26B3">
              <w:rPr>
                <w:noProof/>
                <w:spacing w:val="-6"/>
                <w:lang w:val="sk-SK"/>
              </w:rPr>
              <w:t>Stavebné práce vykonané na úseku diaľnice E-65 Trikala – Egnatia potrebné na fungovanie diaľnice.</w:t>
            </w:r>
          </w:p>
        </w:tc>
      </w:tr>
    </w:tbl>
    <w:p w14:paraId="28FD1FAF" w14:textId="77777777" w:rsidR="00302FC1" w:rsidRPr="00AB26B3" w:rsidRDefault="00D64F26">
      <w:pPr>
        <w:pStyle w:val="P68B1DB1-Normal9"/>
        <w:keepNext/>
        <w:keepLines/>
        <w:spacing w:before="240" w:after="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Hlavná investícia 7: Zvýšenie bezpečnosti cestnej premávky</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680"/>
        <w:gridCol w:w="1080"/>
        <w:gridCol w:w="1200"/>
        <w:gridCol w:w="1560"/>
        <w:gridCol w:w="1200"/>
        <w:gridCol w:w="960"/>
        <w:gridCol w:w="960"/>
        <w:gridCol w:w="1440"/>
        <w:gridCol w:w="1080"/>
        <w:gridCol w:w="3578"/>
      </w:tblGrid>
      <w:tr w:rsidR="00302FC1" w:rsidRPr="00AB26B3" w14:paraId="27D1DB64" w14:textId="77777777">
        <w:trPr>
          <w:trHeight w:val="835"/>
          <w:tblHeader/>
        </w:trPr>
        <w:tc>
          <w:tcPr>
            <w:tcW w:w="600" w:type="dxa"/>
            <w:vMerge w:val="restart"/>
            <w:shd w:val="clear" w:color="auto" w:fill="BDD7EE"/>
            <w:vAlign w:val="center"/>
            <w:hideMark/>
          </w:tcPr>
          <w:p w14:paraId="11B541E3" w14:textId="5564821B"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 xml:space="preserve">A nasl. </w:t>
            </w:r>
            <w:r w:rsidRPr="00AB26B3">
              <w:rPr>
                <w:noProof/>
                <w:spacing w:val="-6"/>
                <w:lang w:val="sk-SK"/>
              </w:rPr>
              <w:br/>
              <w:t>Nie.</w:t>
            </w:r>
          </w:p>
        </w:tc>
        <w:tc>
          <w:tcPr>
            <w:tcW w:w="1680" w:type="dxa"/>
            <w:vMerge w:val="restart"/>
            <w:shd w:val="clear" w:color="auto" w:fill="BDD7EE"/>
            <w:vAlign w:val="center"/>
            <w:hideMark/>
          </w:tcPr>
          <w:p w14:paraId="71AD559D" w14:textId="4DCE034F"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Súvisiace opatrenie </w:t>
            </w:r>
            <w:r w:rsidRPr="00AB26B3">
              <w:rPr>
                <w:noProof/>
                <w:spacing w:val="-6"/>
                <w:lang w:val="sk-SK"/>
              </w:rPr>
              <w:br/>
              <w:t>(Reforma alebo investícia)</w:t>
            </w:r>
          </w:p>
        </w:tc>
        <w:tc>
          <w:tcPr>
            <w:tcW w:w="1080" w:type="dxa"/>
            <w:vMerge w:val="restart"/>
            <w:shd w:val="clear" w:color="auto" w:fill="BDD7EE"/>
            <w:vAlign w:val="center"/>
            <w:hideMark/>
          </w:tcPr>
          <w:p w14:paraId="21BA5210"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Míľnik/cieľ</w:t>
            </w:r>
          </w:p>
        </w:tc>
        <w:tc>
          <w:tcPr>
            <w:tcW w:w="1200" w:type="dxa"/>
            <w:vMerge w:val="restart"/>
            <w:shd w:val="clear" w:color="auto" w:fill="BDD7EE"/>
            <w:vAlign w:val="center"/>
            <w:hideMark/>
          </w:tcPr>
          <w:p w14:paraId="03EAE431"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Názov</w:t>
            </w:r>
          </w:p>
        </w:tc>
        <w:tc>
          <w:tcPr>
            <w:tcW w:w="1560" w:type="dxa"/>
            <w:vMerge w:val="restart"/>
            <w:shd w:val="clear" w:color="auto" w:fill="BDD7EE"/>
            <w:vAlign w:val="center"/>
            <w:hideMark/>
          </w:tcPr>
          <w:p w14:paraId="6540DE00"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Kvalitatívne ukazovatele (pre míľniky)</w:t>
            </w:r>
          </w:p>
        </w:tc>
        <w:tc>
          <w:tcPr>
            <w:tcW w:w="3120" w:type="dxa"/>
            <w:gridSpan w:val="3"/>
            <w:shd w:val="clear" w:color="auto" w:fill="BDD7EE"/>
            <w:vAlign w:val="center"/>
            <w:hideMark/>
          </w:tcPr>
          <w:p w14:paraId="04919AAB" w14:textId="4A7911A9"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Kvantitatívne ukazovatele (pre ciele)</w:t>
            </w:r>
          </w:p>
        </w:tc>
        <w:tc>
          <w:tcPr>
            <w:tcW w:w="2520" w:type="dxa"/>
            <w:gridSpan w:val="2"/>
            <w:shd w:val="clear" w:color="auto" w:fill="BDD7EE"/>
            <w:vAlign w:val="center"/>
            <w:hideMark/>
          </w:tcPr>
          <w:p w14:paraId="60E73E7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Orientačný harmonogram dokončenia </w:t>
            </w:r>
          </w:p>
        </w:tc>
        <w:tc>
          <w:tcPr>
            <w:tcW w:w="3578" w:type="dxa"/>
            <w:vMerge w:val="restart"/>
            <w:shd w:val="clear" w:color="auto" w:fill="BDD7EE"/>
            <w:vAlign w:val="center"/>
            <w:hideMark/>
          </w:tcPr>
          <w:p w14:paraId="2254BC8B" w14:textId="564681D6"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6D14B848" w14:textId="77777777">
        <w:trPr>
          <w:trHeight w:val="594"/>
          <w:tblHeader/>
        </w:trPr>
        <w:tc>
          <w:tcPr>
            <w:tcW w:w="600" w:type="dxa"/>
            <w:vMerge/>
            <w:vAlign w:val="center"/>
            <w:hideMark/>
          </w:tcPr>
          <w:p w14:paraId="38DA5C5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80" w:type="dxa"/>
            <w:vMerge/>
            <w:vAlign w:val="center"/>
            <w:hideMark/>
          </w:tcPr>
          <w:p w14:paraId="2C14C38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80" w:type="dxa"/>
            <w:vMerge/>
            <w:vAlign w:val="center"/>
            <w:hideMark/>
          </w:tcPr>
          <w:p w14:paraId="339EEB8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0" w:type="dxa"/>
            <w:vMerge/>
            <w:vAlign w:val="center"/>
            <w:hideMark/>
          </w:tcPr>
          <w:p w14:paraId="72BED58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60" w:type="dxa"/>
            <w:vMerge/>
            <w:vAlign w:val="center"/>
            <w:hideMark/>
          </w:tcPr>
          <w:p w14:paraId="1E11EE4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0" w:type="dxa"/>
            <w:shd w:val="clear" w:color="auto" w:fill="BDD7EE"/>
            <w:vAlign w:val="center"/>
            <w:hideMark/>
          </w:tcPr>
          <w:p w14:paraId="30EE5AEE"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960" w:type="dxa"/>
            <w:shd w:val="clear" w:color="auto" w:fill="BDD7EE"/>
            <w:vAlign w:val="center"/>
            <w:hideMark/>
          </w:tcPr>
          <w:p w14:paraId="43232717"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960" w:type="dxa"/>
            <w:shd w:val="clear" w:color="auto" w:fill="BDD7EE"/>
            <w:vAlign w:val="center"/>
            <w:hideMark/>
          </w:tcPr>
          <w:p w14:paraId="369F73E6"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1440" w:type="dxa"/>
            <w:shd w:val="clear" w:color="auto" w:fill="BDD7EE"/>
            <w:vAlign w:val="center"/>
            <w:hideMark/>
          </w:tcPr>
          <w:p w14:paraId="1E2E1087"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1080" w:type="dxa"/>
            <w:shd w:val="clear" w:color="auto" w:fill="BDD7EE"/>
            <w:vAlign w:val="center"/>
            <w:hideMark/>
          </w:tcPr>
          <w:p w14:paraId="683CD9F1"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3578" w:type="dxa"/>
            <w:vMerge/>
            <w:vAlign w:val="center"/>
            <w:hideMark/>
          </w:tcPr>
          <w:p w14:paraId="0181D6A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7C06E5C8" w14:textId="77777777">
        <w:trPr>
          <w:trHeight w:val="313"/>
        </w:trPr>
        <w:tc>
          <w:tcPr>
            <w:tcW w:w="600" w:type="dxa"/>
            <w:shd w:val="clear" w:color="auto" w:fill="C6EFCE"/>
            <w:noWrap/>
          </w:tcPr>
          <w:p w14:paraId="4EEE866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257</w:t>
            </w:r>
          </w:p>
        </w:tc>
        <w:tc>
          <w:tcPr>
            <w:tcW w:w="1680" w:type="dxa"/>
            <w:shd w:val="clear" w:color="auto" w:fill="C6EFCE"/>
            <w:noWrap/>
          </w:tcPr>
          <w:p w14:paraId="2FA750DF" w14:textId="2F4DA98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16631_Zlepšenie bezpečnosti cestnej premávky</w:t>
            </w:r>
          </w:p>
        </w:tc>
        <w:tc>
          <w:tcPr>
            <w:tcW w:w="1080" w:type="dxa"/>
            <w:shd w:val="clear" w:color="auto" w:fill="C6EFCE"/>
            <w:noWrap/>
          </w:tcPr>
          <w:p w14:paraId="40D655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0" w:type="dxa"/>
            <w:shd w:val="clear" w:color="auto" w:fill="C6EFCE"/>
            <w:noWrap/>
          </w:tcPr>
          <w:p w14:paraId="79AD1EED" w14:textId="5F5C202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w:t>
            </w:r>
            <w:r w:rsidR="00AB26B3" w:rsidRPr="00AB26B3">
              <w:rPr>
                <w:noProof/>
                <w:spacing w:val="-6"/>
                <w:lang w:val="sk-SK"/>
              </w:rPr>
              <w:t xml:space="preserve"> v </w:t>
            </w:r>
            <w:r w:rsidRPr="00AB26B3">
              <w:rPr>
                <w:noProof/>
                <w:spacing w:val="-6"/>
                <w:lang w:val="sk-SK"/>
              </w:rPr>
              <w:t>oblasti bezpečnosti cestnej premávky – prvý súbor zákaziek</w:t>
            </w:r>
          </w:p>
        </w:tc>
        <w:tc>
          <w:tcPr>
            <w:tcW w:w="1560" w:type="dxa"/>
            <w:shd w:val="clear" w:color="auto" w:fill="C6EFCE"/>
            <w:noWrap/>
          </w:tcPr>
          <w:p w14:paraId="01885267" w14:textId="5CC7FA8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 pre najmenej 2300 lokalít.</w:t>
            </w:r>
          </w:p>
        </w:tc>
        <w:tc>
          <w:tcPr>
            <w:tcW w:w="1200" w:type="dxa"/>
            <w:shd w:val="clear" w:color="auto" w:fill="C6EFCE"/>
            <w:noWrap/>
          </w:tcPr>
          <w:p w14:paraId="65CDE6E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271FE93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0E4291E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40" w:type="dxa"/>
            <w:shd w:val="clear" w:color="auto" w:fill="C6EFCE"/>
            <w:noWrap/>
          </w:tcPr>
          <w:p w14:paraId="2AE3801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1080" w:type="dxa"/>
            <w:shd w:val="clear" w:color="auto" w:fill="C6EFCE"/>
            <w:noWrap/>
          </w:tcPr>
          <w:p w14:paraId="74B4D46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578" w:type="dxa"/>
            <w:shd w:val="clear" w:color="auto" w:fill="C6EFCE"/>
            <w:noWrap/>
          </w:tcPr>
          <w:p w14:paraId="5845778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Zákazky zadávané pre najmenej 2300 miest, ktoré zabezpečujú a) zlepšenie bezpečnosti cestnej premávky ako súčasť programu na zlepšenie bezpečnosti cestnej premávky (PEVOA) na približne 7000 nebezpečných miestach; b) menšie zlepšenia pre zvyšných 2 500 km</w:t>
            </w:r>
          </w:p>
        </w:tc>
      </w:tr>
      <w:tr w:rsidR="00302FC1" w:rsidRPr="00AB26B3" w14:paraId="2E981D74" w14:textId="77777777">
        <w:trPr>
          <w:trHeight w:val="313"/>
        </w:trPr>
        <w:tc>
          <w:tcPr>
            <w:tcW w:w="600" w:type="dxa"/>
            <w:shd w:val="clear" w:color="auto" w:fill="C6EFCE"/>
            <w:noWrap/>
          </w:tcPr>
          <w:p w14:paraId="2FAA19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258</w:t>
            </w:r>
          </w:p>
        </w:tc>
        <w:tc>
          <w:tcPr>
            <w:tcW w:w="1680" w:type="dxa"/>
            <w:shd w:val="clear" w:color="auto" w:fill="C6EFCE"/>
            <w:noWrap/>
          </w:tcPr>
          <w:p w14:paraId="2BB06A4B" w14:textId="7835E53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16631_Zlepšenie bezpečnosti cestnej premávky</w:t>
            </w:r>
          </w:p>
        </w:tc>
        <w:tc>
          <w:tcPr>
            <w:tcW w:w="1080" w:type="dxa"/>
            <w:shd w:val="clear" w:color="auto" w:fill="C6EFCE"/>
            <w:noWrap/>
          </w:tcPr>
          <w:p w14:paraId="29EA7B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0" w:type="dxa"/>
            <w:shd w:val="clear" w:color="auto" w:fill="C6EFCE"/>
            <w:noWrap/>
          </w:tcPr>
          <w:p w14:paraId="2396057E" w14:textId="6BE22D8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w:t>
            </w:r>
            <w:r w:rsidR="00AB26B3" w:rsidRPr="00AB26B3">
              <w:rPr>
                <w:noProof/>
                <w:spacing w:val="-6"/>
                <w:lang w:val="sk-SK"/>
              </w:rPr>
              <w:t xml:space="preserve"> v </w:t>
            </w:r>
            <w:r w:rsidRPr="00AB26B3">
              <w:rPr>
                <w:noProof/>
                <w:spacing w:val="-6"/>
                <w:lang w:val="sk-SK"/>
              </w:rPr>
              <w:t>oblasti bezpečnosti cestnej premávky – všetky zákazky</w:t>
            </w:r>
          </w:p>
        </w:tc>
        <w:tc>
          <w:tcPr>
            <w:tcW w:w="1560" w:type="dxa"/>
            <w:shd w:val="clear" w:color="auto" w:fill="C6EFCE"/>
            <w:noWrap/>
          </w:tcPr>
          <w:p w14:paraId="4D5D6E1E" w14:textId="7D2C4A4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100</w:t>
            </w:r>
            <w:r w:rsidR="00AB26B3" w:rsidRPr="00AB26B3">
              <w:rPr>
                <w:noProof/>
                <w:spacing w:val="-6"/>
                <w:lang w:val="sk-SK"/>
              </w:rPr>
              <w:t> %</w:t>
            </w:r>
            <w:r w:rsidRPr="00AB26B3">
              <w:rPr>
                <w:noProof/>
                <w:spacing w:val="-6"/>
                <w:lang w:val="sk-SK"/>
              </w:rPr>
              <w:t xml:space="preserve"> zákaziek</w:t>
            </w:r>
          </w:p>
        </w:tc>
        <w:tc>
          <w:tcPr>
            <w:tcW w:w="1200" w:type="dxa"/>
            <w:shd w:val="clear" w:color="auto" w:fill="C6EFCE"/>
            <w:noWrap/>
          </w:tcPr>
          <w:p w14:paraId="1456495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4D4883A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shd w:val="clear" w:color="auto" w:fill="C6EFCE"/>
            <w:noWrap/>
          </w:tcPr>
          <w:p w14:paraId="71EF202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440" w:type="dxa"/>
            <w:shd w:val="clear" w:color="auto" w:fill="C6EFCE"/>
            <w:noWrap/>
          </w:tcPr>
          <w:p w14:paraId="7DB0DEB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1080" w:type="dxa"/>
            <w:shd w:val="clear" w:color="auto" w:fill="C6EFCE"/>
            <w:noWrap/>
          </w:tcPr>
          <w:p w14:paraId="055C0F6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578" w:type="dxa"/>
            <w:shd w:val="clear" w:color="auto" w:fill="C6EFCE"/>
            <w:noWrap/>
          </w:tcPr>
          <w:p w14:paraId="37C8D4CA" w14:textId="68C6EB4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Zákazky zadávané na a) zlepšenie bezpečnosti cestnej premávky na najmenej 7780 nebezpečných miestach; b) inteligentná osvetľovacia infraštruktúra na 31938 pólov</w:t>
            </w:r>
          </w:p>
        </w:tc>
      </w:tr>
      <w:tr w:rsidR="00302FC1" w:rsidRPr="00AB26B3" w14:paraId="4E50BF77" w14:textId="77777777">
        <w:trPr>
          <w:trHeight w:val="313"/>
        </w:trPr>
        <w:tc>
          <w:tcPr>
            <w:tcW w:w="600" w:type="dxa"/>
            <w:shd w:val="clear" w:color="auto" w:fill="C6EFCE"/>
            <w:noWrap/>
            <w:hideMark/>
          </w:tcPr>
          <w:p w14:paraId="1CAEBD57" w14:textId="77777777" w:rsidR="00302FC1" w:rsidRPr="00AB26B3" w:rsidRDefault="00D64F26">
            <w:pPr>
              <w:pStyle w:val="P68B1DB1-Normal12"/>
              <w:spacing w:after="0" w:line="240" w:lineRule="auto"/>
              <w:rPr>
                <w:noProof/>
                <w:spacing w:val="-6"/>
                <w:lang w:val="sk-SK"/>
              </w:rPr>
            </w:pPr>
            <w:r w:rsidRPr="00AB26B3">
              <w:rPr>
                <w:noProof/>
                <w:spacing w:val="-6"/>
                <w:lang w:val="sk-SK"/>
              </w:rPr>
              <w:t>259</w:t>
            </w:r>
          </w:p>
          <w:p w14:paraId="76A2700B" w14:textId="77777777" w:rsidR="00302FC1" w:rsidRPr="00AB26B3" w:rsidRDefault="00302FC1">
            <w:pPr>
              <w:rPr>
                <w:rFonts w:ascii="Times New Roman" w:eastAsia="Times New Roman" w:hAnsi="Times New Roman" w:cs="Times New Roman"/>
                <w:noProof/>
                <w:spacing w:val="-6"/>
                <w:sz w:val="18"/>
                <w:szCs w:val="18"/>
                <w:lang w:val="sk-SK"/>
              </w:rPr>
            </w:pPr>
          </w:p>
        </w:tc>
        <w:tc>
          <w:tcPr>
            <w:tcW w:w="1680" w:type="dxa"/>
            <w:shd w:val="clear" w:color="auto" w:fill="C6EFCE"/>
            <w:noWrap/>
            <w:hideMark/>
          </w:tcPr>
          <w:p w14:paraId="50B1541A" w14:textId="071AB2D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16631_Zlepšenie bezpečnosti cestnej premávky</w:t>
            </w:r>
          </w:p>
        </w:tc>
        <w:tc>
          <w:tcPr>
            <w:tcW w:w="1080" w:type="dxa"/>
            <w:shd w:val="clear" w:color="auto" w:fill="C6EFCE"/>
            <w:noWrap/>
            <w:hideMark/>
          </w:tcPr>
          <w:p w14:paraId="3DF437E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0" w:type="dxa"/>
            <w:shd w:val="clear" w:color="auto" w:fill="C6EFCE"/>
            <w:noWrap/>
            <w:hideMark/>
          </w:tcPr>
          <w:p w14:paraId="5D112CD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projektu bezpečnosti cestnej premávky</w:t>
            </w:r>
          </w:p>
        </w:tc>
        <w:tc>
          <w:tcPr>
            <w:tcW w:w="1560" w:type="dxa"/>
            <w:shd w:val="clear" w:color="auto" w:fill="C6EFCE"/>
            <w:noWrap/>
            <w:hideMark/>
          </w:tcPr>
          <w:p w14:paraId="76F266CE" w14:textId="5E06E717" w:rsidR="00302FC1" w:rsidRPr="00AB26B3" w:rsidRDefault="00D64F26">
            <w:pPr>
              <w:pStyle w:val="P68B1DB1-Normal24"/>
              <w:spacing w:after="0" w:line="240" w:lineRule="auto"/>
              <w:rPr>
                <w:noProof/>
                <w:spacing w:val="-6"/>
                <w:highlight w:val="yellow"/>
                <w:lang w:val="sk-SK"/>
              </w:rPr>
            </w:pPr>
            <w:r w:rsidRPr="00AB26B3">
              <w:rPr>
                <w:noProof/>
                <w:spacing w:val="-6"/>
                <w:lang w:val="sk-SK"/>
              </w:rPr>
              <w:t>Vykonané zásahy na nebezpečných miestach</w:t>
            </w:r>
            <w:r w:rsidR="00AB26B3" w:rsidRPr="00AB26B3">
              <w:rPr>
                <w:noProof/>
                <w:spacing w:val="-6"/>
                <w:lang w:val="sk-SK"/>
              </w:rPr>
              <w:t xml:space="preserve"> a </w:t>
            </w:r>
            <w:r w:rsidRPr="00AB26B3">
              <w:rPr>
                <w:noProof/>
                <w:spacing w:val="-6"/>
                <w:lang w:val="sk-SK"/>
              </w:rPr>
              <w:t>nainštalované osvetľovacie stĺpy</w:t>
            </w:r>
          </w:p>
        </w:tc>
        <w:tc>
          <w:tcPr>
            <w:tcW w:w="1200" w:type="dxa"/>
            <w:shd w:val="clear" w:color="auto" w:fill="C6EFCE"/>
            <w:noWrap/>
            <w:hideMark/>
          </w:tcPr>
          <w:p w14:paraId="4C5EF53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960" w:type="dxa"/>
            <w:shd w:val="clear" w:color="auto" w:fill="C6EFCE"/>
            <w:noWrap/>
            <w:hideMark/>
          </w:tcPr>
          <w:p w14:paraId="71F1BC3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960" w:type="dxa"/>
            <w:shd w:val="clear" w:color="auto" w:fill="C6EFCE"/>
            <w:noWrap/>
            <w:hideMark/>
          </w:tcPr>
          <w:p w14:paraId="61CE21C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1440" w:type="dxa"/>
            <w:shd w:val="clear" w:color="auto" w:fill="C6EFCE"/>
            <w:noWrap/>
            <w:hideMark/>
          </w:tcPr>
          <w:p w14:paraId="3BF3D30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 </w:t>
            </w:r>
          </w:p>
        </w:tc>
        <w:tc>
          <w:tcPr>
            <w:tcW w:w="1080" w:type="dxa"/>
            <w:shd w:val="clear" w:color="auto" w:fill="C6EFCE"/>
            <w:noWrap/>
            <w:hideMark/>
          </w:tcPr>
          <w:p w14:paraId="13F44CD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578" w:type="dxa"/>
            <w:shd w:val="clear" w:color="auto" w:fill="C6EFCE"/>
            <w:noWrap/>
            <w:hideMark/>
          </w:tcPr>
          <w:p w14:paraId="1E340FD9" w14:textId="56B8175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 vykonané zásahy aspoň na 8693 nebezpečných miestach; b) nainštalovaných 31938 inteligentne vedených osvetľovacích stĺpov</w:t>
            </w:r>
          </w:p>
        </w:tc>
      </w:tr>
    </w:tbl>
    <w:p w14:paraId="0ACE0496" w14:textId="3FAF32A7" w:rsidR="00302FC1" w:rsidRPr="00AB26B3" w:rsidRDefault="00D64F26">
      <w:pPr>
        <w:pStyle w:val="P68B1DB1-Normal9"/>
        <w:keepNext/>
        <w:keepLines/>
        <w:spacing w:before="240" w:after="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Hlavná investícia 8: Severná diaľnica</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Kréte (Β.Ο.Α.Κ.)</w:t>
      </w:r>
    </w:p>
    <w:tbl>
      <w:tblPr>
        <w:tblW w:w="15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680"/>
        <w:gridCol w:w="1080"/>
        <w:gridCol w:w="1299"/>
        <w:gridCol w:w="1461"/>
        <w:gridCol w:w="1374"/>
        <w:gridCol w:w="1249"/>
        <w:gridCol w:w="587"/>
        <w:gridCol w:w="1350"/>
        <w:gridCol w:w="1166"/>
        <w:gridCol w:w="3582"/>
      </w:tblGrid>
      <w:tr w:rsidR="00302FC1" w:rsidRPr="00AB26B3" w14:paraId="75D2E942" w14:textId="77777777">
        <w:trPr>
          <w:trHeight w:val="939"/>
          <w:tblHeader/>
          <w:jc w:val="center"/>
        </w:trPr>
        <w:tc>
          <w:tcPr>
            <w:tcW w:w="566" w:type="dxa"/>
            <w:vMerge w:val="restart"/>
            <w:shd w:val="clear" w:color="auto" w:fill="BDD7EE"/>
            <w:vAlign w:val="center"/>
            <w:hideMark/>
          </w:tcPr>
          <w:p w14:paraId="1C92A57E" w14:textId="6C641E1C"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A nasl. Nie.</w:t>
            </w:r>
          </w:p>
        </w:tc>
        <w:tc>
          <w:tcPr>
            <w:tcW w:w="1680" w:type="dxa"/>
            <w:vMerge w:val="restart"/>
            <w:shd w:val="clear" w:color="auto" w:fill="BDD7EE"/>
            <w:vAlign w:val="center"/>
            <w:hideMark/>
          </w:tcPr>
          <w:p w14:paraId="40E392B0"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Súvisiace opatrenie (reforma alebo investícia)</w:t>
            </w:r>
          </w:p>
        </w:tc>
        <w:tc>
          <w:tcPr>
            <w:tcW w:w="1080" w:type="dxa"/>
            <w:vMerge w:val="restart"/>
            <w:shd w:val="clear" w:color="auto" w:fill="BDD7EE"/>
            <w:vAlign w:val="center"/>
            <w:hideMark/>
          </w:tcPr>
          <w:p w14:paraId="757F4173"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Míľnik/cieľ</w:t>
            </w:r>
          </w:p>
        </w:tc>
        <w:tc>
          <w:tcPr>
            <w:tcW w:w="1299" w:type="dxa"/>
            <w:vMerge w:val="restart"/>
            <w:shd w:val="clear" w:color="auto" w:fill="BDD7EE"/>
            <w:vAlign w:val="center"/>
            <w:hideMark/>
          </w:tcPr>
          <w:p w14:paraId="2DFEDEF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Názov</w:t>
            </w:r>
          </w:p>
        </w:tc>
        <w:tc>
          <w:tcPr>
            <w:tcW w:w="1461" w:type="dxa"/>
            <w:vMerge w:val="restart"/>
            <w:shd w:val="clear" w:color="auto" w:fill="BDD7EE"/>
            <w:vAlign w:val="center"/>
            <w:hideMark/>
          </w:tcPr>
          <w:p w14:paraId="25BCDC96" w14:textId="7CE5E00E"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Kvalitatívne ukazovatele (pre míľniky)</w:t>
            </w:r>
          </w:p>
        </w:tc>
        <w:tc>
          <w:tcPr>
            <w:tcW w:w="3210" w:type="dxa"/>
            <w:gridSpan w:val="3"/>
            <w:shd w:val="clear" w:color="auto" w:fill="BDD7EE"/>
            <w:vAlign w:val="center"/>
            <w:hideMark/>
          </w:tcPr>
          <w:p w14:paraId="59673012" w14:textId="28092546"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Kvantitatívne ukazovatele (pre ciele)</w:t>
            </w:r>
          </w:p>
        </w:tc>
        <w:tc>
          <w:tcPr>
            <w:tcW w:w="2516" w:type="dxa"/>
            <w:gridSpan w:val="2"/>
            <w:shd w:val="clear" w:color="auto" w:fill="BDD7EE"/>
            <w:vAlign w:val="center"/>
            <w:hideMark/>
          </w:tcPr>
          <w:p w14:paraId="66AC0A9D"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Orientačný harmonogram dokončenia </w:t>
            </w:r>
          </w:p>
        </w:tc>
        <w:tc>
          <w:tcPr>
            <w:tcW w:w="3582" w:type="dxa"/>
            <w:vMerge w:val="restart"/>
            <w:shd w:val="clear" w:color="auto" w:fill="BDD7EE"/>
            <w:vAlign w:val="center"/>
            <w:hideMark/>
          </w:tcPr>
          <w:p w14:paraId="71200E56" w14:textId="21C8191F"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151CCC69" w14:textId="77777777">
        <w:trPr>
          <w:trHeight w:val="431"/>
          <w:tblHeader/>
          <w:jc w:val="center"/>
        </w:trPr>
        <w:tc>
          <w:tcPr>
            <w:tcW w:w="566" w:type="dxa"/>
            <w:vMerge/>
            <w:vAlign w:val="center"/>
            <w:hideMark/>
          </w:tcPr>
          <w:p w14:paraId="374B781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80" w:type="dxa"/>
            <w:vMerge/>
            <w:vAlign w:val="center"/>
            <w:hideMark/>
          </w:tcPr>
          <w:p w14:paraId="654B18F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80" w:type="dxa"/>
            <w:vMerge/>
            <w:vAlign w:val="center"/>
            <w:hideMark/>
          </w:tcPr>
          <w:p w14:paraId="0D08C8C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99" w:type="dxa"/>
            <w:vMerge/>
            <w:vAlign w:val="center"/>
            <w:hideMark/>
          </w:tcPr>
          <w:p w14:paraId="250BD52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461" w:type="dxa"/>
            <w:vMerge/>
            <w:vAlign w:val="center"/>
            <w:hideMark/>
          </w:tcPr>
          <w:p w14:paraId="51FD4F5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74" w:type="dxa"/>
            <w:shd w:val="clear" w:color="auto" w:fill="BDD7EE"/>
            <w:vAlign w:val="center"/>
            <w:hideMark/>
          </w:tcPr>
          <w:p w14:paraId="7DD8FD4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1249" w:type="dxa"/>
            <w:shd w:val="clear" w:color="auto" w:fill="BDD7EE"/>
            <w:vAlign w:val="center"/>
            <w:hideMark/>
          </w:tcPr>
          <w:p w14:paraId="0879ED6F"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587" w:type="dxa"/>
            <w:shd w:val="clear" w:color="auto" w:fill="BDD7EE"/>
            <w:vAlign w:val="center"/>
            <w:hideMark/>
          </w:tcPr>
          <w:p w14:paraId="48965E04"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1350" w:type="dxa"/>
            <w:shd w:val="clear" w:color="auto" w:fill="BDD7EE"/>
            <w:vAlign w:val="center"/>
            <w:hideMark/>
          </w:tcPr>
          <w:p w14:paraId="4BA19D1D"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1166" w:type="dxa"/>
            <w:shd w:val="clear" w:color="auto" w:fill="BDD7EE"/>
            <w:vAlign w:val="center"/>
            <w:hideMark/>
          </w:tcPr>
          <w:p w14:paraId="12153D53"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3582" w:type="dxa"/>
            <w:vMerge/>
            <w:vAlign w:val="center"/>
            <w:hideMark/>
          </w:tcPr>
          <w:p w14:paraId="53DE602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479EAD66" w14:textId="77777777">
        <w:trPr>
          <w:trHeight w:val="1766"/>
          <w:jc w:val="center"/>
        </w:trPr>
        <w:tc>
          <w:tcPr>
            <w:tcW w:w="566" w:type="dxa"/>
            <w:shd w:val="clear" w:color="auto" w:fill="C6EFCE"/>
            <w:noWrap/>
          </w:tcPr>
          <w:p w14:paraId="0CDA89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260</w:t>
            </w:r>
          </w:p>
        </w:tc>
        <w:tc>
          <w:tcPr>
            <w:tcW w:w="1680" w:type="dxa"/>
            <w:shd w:val="clear" w:color="auto" w:fill="C6EFCE"/>
            <w:noWrap/>
          </w:tcPr>
          <w:p w14:paraId="36E347AB" w14:textId="6CA64B5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16630_Cretan Northern Highway (Β.Ο.Α.Κ.)</w:t>
            </w:r>
          </w:p>
        </w:tc>
        <w:tc>
          <w:tcPr>
            <w:tcW w:w="1080" w:type="dxa"/>
            <w:shd w:val="clear" w:color="auto" w:fill="C6EFCE"/>
            <w:noWrap/>
          </w:tcPr>
          <w:p w14:paraId="4841387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99" w:type="dxa"/>
            <w:shd w:val="clear" w:color="auto" w:fill="C6EFCE"/>
            <w:noWrap/>
          </w:tcPr>
          <w:p w14:paraId="091F58A4" w14:textId="75C632B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 na tri podprojekty spoločnosti BOAK</w:t>
            </w:r>
          </w:p>
        </w:tc>
        <w:tc>
          <w:tcPr>
            <w:tcW w:w="1461" w:type="dxa"/>
            <w:shd w:val="clear" w:color="auto" w:fill="C6EFCE"/>
            <w:noWrap/>
          </w:tcPr>
          <w:p w14:paraId="12983C49" w14:textId="77B7C82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1374" w:type="dxa"/>
            <w:shd w:val="clear" w:color="auto" w:fill="C6EFCE"/>
            <w:noWrap/>
          </w:tcPr>
          <w:p w14:paraId="754D728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49" w:type="dxa"/>
            <w:shd w:val="clear" w:color="auto" w:fill="C6EFCE"/>
            <w:noWrap/>
          </w:tcPr>
          <w:p w14:paraId="373016E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tcPr>
          <w:p w14:paraId="4AEBCF5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50" w:type="dxa"/>
            <w:shd w:val="clear" w:color="auto" w:fill="C6EFCE"/>
            <w:noWrap/>
          </w:tcPr>
          <w:p w14:paraId="537F4A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1166" w:type="dxa"/>
            <w:shd w:val="clear" w:color="auto" w:fill="C6EFCE"/>
            <w:noWrap/>
          </w:tcPr>
          <w:p w14:paraId="5558F16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582" w:type="dxa"/>
            <w:shd w:val="clear" w:color="auto" w:fill="C6EFCE"/>
            <w:noWrap/>
          </w:tcPr>
          <w:p w14:paraId="5032CAE6" w14:textId="6B79947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 na a) koncesnú zmluvu; b) verejno-súkromné partnerstvo;</w:t>
            </w:r>
            <w:r w:rsidR="00AB26B3" w:rsidRPr="00AB26B3">
              <w:rPr>
                <w:noProof/>
                <w:spacing w:val="-6"/>
                <w:lang w:val="sk-SK"/>
              </w:rPr>
              <w:t xml:space="preserve"> a </w:t>
            </w:r>
            <w:r w:rsidRPr="00AB26B3">
              <w:rPr>
                <w:noProof/>
                <w:spacing w:val="-6"/>
                <w:lang w:val="sk-SK"/>
              </w:rPr>
              <w:t>c) verejné práce.</w:t>
            </w:r>
          </w:p>
        </w:tc>
      </w:tr>
      <w:tr w:rsidR="00302FC1" w:rsidRPr="00AB26B3" w14:paraId="232A35C7" w14:textId="77777777">
        <w:trPr>
          <w:trHeight w:val="313"/>
          <w:jc w:val="center"/>
        </w:trPr>
        <w:tc>
          <w:tcPr>
            <w:tcW w:w="566" w:type="dxa"/>
            <w:shd w:val="clear" w:color="auto" w:fill="C6EFCE"/>
            <w:noWrap/>
            <w:hideMark/>
          </w:tcPr>
          <w:p w14:paraId="2D6F05B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262</w:t>
            </w:r>
          </w:p>
        </w:tc>
        <w:tc>
          <w:tcPr>
            <w:tcW w:w="1680" w:type="dxa"/>
            <w:shd w:val="clear" w:color="auto" w:fill="C6EFCE"/>
            <w:noWrap/>
            <w:hideMark/>
          </w:tcPr>
          <w:p w14:paraId="173AE0ED" w14:textId="246CAD2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16630_Cretan Northern Highway (Β.Ο.Α.Κ.)</w:t>
            </w:r>
          </w:p>
        </w:tc>
        <w:tc>
          <w:tcPr>
            <w:tcW w:w="1080" w:type="dxa"/>
            <w:shd w:val="clear" w:color="auto" w:fill="C6EFCE"/>
            <w:noWrap/>
            <w:hideMark/>
          </w:tcPr>
          <w:p w14:paraId="48D3945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99" w:type="dxa"/>
            <w:shd w:val="clear" w:color="auto" w:fill="C6EFCE"/>
            <w:noWrap/>
            <w:hideMark/>
          </w:tcPr>
          <w:p w14:paraId="77EF19A2" w14:textId="733E390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Vykonané práce financované</w:t>
            </w:r>
            <w:r w:rsidR="00AB26B3" w:rsidRPr="00AB26B3">
              <w:rPr>
                <w:noProof/>
                <w:spacing w:val="-6"/>
                <w:lang w:val="sk-SK"/>
              </w:rPr>
              <w:t xml:space="preserve"> z </w:t>
            </w:r>
            <w:r w:rsidRPr="00AB26B3">
              <w:rPr>
                <w:noProof/>
                <w:spacing w:val="-6"/>
                <w:lang w:val="sk-SK"/>
              </w:rPr>
              <w:t>Mechanizmu na podporu obnovy</w:t>
            </w:r>
            <w:r w:rsidR="00AB26B3" w:rsidRPr="00AB26B3">
              <w:rPr>
                <w:noProof/>
                <w:spacing w:val="-6"/>
                <w:lang w:val="sk-SK"/>
              </w:rPr>
              <w:t xml:space="preserve"> a </w:t>
            </w:r>
            <w:r w:rsidRPr="00AB26B3">
              <w:rPr>
                <w:noProof/>
                <w:spacing w:val="-6"/>
                <w:lang w:val="sk-SK"/>
              </w:rPr>
              <w:t>odolnosti</w:t>
            </w:r>
          </w:p>
        </w:tc>
        <w:tc>
          <w:tcPr>
            <w:tcW w:w="1461" w:type="dxa"/>
            <w:shd w:val="clear" w:color="auto" w:fill="C6EFCE"/>
            <w:noWrap/>
            <w:hideMark/>
          </w:tcPr>
          <w:p w14:paraId="2AB74CFF" w14:textId="4D8FB6B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Preddefinované práce vykonané na úsekoch Chania-Heraklion</w:t>
            </w:r>
            <w:r w:rsidR="00AB26B3" w:rsidRPr="00AB26B3">
              <w:rPr>
                <w:noProof/>
                <w:spacing w:val="-6"/>
                <w:lang w:val="sk-SK"/>
              </w:rPr>
              <w:t xml:space="preserve"> a </w:t>
            </w:r>
            <w:r w:rsidRPr="00AB26B3">
              <w:rPr>
                <w:noProof/>
                <w:spacing w:val="-6"/>
                <w:lang w:val="sk-SK"/>
              </w:rPr>
              <w:t xml:space="preserve">Neapolis-Agios Nikolaos </w:t>
            </w:r>
          </w:p>
        </w:tc>
        <w:tc>
          <w:tcPr>
            <w:tcW w:w="1374" w:type="dxa"/>
            <w:shd w:val="clear" w:color="auto" w:fill="C6EFCE"/>
            <w:noWrap/>
            <w:hideMark/>
          </w:tcPr>
          <w:p w14:paraId="551190E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49" w:type="dxa"/>
            <w:shd w:val="clear" w:color="auto" w:fill="C6EFCE"/>
            <w:noWrap/>
            <w:hideMark/>
          </w:tcPr>
          <w:p w14:paraId="1DF0C59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hideMark/>
          </w:tcPr>
          <w:p w14:paraId="38D8D2E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50" w:type="dxa"/>
            <w:shd w:val="clear" w:color="auto" w:fill="C6EFCE"/>
            <w:noWrap/>
            <w:hideMark/>
          </w:tcPr>
          <w:p w14:paraId="711F9F5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1166" w:type="dxa"/>
            <w:shd w:val="clear" w:color="auto" w:fill="C6EFCE"/>
            <w:noWrap/>
            <w:hideMark/>
          </w:tcPr>
          <w:p w14:paraId="65319C8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582" w:type="dxa"/>
            <w:shd w:val="clear" w:color="auto" w:fill="C6EFCE"/>
            <w:noWrap/>
            <w:hideMark/>
          </w:tcPr>
          <w:p w14:paraId="3B4E0C75" w14:textId="5528AE7D" w:rsidR="00302FC1" w:rsidRPr="00AB26B3" w:rsidRDefault="00D64F26">
            <w:pPr>
              <w:pStyle w:val="P68B1DB1-Normal12"/>
              <w:spacing w:after="0" w:line="240" w:lineRule="auto"/>
              <w:rPr>
                <w:noProof/>
                <w:spacing w:val="-6"/>
                <w:lang w:val="sk-SK"/>
              </w:rPr>
            </w:pPr>
            <w:r w:rsidRPr="00AB26B3">
              <w:rPr>
                <w:noProof/>
                <w:spacing w:val="-6"/>
                <w:lang w:val="sk-SK"/>
              </w:rPr>
              <w:t>Tretí podprojekt (Neapolis-Agios Nikolaos): úsek od konca obchvatu Neapoli po začiatok vybudovaného obchvatu Agios Nikolaos (reťazec 1+ 800 až po reťaz 12+ 000).</w:t>
            </w:r>
          </w:p>
          <w:p w14:paraId="3C40A731"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175ACF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 prípade prvého podprojektu (Chania-Heraklion) sa vykonali tieto práce:</w:t>
            </w:r>
          </w:p>
          <w:p w14:paraId="11DB27C1" w14:textId="6C9B1754" w:rsidR="00302FC1" w:rsidRPr="00AB26B3" w:rsidRDefault="00D64F26">
            <w:pPr>
              <w:pStyle w:val="P68B1DB1-Normal12"/>
              <w:spacing w:after="0" w:line="240" w:lineRule="auto"/>
              <w:rPr>
                <w:noProof/>
                <w:spacing w:val="-6"/>
                <w:lang w:val="sk-SK"/>
              </w:rPr>
            </w:pPr>
            <w:r w:rsidRPr="00AB26B3">
              <w:rPr>
                <w:noProof/>
                <w:spacing w:val="-6"/>
                <w:lang w:val="sk-SK"/>
              </w:rPr>
              <w:t>1. Všetky práce na existujúcich obchvatoch</w:t>
            </w:r>
            <w:r w:rsidR="00AB26B3" w:rsidRPr="00AB26B3">
              <w:rPr>
                <w:noProof/>
                <w:spacing w:val="-6"/>
                <w:lang w:val="sk-SK"/>
              </w:rPr>
              <w:t xml:space="preserve"> s </w:t>
            </w:r>
            <w:r w:rsidRPr="00AB26B3">
              <w:rPr>
                <w:noProof/>
                <w:spacing w:val="-6"/>
                <w:lang w:val="sk-SK"/>
              </w:rPr>
              <w:t>výnimkou elektromechanických inštalácií (ako sú osvetľovacie stĺpy diaľnic, reflexné značky, napájacie káble):</w:t>
            </w:r>
          </w:p>
          <w:p w14:paraId="1F90E4AB" w14:textId="77777777" w:rsidR="00302FC1" w:rsidRPr="00AB26B3" w:rsidRDefault="00D64F26">
            <w:pPr>
              <w:pStyle w:val="P68B1DB1-Normal12"/>
              <w:spacing w:after="0" w:line="240" w:lineRule="auto"/>
              <w:rPr>
                <w:noProof/>
                <w:spacing w:val="-6"/>
                <w:lang w:val="sk-SK"/>
              </w:rPr>
            </w:pPr>
            <w:r w:rsidRPr="00AB26B3">
              <w:rPr>
                <w:noProof/>
                <w:spacing w:val="-6"/>
                <w:lang w:val="sk-SK"/>
              </w:rPr>
              <w:t>a) obchvat Chania (1Y,2Y), dĺžka úsekov: 8,0 km,</w:t>
            </w:r>
          </w:p>
          <w:p w14:paraId="2F5DE3D9" w14:textId="77777777" w:rsidR="00AB26B3" w:rsidRPr="00AB26B3" w:rsidRDefault="00D64F26">
            <w:pPr>
              <w:pStyle w:val="P68B1DB1-Normal12"/>
              <w:spacing w:after="0" w:line="240" w:lineRule="auto"/>
              <w:rPr>
                <w:noProof/>
                <w:spacing w:val="-6"/>
                <w:lang w:val="sk-SK"/>
              </w:rPr>
            </w:pPr>
            <w:r w:rsidRPr="00AB26B3">
              <w:rPr>
                <w:noProof/>
                <w:spacing w:val="-6"/>
                <w:lang w:val="sk-SK"/>
              </w:rPr>
              <w:t>b) obchvat Rethymnon (10Y,11Y), dĺžka úsekov: 6,8 km</w:t>
            </w:r>
            <w:r w:rsidR="00AB26B3" w:rsidRPr="00AB26B3">
              <w:rPr>
                <w:noProof/>
                <w:spacing w:val="-6"/>
                <w:lang w:val="sk-SK"/>
              </w:rPr>
              <w:t xml:space="preserve"> a</w:t>
            </w:r>
          </w:p>
          <w:p w14:paraId="5675E3B4" w14:textId="4F313F80" w:rsidR="00AB26B3" w:rsidRPr="00AB26B3" w:rsidRDefault="00D64F26">
            <w:pPr>
              <w:pStyle w:val="P68B1DB1-Normal12"/>
              <w:spacing w:after="0" w:line="240" w:lineRule="auto"/>
              <w:rPr>
                <w:noProof/>
                <w:spacing w:val="-6"/>
                <w:lang w:val="sk-SK"/>
              </w:rPr>
            </w:pPr>
            <w:r w:rsidRPr="00AB26B3">
              <w:rPr>
                <w:noProof/>
                <w:spacing w:val="-6"/>
                <w:lang w:val="sk-SK"/>
              </w:rPr>
              <w:t>C) Obchvat Heraklion (23Y), dĺžka rezu: 8,5 km</w:t>
            </w:r>
            <w:r w:rsidR="00AB26B3" w:rsidRPr="00AB26B3">
              <w:rPr>
                <w:noProof/>
                <w:spacing w:val="-6"/>
                <w:lang w:val="sk-SK"/>
              </w:rPr>
              <w:t>.</w:t>
            </w:r>
          </w:p>
          <w:p w14:paraId="1C792F1D" w14:textId="3D36536D" w:rsidR="00302FC1" w:rsidRPr="00AB26B3" w:rsidRDefault="00D64F26">
            <w:pPr>
              <w:pStyle w:val="P68B1DB1-Normal12"/>
              <w:spacing w:after="0" w:line="240" w:lineRule="auto"/>
              <w:rPr>
                <w:noProof/>
                <w:spacing w:val="-6"/>
                <w:lang w:val="sk-SK"/>
              </w:rPr>
            </w:pPr>
            <w:r w:rsidRPr="00AB26B3">
              <w:rPr>
                <w:noProof/>
                <w:spacing w:val="-6"/>
                <w:lang w:val="sk-SK"/>
              </w:rPr>
              <w:t>Práce</w:t>
            </w:r>
            <w:r w:rsidR="00AB26B3" w:rsidRPr="00AB26B3">
              <w:rPr>
                <w:noProof/>
                <w:spacing w:val="-6"/>
                <w:lang w:val="sk-SK"/>
              </w:rPr>
              <w:t xml:space="preserve"> v </w:t>
            </w:r>
            <w:r w:rsidRPr="00AB26B3">
              <w:rPr>
                <w:noProof/>
                <w:spacing w:val="-6"/>
                <w:lang w:val="sk-SK"/>
              </w:rPr>
              <w:t>zemepisnej jednotke 23Y nezahŕňajú výstavbu tunela Kako Oros.</w:t>
            </w:r>
          </w:p>
          <w:p w14:paraId="70113962" w14:textId="616909AA" w:rsidR="00302FC1" w:rsidRPr="00AB26B3" w:rsidRDefault="00D64F26">
            <w:pPr>
              <w:pStyle w:val="P68B1DB1-Normal12"/>
              <w:spacing w:after="0" w:line="240" w:lineRule="auto"/>
              <w:rPr>
                <w:noProof/>
                <w:spacing w:val="-6"/>
                <w:lang w:val="sk-SK"/>
              </w:rPr>
            </w:pPr>
            <w:r w:rsidRPr="00AB26B3">
              <w:rPr>
                <w:noProof/>
                <w:spacing w:val="-6"/>
                <w:lang w:val="sk-SK"/>
              </w:rPr>
              <w:t>2. Výkopové práce</w:t>
            </w:r>
            <w:r w:rsidR="00AB26B3" w:rsidRPr="00AB26B3">
              <w:rPr>
                <w:noProof/>
                <w:spacing w:val="-6"/>
                <w:lang w:val="sk-SK"/>
              </w:rPr>
              <w:t xml:space="preserve"> a </w:t>
            </w:r>
            <w:r w:rsidRPr="00AB26B3">
              <w:rPr>
                <w:noProof/>
                <w:spacing w:val="-6"/>
                <w:lang w:val="sk-SK"/>
              </w:rPr>
              <w:t>dočasné podporné práce</w:t>
            </w:r>
            <w:r w:rsidR="00AB26B3" w:rsidRPr="00AB26B3">
              <w:rPr>
                <w:noProof/>
                <w:spacing w:val="-6"/>
                <w:lang w:val="sk-SK"/>
              </w:rPr>
              <w:t xml:space="preserve"> v </w:t>
            </w:r>
            <w:r w:rsidRPr="00AB26B3">
              <w:rPr>
                <w:noProof/>
                <w:spacing w:val="-6"/>
                <w:lang w:val="sk-SK"/>
              </w:rPr>
              <w:t>celkovej dĺžke 600 m</w:t>
            </w:r>
            <w:r w:rsidR="00AB26B3" w:rsidRPr="00AB26B3">
              <w:rPr>
                <w:noProof/>
                <w:spacing w:val="-6"/>
                <w:lang w:val="sk-SK"/>
              </w:rPr>
              <w:t xml:space="preserve"> v </w:t>
            </w:r>
            <w:r w:rsidRPr="00AB26B3">
              <w:rPr>
                <w:noProof/>
                <w:spacing w:val="-6"/>
                <w:lang w:val="sk-SK"/>
              </w:rPr>
              <w:t>tuneli T1 (sekcia Souda – Vrisses, pododdiel 4N, I/C Plataniou – I/C Eastern Apteros).</w:t>
            </w:r>
          </w:p>
          <w:p w14:paraId="4A39B6E4" w14:textId="558D83C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Intervencie</w:t>
            </w:r>
            <w:r w:rsidR="00AB26B3" w:rsidRPr="00AB26B3">
              <w:rPr>
                <w:noProof/>
                <w:spacing w:val="-6"/>
                <w:lang w:val="sk-SK"/>
              </w:rPr>
              <w:t xml:space="preserve"> v </w:t>
            </w:r>
            <w:r w:rsidRPr="00AB26B3">
              <w:rPr>
                <w:noProof/>
                <w:spacing w:val="-6"/>
                <w:lang w:val="sk-SK"/>
              </w:rPr>
              <w:t>oblasti bezpečnosti cestnej premávky na 280 miestach.</w:t>
            </w:r>
          </w:p>
        </w:tc>
      </w:tr>
      <w:tr w:rsidR="00302FC1" w:rsidRPr="00AB26B3" w14:paraId="72DF42C7" w14:textId="77777777">
        <w:trPr>
          <w:trHeight w:val="313"/>
          <w:jc w:val="center"/>
        </w:trPr>
        <w:tc>
          <w:tcPr>
            <w:tcW w:w="566" w:type="dxa"/>
            <w:shd w:val="clear" w:color="auto" w:fill="C6EFCE"/>
            <w:noWrap/>
          </w:tcPr>
          <w:p w14:paraId="255DCAD1" w14:textId="77777777" w:rsidR="00302FC1" w:rsidRPr="00AB26B3" w:rsidRDefault="00D64F26">
            <w:pPr>
              <w:pStyle w:val="P68B1DB1-Normal12"/>
              <w:spacing w:after="0" w:line="240" w:lineRule="auto"/>
              <w:rPr>
                <w:noProof/>
                <w:spacing w:val="-6"/>
                <w:lang w:val="sk-SK"/>
              </w:rPr>
            </w:pPr>
            <w:r w:rsidRPr="00AB26B3">
              <w:rPr>
                <w:noProof/>
                <w:spacing w:val="-6"/>
                <w:lang w:val="sk-SK"/>
              </w:rPr>
              <w:t>262a</w:t>
            </w:r>
          </w:p>
        </w:tc>
        <w:tc>
          <w:tcPr>
            <w:tcW w:w="1680" w:type="dxa"/>
            <w:shd w:val="clear" w:color="auto" w:fill="C6EFCE"/>
            <w:noWrap/>
          </w:tcPr>
          <w:p w14:paraId="1A3A7E42" w14:textId="677ECBBE" w:rsidR="00302FC1" w:rsidRPr="00AB26B3" w:rsidRDefault="00D64F26">
            <w:pPr>
              <w:pStyle w:val="P68B1DB1-Normal12"/>
              <w:spacing w:after="0" w:line="240" w:lineRule="auto"/>
              <w:rPr>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16630_Cretan Northern Highway (Β.Ο.Α.Κ.)</w:t>
            </w:r>
          </w:p>
        </w:tc>
        <w:tc>
          <w:tcPr>
            <w:tcW w:w="1080" w:type="dxa"/>
            <w:shd w:val="clear" w:color="auto" w:fill="C6EFCE"/>
            <w:noWrap/>
          </w:tcPr>
          <w:p w14:paraId="510A64A5"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299" w:type="dxa"/>
            <w:shd w:val="clear" w:color="auto" w:fill="C6EFCE"/>
            <w:noWrap/>
          </w:tcPr>
          <w:p w14:paraId="16C3F066" w14:textId="713EA0A2" w:rsidR="00302FC1" w:rsidRPr="00AB26B3" w:rsidRDefault="00D64F26">
            <w:pPr>
              <w:pStyle w:val="P68B1DB1-Normal12"/>
              <w:spacing w:after="0" w:line="240" w:lineRule="auto"/>
              <w:rPr>
                <w:noProof/>
                <w:spacing w:val="-6"/>
                <w:lang w:val="sk-SK"/>
              </w:rPr>
            </w:pPr>
            <w:r w:rsidRPr="00AB26B3">
              <w:rPr>
                <w:noProof/>
                <w:spacing w:val="-6"/>
                <w:lang w:val="sk-SK"/>
              </w:rPr>
              <w:t>Vykonané práce financované</w:t>
            </w:r>
            <w:r w:rsidR="00AB26B3" w:rsidRPr="00AB26B3">
              <w:rPr>
                <w:noProof/>
                <w:spacing w:val="-6"/>
                <w:lang w:val="sk-SK"/>
              </w:rPr>
              <w:t xml:space="preserve"> z </w:t>
            </w:r>
            <w:r w:rsidRPr="00AB26B3">
              <w:rPr>
                <w:noProof/>
                <w:spacing w:val="-6"/>
                <w:lang w:val="sk-SK"/>
              </w:rPr>
              <w:t>Mechanizmu na podporu obnovy</w:t>
            </w:r>
            <w:r w:rsidR="00AB26B3" w:rsidRPr="00AB26B3">
              <w:rPr>
                <w:noProof/>
                <w:spacing w:val="-6"/>
                <w:lang w:val="sk-SK"/>
              </w:rPr>
              <w:t xml:space="preserve"> a </w:t>
            </w:r>
            <w:r w:rsidRPr="00AB26B3">
              <w:rPr>
                <w:noProof/>
                <w:spacing w:val="-6"/>
                <w:lang w:val="sk-SK"/>
              </w:rPr>
              <w:t>odolnosti</w:t>
            </w:r>
          </w:p>
        </w:tc>
        <w:tc>
          <w:tcPr>
            <w:tcW w:w="1461" w:type="dxa"/>
            <w:shd w:val="clear" w:color="auto" w:fill="C6EFCE"/>
            <w:noWrap/>
          </w:tcPr>
          <w:p w14:paraId="75EA4674" w14:textId="77777777" w:rsidR="00302FC1" w:rsidRPr="00AB26B3" w:rsidRDefault="00D64F26">
            <w:pPr>
              <w:pStyle w:val="P68B1DB1-Normal12"/>
              <w:spacing w:after="0" w:line="240" w:lineRule="auto"/>
              <w:rPr>
                <w:noProof/>
                <w:spacing w:val="-6"/>
                <w:lang w:val="sk-SK"/>
              </w:rPr>
            </w:pPr>
            <w:r w:rsidRPr="00AB26B3">
              <w:rPr>
                <w:noProof/>
                <w:spacing w:val="-6"/>
                <w:lang w:val="sk-SK"/>
              </w:rPr>
              <w:t>Preddefinované práce vykonané na úseku Hersonisos – Neapolis</w:t>
            </w:r>
          </w:p>
        </w:tc>
        <w:tc>
          <w:tcPr>
            <w:tcW w:w="1374" w:type="dxa"/>
            <w:shd w:val="clear" w:color="auto" w:fill="C6EFCE"/>
            <w:noWrap/>
          </w:tcPr>
          <w:p w14:paraId="379DC25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49" w:type="dxa"/>
            <w:shd w:val="clear" w:color="auto" w:fill="C6EFCE"/>
            <w:noWrap/>
          </w:tcPr>
          <w:p w14:paraId="3A3509D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tcPr>
          <w:p w14:paraId="1FC6C06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50" w:type="dxa"/>
            <w:shd w:val="clear" w:color="auto" w:fill="C6EFCE"/>
            <w:noWrap/>
          </w:tcPr>
          <w:p w14:paraId="26D07767" w14:textId="77777777"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1166" w:type="dxa"/>
            <w:shd w:val="clear" w:color="auto" w:fill="C6EFCE"/>
            <w:noWrap/>
          </w:tcPr>
          <w:p w14:paraId="26817C8B" w14:textId="77777777"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3582" w:type="dxa"/>
            <w:shd w:val="clear" w:color="auto" w:fill="C6EFCE"/>
            <w:noWrap/>
          </w:tcPr>
          <w:p w14:paraId="509396F8" w14:textId="6878C024" w:rsidR="00302FC1" w:rsidRPr="00AB26B3" w:rsidRDefault="00D64F26">
            <w:pPr>
              <w:pStyle w:val="P68B1DB1-Normal12"/>
              <w:spacing w:after="0" w:line="240" w:lineRule="auto"/>
              <w:rPr>
                <w:noProof/>
                <w:spacing w:val="-6"/>
                <w:lang w:val="sk-SK"/>
              </w:rPr>
            </w:pPr>
            <w:r w:rsidRPr="00AB26B3">
              <w:rPr>
                <w:noProof/>
                <w:spacing w:val="-6"/>
                <w:lang w:val="sk-SK"/>
              </w:rPr>
              <w:t>Druhý čiastkový projekt (Hersonisos – Neapolis): vykonané tieto práce:</w:t>
            </w:r>
          </w:p>
          <w:p w14:paraId="491383F5" w14:textId="0358D954" w:rsidR="00302FC1" w:rsidRPr="00AB26B3" w:rsidRDefault="00D64F26">
            <w:pPr>
              <w:pStyle w:val="P68B1DB1-Normal12"/>
              <w:spacing w:after="0" w:line="240" w:lineRule="auto"/>
              <w:rPr>
                <w:noProof/>
                <w:spacing w:val="-6"/>
                <w:lang w:val="sk-SK"/>
              </w:rPr>
            </w:pPr>
            <w:r w:rsidRPr="00AB26B3">
              <w:rPr>
                <w:noProof/>
                <w:spacing w:val="-6"/>
                <w:lang w:val="sk-SK"/>
              </w:rPr>
              <w:t>a) všetky návrhy</w:t>
            </w:r>
            <w:r w:rsidR="00AB26B3" w:rsidRPr="00AB26B3">
              <w:rPr>
                <w:noProof/>
                <w:spacing w:val="-6"/>
                <w:lang w:val="sk-SK"/>
              </w:rPr>
              <w:t xml:space="preserve"> a </w:t>
            </w:r>
            <w:r w:rsidRPr="00AB26B3">
              <w:rPr>
                <w:noProof/>
                <w:spacing w:val="-6"/>
                <w:lang w:val="sk-SK"/>
              </w:rPr>
              <w:t>skúmania týkajúce sa podprojektu,</w:t>
            </w:r>
          </w:p>
          <w:p w14:paraId="0CBA1C02" w14:textId="25EEEDE1" w:rsidR="00302FC1" w:rsidRPr="00AB26B3" w:rsidRDefault="00D64F26">
            <w:pPr>
              <w:pStyle w:val="P68B1DB1-Normal12"/>
              <w:spacing w:after="0" w:line="240" w:lineRule="auto"/>
              <w:rPr>
                <w:noProof/>
                <w:spacing w:val="-6"/>
                <w:lang w:val="sk-SK"/>
              </w:rPr>
            </w:pPr>
            <w:r w:rsidRPr="00AB26B3">
              <w:rPr>
                <w:noProof/>
                <w:spacing w:val="-6"/>
                <w:lang w:val="sk-SK"/>
              </w:rPr>
              <w:t>b) fáza A</w:t>
            </w:r>
            <w:r w:rsidR="00AB26B3" w:rsidRPr="00AB26B3">
              <w:rPr>
                <w:noProof/>
                <w:spacing w:val="-6"/>
                <w:lang w:val="sk-SK"/>
              </w:rPr>
              <w:t xml:space="preserve"> a </w:t>
            </w:r>
            <w:r w:rsidRPr="00AB26B3">
              <w:rPr>
                <w:noProof/>
                <w:spacing w:val="-6"/>
                <w:lang w:val="sk-SK"/>
              </w:rPr>
              <w:t>fáza B výkopových prác</w:t>
            </w:r>
            <w:r w:rsidR="00AB26B3" w:rsidRPr="00AB26B3">
              <w:rPr>
                <w:noProof/>
                <w:spacing w:val="-6"/>
                <w:lang w:val="sk-SK"/>
              </w:rPr>
              <w:t xml:space="preserve"> a </w:t>
            </w:r>
            <w:r w:rsidRPr="00AB26B3">
              <w:rPr>
                <w:noProof/>
                <w:spacing w:val="-6"/>
                <w:lang w:val="sk-SK"/>
              </w:rPr>
              <w:t>dočasných podporných prác</w:t>
            </w:r>
            <w:r w:rsidR="00AB26B3" w:rsidRPr="00AB26B3">
              <w:rPr>
                <w:noProof/>
                <w:spacing w:val="-6"/>
                <w:lang w:val="sk-SK"/>
              </w:rPr>
              <w:t xml:space="preserve"> v </w:t>
            </w:r>
            <w:r w:rsidRPr="00AB26B3">
              <w:rPr>
                <w:noProof/>
                <w:spacing w:val="-6"/>
                <w:lang w:val="sk-SK"/>
              </w:rPr>
              <w:t>tuneloch T1</w:t>
            </w:r>
            <w:r w:rsidR="00AB26B3" w:rsidRPr="00AB26B3">
              <w:rPr>
                <w:noProof/>
                <w:spacing w:val="-6"/>
                <w:lang w:val="sk-SK"/>
              </w:rPr>
              <w:t xml:space="preserve"> a </w:t>
            </w:r>
            <w:r w:rsidRPr="00AB26B3">
              <w:rPr>
                <w:noProof/>
                <w:spacing w:val="-6"/>
                <w:lang w:val="sk-SK"/>
              </w:rPr>
              <w:t>T2,</w:t>
            </w:r>
          </w:p>
          <w:p w14:paraId="261AF2BF" w14:textId="0AD562BD" w:rsidR="00302FC1" w:rsidRPr="00AB26B3" w:rsidRDefault="00D64F26">
            <w:pPr>
              <w:pStyle w:val="P68B1DB1-Normal12"/>
              <w:spacing w:after="0" w:line="240" w:lineRule="auto"/>
              <w:rPr>
                <w:noProof/>
                <w:spacing w:val="-6"/>
                <w:lang w:val="sk-SK"/>
              </w:rPr>
            </w:pPr>
            <w:r w:rsidRPr="00AB26B3">
              <w:rPr>
                <w:noProof/>
                <w:spacing w:val="-6"/>
                <w:lang w:val="sk-SK"/>
              </w:rPr>
              <w:t>C) most C6.</w:t>
            </w:r>
          </w:p>
        </w:tc>
      </w:tr>
    </w:tbl>
    <w:p w14:paraId="7A11D1BD" w14:textId="77777777" w:rsidR="00302FC1" w:rsidRPr="00AB26B3" w:rsidRDefault="00302FC1">
      <w:pPr>
        <w:spacing w:before="120" w:after="0" w:line="240" w:lineRule="auto"/>
        <w:jc w:val="both"/>
        <w:rPr>
          <w:rFonts w:ascii="Times New Roman" w:hAnsi="Times New Roman" w:cs="Times New Roman"/>
          <w:noProof/>
          <w:spacing w:val="-6"/>
          <w:sz w:val="24"/>
          <w:lang w:val="sk-SK"/>
        </w:rPr>
      </w:pPr>
    </w:p>
    <w:p w14:paraId="18A82CD5" w14:textId="77777777" w:rsidR="00302FC1" w:rsidRPr="00AB26B3" w:rsidRDefault="00D64F26">
      <w:pPr>
        <w:pStyle w:val="P68B1DB1-Normal31"/>
        <w:rPr>
          <w:noProof/>
          <w:spacing w:val="-6"/>
          <w:lang w:val="sk-SK"/>
        </w:rPr>
      </w:pPr>
      <w:r w:rsidRPr="00AB26B3">
        <w:rPr>
          <w:noProof/>
          <w:spacing w:val="-6"/>
          <w:lang w:val="sk-SK"/>
        </w:rPr>
        <w:br w:type="page"/>
      </w:r>
    </w:p>
    <w:p w14:paraId="06CCB3E2" w14:textId="77777777"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24: Infraštruktúra</w:t>
      </w:r>
    </w:p>
    <w:p w14:paraId="6B10F94D" w14:textId="77777777" w:rsidR="00302FC1" w:rsidRPr="00AB26B3" w:rsidRDefault="00D64F26">
      <w:pPr>
        <w:pStyle w:val="P68B1DB1-Normal47"/>
        <w:spacing w:after="0" w:line="240" w:lineRule="auto"/>
        <w:rPr>
          <w:rFonts w:cs="Times New Roman"/>
          <w:noProof/>
          <w:spacing w:val="-6"/>
          <w:sz w:val="28"/>
          <w:szCs w:val="28"/>
          <w:lang w:val="sk-SK"/>
        </w:rPr>
      </w:pPr>
      <w:r w:rsidRPr="00AB26B3">
        <w:rPr>
          <w:noProof/>
          <w:spacing w:val="-6"/>
          <w:lang w:val="sk-SK"/>
        </w:rPr>
        <w:t>Podskupina 1 (digitálna transformácia)</w:t>
      </w:r>
    </w:p>
    <w:p w14:paraId="0538FDAE" w14:textId="608A3676" w:rsidR="00302FC1" w:rsidRPr="00AB26B3" w:rsidRDefault="00D64F26">
      <w:pPr>
        <w:pStyle w:val="P68B1DB1-Normal48"/>
        <w:numPr>
          <w:ilvl w:val="0"/>
          <w:numId w:val="75"/>
        </w:numPr>
        <w:spacing w:before="120" w:after="0" w:line="240" w:lineRule="auto"/>
        <w:jc w:val="both"/>
        <w:rPr>
          <w:rFonts w:cs="Times New Roman"/>
          <w:noProof/>
          <w:spacing w:val="-6"/>
          <w:lang w:val="sk-SK"/>
        </w:rPr>
      </w:pPr>
      <w:r w:rsidRPr="00AB26B3">
        <w:rPr>
          <w:noProof/>
          <w:spacing w:val="-6"/>
          <w:lang w:val="sk-SK"/>
        </w:rPr>
        <w:t>Inteligentná infraštruktúra</w:t>
      </w:r>
      <w:r w:rsidR="00AB26B3" w:rsidRPr="00AB26B3">
        <w:rPr>
          <w:noProof/>
          <w:spacing w:val="-6"/>
          <w:lang w:val="sk-SK"/>
        </w:rPr>
        <w:t xml:space="preserve"> s </w:t>
      </w:r>
      <w:r w:rsidRPr="00AB26B3">
        <w:rPr>
          <w:noProof/>
          <w:spacing w:val="-6"/>
          <w:lang w:val="sk-SK"/>
        </w:rPr>
        <w:t>environmentálnym</w:t>
      </w:r>
      <w:r w:rsidR="00AB26B3" w:rsidRPr="00AB26B3">
        <w:rPr>
          <w:noProof/>
          <w:spacing w:val="-6"/>
          <w:lang w:val="sk-SK"/>
        </w:rPr>
        <w:t xml:space="preserve"> a </w:t>
      </w:r>
      <w:r w:rsidRPr="00AB26B3">
        <w:rPr>
          <w:noProof/>
          <w:spacing w:val="-6"/>
          <w:lang w:val="sk-SK"/>
        </w:rPr>
        <w:t>kultúrnym zameraním (ID: 16960)</w:t>
      </w:r>
    </w:p>
    <w:p w14:paraId="7668B5AE" w14:textId="77777777" w:rsidR="00302FC1" w:rsidRPr="00AB26B3" w:rsidRDefault="00D64F26">
      <w:pPr>
        <w:pStyle w:val="P68B1DB1-Normal48"/>
        <w:numPr>
          <w:ilvl w:val="0"/>
          <w:numId w:val="75"/>
        </w:numPr>
        <w:spacing w:before="120" w:after="0" w:line="240" w:lineRule="auto"/>
        <w:jc w:val="both"/>
        <w:rPr>
          <w:rFonts w:cs="Times New Roman"/>
          <w:noProof/>
          <w:spacing w:val="-6"/>
          <w:lang w:val="sk-SK"/>
        </w:rPr>
      </w:pPr>
      <w:r w:rsidRPr="00AB26B3">
        <w:rPr>
          <w:noProof/>
          <w:spacing w:val="-6"/>
          <w:lang w:val="sk-SK"/>
        </w:rPr>
        <w:t>Inteligentné mosty (ID: 16949)</w:t>
      </w:r>
    </w:p>
    <w:p w14:paraId="2A0EBA44" w14:textId="1DFFBD5C" w:rsidR="00302FC1" w:rsidRPr="00AB26B3" w:rsidRDefault="00D64F26">
      <w:pPr>
        <w:pStyle w:val="P68B1DB1-Normal48"/>
        <w:numPr>
          <w:ilvl w:val="0"/>
          <w:numId w:val="75"/>
        </w:numPr>
        <w:spacing w:before="120" w:after="0" w:line="240" w:lineRule="auto"/>
        <w:ind w:left="714" w:hanging="357"/>
        <w:jc w:val="both"/>
        <w:rPr>
          <w:rFonts w:cs="Times New Roman"/>
          <w:noProof/>
          <w:spacing w:val="-6"/>
          <w:lang w:val="sk-SK"/>
        </w:rPr>
      </w:pPr>
      <w:r w:rsidRPr="00AB26B3">
        <w:rPr>
          <w:noProof/>
          <w:spacing w:val="-6"/>
          <w:lang w:val="sk-SK"/>
        </w:rPr>
        <w:t>Zjednodušenie postupov ministerstva infraštruktúry</w:t>
      </w:r>
      <w:r w:rsidR="00AB26B3" w:rsidRPr="00AB26B3">
        <w:rPr>
          <w:noProof/>
          <w:spacing w:val="-6"/>
          <w:lang w:val="sk-SK"/>
        </w:rPr>
        <w:t xml:space="preserve"> a </w:t>
      </w:r>
      <w:r w:rsidRPr="00AB26B3">
        <w:rPr>
          <w:noProof/>
          <w:spacing w:val="-6"/>
          <w:lang w:val="sk-SK"/>
        </w:rPr>
        <w:t>dopravy (ID: 16786)</w:t>
      </w:r>
    </w:p>
    <w:p w14:paraId="120C8578" w14:textId="12CEE514" w:rsidR="00302FC1" w:rsidRPr="00AB26B3" w:rsidRDefault="00D64F26">
      <w:pPr>
        <w:pStyle w:val="P68B1DB1-Normal48"/>
        <w:numPr>
          <w:ilvl w:val="0"/>
          <w:numId w:val="75"/>
        </w:numPr>
        <w:spacing w:before="120" w:after="120" w:line="240" w:lineRule="auto"/>
        <w:jc w:val="both"/>
        <w:rPr>
          <w:rFonts w:cs="Times New Roman"/>
          <w:noProof/>
          <w:spacing w:val="-6"/>
          <w:lang w:val="sk-SK"/>
        </w:rPr>
      </w:pPr>
      <w:r w:rsidRPr="00AB26B3">
        <w:rPr>
          <w:noProof/>
          <w:spacing w:val="-6"/>
          <w:lang w:val="sk-SK"/>
        </w:rPr>
        <w:t>Digitálny integrovaný systém riadenia programov na správu technických prác</w:t>
      </w:r>
      <w:r w:rsidR="00AB26B3" w:rsidRPr="00AB26B3">
        <w:rPr>
          <w:noProof/>
          <w:spacing w:val="-6"/>
          <w:lang w:val="sk-SK"/>
        </w:rPr>
        <w:t xml:space="preserve"> a </w:t>
      </w:r>
      <w:r w:rsidRPr="00AB26B3">
        <w:rPr>
          <w:noProof/>
          <w:spacing w:val="-6"/>
          <w:lang w:val="sk-SK"/>
        </w:rPr>
        <w:t>štrukturálnych aktív ministerstva infraštruktúry</w:t>
      </w:r>
      <w:r w:rsidR="00AB26B3" w:rsidRPr="00AB26B3">
        <w:rPr>
          <w:noProof/>
          <w:spacing w:val="-6"/>
          <w:lang w:val="sk-SK"/>
        </w:rPr>
        <w:t xml:space="preserve"> a </w:t>
      </w:r>
      <w:r w:rsidRPr="00AB26B3">
        <w:rPr>
          <w:noProof/>
          <w:spacing w:val="-6"/>
          <w:lang w:val="sk-SK"/>
        </w:rPr>
        <w:t>dopravy (ID:16937)</w:t>
      </w:r>
    </w:p>
    <w:p w14:paraId="0568FA01" w14:textId="229DC3C4" w:rsidR="00302FC1" w:rsidRPr="00AB26B3" w:rsidRDefault="00D64F26">
      <w:pPr>
        <w:pStyle w:val="P68B1DB1-Normal47"/>
        <w:spacing w:after="0" w:line="240" w:lineRule="auto"/>
        <w:rPr>
          <w:rFonts w:cs="Times New Roman"/>
          <w:noProof/>
          <w:spacing w:val="-6"/>
          <w:sz w:val="28"/>
          <w:szCs w:val="28"/>
          <w:lang w:val="sk-SK"/>
        </w:rPr>
      </w:pPr>
      <w:r w:rsidRPr="00AB26B3">
        <w:rPr>
          <w:noProof/>
          <w:spacing w:val="-6"/>
          <w:lang w:val="sk-SK"/>
        </w:rPr>
        <w:t>Podskupina 2 (železnice</w:t>
      </w:r>
      <w:r w:rsidR="00AB26B3" w:rsidRPr="00AB26B3">
        <w:rPr>
          <w:noProof/>
          <w:spacing w:val="-6"/>
          <w:lang w:val="sk-SK"/>
        </w:rPr>
        <w:t xml:space="preserve"> a </w:t>
      </w:r>
      <w:r w:rsidRPr="00AB26B3">
        <w:rPr>
          <w:noProof/>
          <w:spacing w:val="-6"/>
          <w:lang w:val="sk-SK"/>
        </w:rPr>
        <w:t>letiská)</w:t>
      </w:r>
    </w:p>
    <w:p w14:paraId="274BAEB0" w14:textId="60011B11" w:rsidR="00302FC1" w:rsidRPr="00AB26B3" w:rsidRDefault="00D64F26">
      <w:pPr>
        <w:pStyle w:val="P68B1DB1-Normal48"/>
        <w:numPr>
          <w:ilvl w:val="0"/>
          <w:numId w:val="76"/>
        </w:numPr>
        <w:spacing w:before="120" w:after="0" w:line="240" w:lineRule="auto"/>
        <w:jc w:val="both"/>
        <w:rPr>
          <w:rFonts w:cs="Times New Roman"/>
          <w:noProof/>
          <w:spacing w:val="-6"/>
          <w:lang w:val="sk-SK"/>
        </w:rPr>
      </w:pPr>
      <w:r w:rsidRPr="00AB26B3">
        <w:rPr>
          <w:noProof/>
          <w:spacing w:val="-6"/>
          <w:lang w:val="sk-SK"/>
        </w:rPr>
        <w:t>Obnova prístupnosti po ničivých účinkoch búrok „DANIEL“</w:t>
      </w:r>
      <w:r w:rsidR="00AB26B3" w:rsidRPr="00AB26B3">
        <w:rPr>
          <w:noProof/>
          <w:spacing w:val="-6"/>
          <w:lang w:val="sk-SK"/>
        </w:rPr>
        <w:t xml:space="preserve"> a </w:t>
      </w:r>
      <w:r w:rsidRPr="00AB26B3">
        <w:rPr>
          <w:noProof/>
          <w:spacing w:val="-6"/>
          <w:lang w:val="sk-SK"/>
        </w:rPr>
        <w:t>„ELIAS“ (opatrenie ID 16999)</w:t>
      </w:r>
    </w:p>
    <w:p w14:paraId="1D7963DE" w14:textId="2FA80009" w:rsidR="00302FC1" w:rsidRPr="00AB26B3" w:rsidRDefault="00D64F26">
      <w:pPr>
        <w:pStyle w:val="P68B1DB1-Normal48"/>
        <w:numPr>
          <w:ilvl w:val="0"/>
          <w:numId w:val="76"/>
        </w:numPr>
        <w:spacing w:before="120" w:after="0" w:line="240" w:lineRule="auto"/>
        <w:jc w:val="both"/>
        <w:rPr>
          <w:rFonts w:cs="Times New Roman"/>
          <w:noProof/>
          <w:spacing w:val="-6"/>
          <w:lang w:val="sk-SK"/>
        </w:rPr>
      </w:pPr>
      <w:r w:rsidRPr="00AB26B3">
        <w:rPr>
          <w:noProof/>
          <w:spacing w:val="-6"/>
          <w:lang w:val="sk-SK"/>
        </w:rPr>
        <w:t>Organizačná reforma</w:t>
      </w:r>
      <w:r w:rsidR="00AB26B3" w:rsidRPr="00AB26B3">
        <w:rPr>
          <w:noProof/>
          <w:spacing w:val="-6"/>
          <w:lang w:val="sk-SK"/>
        </w:rPr>
        <w:t xml:space="preserve"> v </w:t>
      </w:r>
      <w:r w:rsidRPr="00AB26B3">
        <w:rPr>
          <w:noProof/>
          <w:spacing w:val="-6"/>
          <w:lang w:val="sk-SK"/>
        </w:rPr>
        <w:t>sektore železníc (ID: 16982)</w:t>
      </w:r>
    </w:p>
    <w:p w14:paraId="54F8EB87" w14:textId="77777777" w:rsidR="00302FC1" w:rsidRPr="00AB26B3" w:rsidRDefault="00D64F26">
      <w:pPr>
        <w:pStyle w:val="P68B1DB1-Normal48"/>
        <w:numPr>
          <w:ilvl w:val="0"/>
          <w:numId w:val="76"/>
        </w:numPr>
        <w:spacing w:before="120" w:after="0" w:line="240" w:lineRule="auto"/>
        <w:jc w:val="both"/>
        <w:rPr>
          <w:rFonts w:cs="Times New Roman"/>
          <w:noProof/>
          <w:spacing w:val="-6"/>
          <w:lang w:val="sk-SK"/>
        </w:rPr>
      </w:pPr>
      <w:r w:rsidRPr="00AB26B3">
        <w:rPr>
          <w:noProof/>
          <w:spacing w:val="-6"/>
          <w:lang w:val="sk-SK"/>
        </w:rPr>
        <w:t>Digitálna transformácia gréckych železníc (ID: 16959)</w:t>
      </w:r>
    </w:p>
    <w:p w14:paraId="6C707681" w14:textId="7DFB679B" w:rsidR="00302FC1" w:rsidRPr="00AB26B3" w:rsidRDefault="00D64F26">
      <w:pPr>
        <w:pStyle w:val="P68B1DB1-Normal48"/>
        <w:numPr>
          <w:ilvl w:val="0"/>
          <w:numId w:val="76"/>
        </w:numPr>
        <w:spacing w:before="120" w:after="0" w:line="240" w:lineRule="auto"/>
        <w:jc w:val="both"/>
        <w:rPr>
          <w:rFonts w:cs="Times New Roman"/>
          <w:noProof/>
          <w:spacing w:val="-6"/>
          <w:lang w:val="sk-SK"/>
        </w:rPr>
      </w:pPr>
      <w:r w:rsidRPr="00AB26B3">
        <w:rPr>
          <w:noProof/>
          <w:spacing w:val="-6"/>
          <w:lang w:val="sk-SK"/>
        </w:rPr>
        <w:t>Modernizácia prímestskej železničnej trate</w:t>
      </w:r>
      <w:r w:rsidR="00AB26B3" w:rsidRPr="00AB26B3">
        <w:rPr>
          <w:noProof/>
          <w:spacing w:val="-6"/>
          <w:lang w:val="sk-SK"/>
        </w:rPr>
        <w:t xml:space="preserve"> v </w:t>
      </w:r>
      <w:r w:rsidRPr="00AB26B3">
        <w:rPr>
          <w:noProof/>
          <w:spacing w:val="-6"/>
          <w:lang w:val="sk-SK"/>
        </w:rPr>
        <w:t>západnej Atike (ID: 16892)</w:t>
      </w:r>
    </w:p>
    <w:p w14:paraId="72EBDD91" w14:textId="0BC85350" w:rsidR="00302FC1" w:rsidRPr="00AB26B3" w:rsidRDefault="00D64F26">
      <w:pPr>
        <w:pStyle w:val="P68B1DB1-Normal48"/>
        <w:numPr>
          <w:ilvl w:val="0"/>
          <w:numId w:val="76"/>
        </w:numPr>
        <w:spacing w:before="120" w:after="0" w:line="240" w:lineRule="auto"/>
        <w:jc w:val="both"/>
        <w:rPr>
          <w:rFonts w:cs="Times New Roman"/>
          <w:noProof/>
          <w:spacing w:val="-6"/>
          <w:lang w:val="sk-SK"/>
        </w:rPr>
      </w:pPr>
      <w:r w:rsidRPr="00AB26B3">
        <w:rPr>
          <w:noProof/>
          <w:spacing w:val="-6"/>
          <w:lang w:val="sk-SK"/>
        </w:rPr>
        <w:t>Vykonávanie bezpečnostných prác na letisku (ID: 16833)</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665"/>
        <w:gridCol w:w="1134"/>
        <w:gridCol w:w="1842"/>
        <w:gridCol w:w="2127"/>
        <w:gridCol w:w="992"/>
        <w:gridCol w:w="909"/>
        <w:gridCol w:w="844"/>
        <w:gridCol w:w="1119"/>
        <w:gridCol w:w="713"/>
        <w:gridCol w:w="3402"/>
      </w:tblGrid>
      <w:tr w:rsidR="00302FC1" w:rsidRPr="00AB26B3" w14:paraId="7267A355" w14:textId="77777777">
        <w:trPr>
          <w:trHeight w:val="659"/>
          <w:tblHeader/>
          <w:jc w:val="center"/>
        </w:trPr>
        <w:tc>
          <w:tcPr>
            <w:tcW w:w="591" w:type="dxa"/>
            <w:vMerge w:val="restart"/>
            <w:shd w:val="clear" w:color="auto" w:fill="BDD7EE"/>
            <w:vAlign w:val="center"/>
            <w:hideMark/>
          </w:tcPr>
          <w:p w14:paraId="5D9FE5FB" w14:textId="20CEC299"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 xml:space="preserve">A nasl. </w:t>
            </w:r>
            <w:r w:rsidRPr="00AB26B3">
              <w:rPr>
                <w:noProof/>
                <w:spacing w:val="-6"/>
                <w:lang w:val="sk-SK"/>
              </w:rPr>
              <w:br/>
              <w:t>Nie.</w:t>
            </w:r>
          </w:p>
        </w:tc>
        <w:tc>
          <w:tcPr>
            <w:tcW w:w="2665" w:type="dxa"/>
            <w:vMerge w:val="restart"/>
            <w:shd w:val="clear" w:color="auto" w:fill="BDD7EE"/>
            <w:vAlign w:val="center"/>
            <w:hideMark/>
          </w:tcPr>
          <w:p w14:paraId="5A46B403"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Súvisiace opatrenie (reforma alebo investícia)</w:t>
            </w:r>
          </w:p>
        </w:tc>
        <w:tc>
          <w:tcPr>
            <w:tcW w:w="1134" w:type="dxa"/>
            <w:vMerge w:val="restart"/>
            <w:shd w:val="clear" w:color="auto" w:fill="BDD7EE"/>
            <w:vAlign w:val="center"/>
            <w:hideMark/>
          </w:tcPr>
          <w:p w14:paraId="6574AB28"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Míľnik/cieľ</w:t>
            </w:r>
          </w:p>
        </w:tc>
        <w:tc>
          <w:tcPr>
            <w:tcW w:w="1842" w:type="dxa"/>
            <w:vMerge w:val="restart"/>
            <w:shd w:val="clear" w:color="auto" w:fill="BDD7EE"/>
            <w:vAlign w:val="center"/>
            <w:hideMark/>
          </w:tcPr>
          <w:p w14:paraId="47D71617"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Názov</w:t>
            </w:r>
          </w:p>
        </w:tc>
        <w:tc>
          <w:tcPr>
            <w:tcW w:w="2127" w:type="dxa"/>
            <w:vMerge w:val="restart"/>
            <w:shd w:val="clear" w:color="auto" w:fill="BDD7EE"/>
            <w:vAlign w:val="center"/>
            <w:hideMark/>
          </w:tcPr>
          <w:p w14:paraId="2177542A" w14:textId="10F57DAC"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Kvalitatívne ukazovatele (pre míľniky)</w:t>
            </w:r>
          </w:p>
        </w:tc>
        <w:tc>
          <w:tcPr>
            <w:tcW w:w="2693" w:type="dxa"/>
            <w:gridSpan w:val="3"/>
            <w:shd w:val="clear" w:color="auto" w:fill="BDD7EE"/>
            <w:vAlign w:val="center"/>
            <w:hideMark/>
          </w:tcPr>
          <w:p w14:paraId="79E480A2" w14:textId="7F3B0842"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Kvantitatívne ukazovatele (pre ciele)</w:t>
            </w:r>
          </w:p>
        </w:tc>
        <w:tc>
          <w:tcPr>
            <w:tcW w:w="1559" w:type="dxa"/>
            <w:gridSpan w:val="2"/>
            <w:shd w:val="clear" w:color="auto" w:fill="BDD7EE"/>
            <w:vAlign w:val="center"/>
            <w:hideMark/>
          </w:tcPr>
          <w:p w14:paraId="4E27BB97"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Orientačný harmonogram dokončenia </w:t>
            </w:r>
          </w:p>
        </w:tc>
        <w:tc>
          <w:tcPr>
            <w:tcW w:w="3402" w:type="dxa"/>
            <w:vMerge w:val="restart"/>
            <w:shd w:val="clear" w:color="auto" w:fill="BDD7EE"/>
            <w:vAlign w:val="center"/>
            <w:hideMark/>
          </w:tcPr>
          <w:p w14:paraId="655469B1" w14:textId="102C256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B518D66" w14:textId="77777777">
        <w:trPr>
          <w:trHeight w:val="701"/>
          <w:tblHeader/>
          <w:jc w:val="center"/>
        </w:trPr>
        <w:tc>
          <w:tcPr>
            <w:tcW w:w="591" w:type="dxa"/>
            <w:vMerge/>
            <w:vAlign w:val="center"/>
            <w:hideMark/>
          </w:tcPr>
          <w:p w14:paraId="0CF1F3A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665" w:type="dxa"/>
            <w:vMerge/>
            <w:vAlign w:val="center"/>
            <w:hideMark/>
          </w:tcPr>
          <w:p w14:paraId="391C5C2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4" w:type="dxa"/>
            <w:vMerge/>
            <w:vAlign w:val="center"/>
            <w:hideMark/>
          </w:tcPr>
          <w:p w14:paraId="100816E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842" w:type="dxa"/>
            <w:vMerge/>
            <w:vAlign w:val="center"/>
            <w:hideMark/>
          </w:tcPr>
          <w:p w14:paraId="2162F0B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127" w:type="dxa"/>
            <w:vMerge/>
            <w:vAlign w:val="center"/>
            <w:hideMark/>
          </w:tcPr>
          <w:p w14:paraId="6BB84AD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92" w:type="dxa"/>
            <w:shd w:val="clear" w:color="auto" w:fill="BDD7EE"/>
            <w:vAlign w:val="center"/>
            <w:hideMark/>
          </w:tcPr>
          <w:p w14:paraId="181B9E61"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857" w:type="dxa"/>
            <w:shd w:val="clear" w:color="auto" w:fill="BDD7EE"/>
            <w:vAlign w:val="center"/>
            <w:hideMark/>
          </w:tcPr>
          <w:p w14:paraId="7697B059"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844" w:type="dxa"/>
            <w:shd w:val="clear" w:color="auto" w:fill="BDD7EE"/>
            <w:vAlign w:val="center"/>
            <w:hideMark/>
          </w:tcPr>
          <w:p w14:paraId="3455409E"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846" w:type="dxa"/>
            <w:shd w:val="clear" w:color="auto" w:fill="BDD7EE"/>
            <w:vAlign w:val="center"/>
            <w:hideMark/>
          </w:tcPr>
          <w:p w14:paraId="459CB1A8"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713" w:type="dxa"/>
            <w:shd w:val="clear" w:color="auto" w:fill="BDD7EE"/>
            <w:vAlign w:val="center"/>
            <w:hideMark/>
          </w:tcPr>
          <w:p w14:paraId="27586614"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3402" w:type="dxa"/>
            <w:vMerge/>
            <w:vAlign w:val="center"/>
            <w:hideMark/>
          </w:tcPr>
          <w:p w14:paraId="0550E44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051634CE" w14:textId="77777777">
        <w:trPr>
          <w:trHeight w:val="313"/>
          <w:jc w:val="center"/>
        </w:trPr>
        <w:tc>
          <w:tcPr>
            <w:tcW w:w="591" w:type="dxa"/>
            <w:shd w:val="clear" w:color="auto" w:fill="C6EFCE"/>
            <w:noWrap/>
          </w:tcPr>
          <w:p w14:paraId="52AA383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263</w:t>
            </w:r>
          </w:p>
        </w:tc>
        <w:tc>
          <w:tcPr>
            <w:tcW w:w="2665" w:type="dxa"/>
            <w:shd w:val="clear" w:color="auto" w:fill="C6EFCE"/>
            <w:noWrap/>
          </w:tcPr>
          <w:p w14:paraId="673BEF6C" w14:textId="08BDAF3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134" w:type="dxa"/>
            <w:shd w:val="clear" w:color="auto" w:fill="C6EFCE"/>
            <w:noWrap/>
          </w:tcPr>
          <w:p w14:paraId="015CE0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6325CE8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Plán reformy železníc</w:t>
            </w:r>
          </w:p>
        </w:tc>
        <w:tc>
          <w:tcPr>
            <w:tcW w:w="2127" w:type="dxa"/>
            <w:shd w:val="clear" w:color="auto" w:fill="C6EFCE"/>
            <w:noWrap/>
          </w:tcPr>
          <w:p w14:paraId="3C72040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Plán realizácie</w:t>
            </w:r>
          </w:p>
        </w:tc>
        <w:tc>
          <w:tcPr>
            <w:tcW w:w="992" w:type="dxa"/>
            <w:shd w:val="clear" w:color="auto" w:fill="C6EFCE"/>
            <w:noWrap/>
          </w:tcPr>
          <w:p w14:paraId="7D10D80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0A3B944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2AB5243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023B2E7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13" w:type="dxa"/>
            <w:shd w:val="clear" w:color="auto" w:fill="C6EFCE"/>
            <w:noWrap/>
          </w:tcPr>
          <w:p w14:paraId="337184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3402" w:type="dxa"/>
            <w:shd w:val="clear" w:color="auto" w:fill="C6EFCE"/>
            <w:noWrap/>
          </w:tcPr>
          <w:p w14:paraId="24F278EF" w14:textId="161190D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Plán</w:t>
            </w:r>
            <w:r w:rsidR="00AB26B3" w:rsidRPr="00AB26B3">
              <w:rPr>
                <w:noProof/>
                <w:spacing w:val="-6"/>
                <w:lang w:val="sk-SK"/>
              </w:rPr>
              <w:t xml:space="preserve"> s </w:t>
            </w:r>
            <w:r w:rsidRPr="00AB26B3">
              <w:rPr>
                <w:noProof/>
                <w:spacing w:val="-6"/>
                <w:lang w:val="sk-SK"/>
              </w:rPr>
              <w:t>krokmi na úplnú reorganizáciu spoločností OSE</w:t>
            </w:r>
            <w:r w:rsidR="00AB26B3" w:rsidRPr="00AB26B3">
              <w:rPr>
                <w:noProof/>
                <w:spacing w:val="-6"/>
                <w:lang w:val="sk-SK"/>
              </w:rPr>
              <w:t xml:space="preserve"> a </w:t>
            </w:r>
            <w:r w:rsidRPr="00AB26B3">
              <w:rPr>
                <w:noProof/>
                <w:spacing w:val="-6"/>
                <w:lang w:val="sk-SK"/>
              </w:rPr>
              <w:t>ERGOSE.</w:t>
            </w:r>
          </w:p>
        </w:tc>
      </w:tr>
      <w:tr w:rsidR="00302FC1" w:rsidRPr="00AB26B3" w14:paraId="3DA9D494" w14:textId="77777777">
        <w:trPr>
          <w:trHeight w:val="313"/>
          <w:jc w:val="center"/>
        </w:trPr>
        <w:tc>
          <w:tcPr>
            <w:tcW w:w="591" w:type="dxa"/>
            <w:shd w:val="clear" w:color="auto" w:fill="C6EFCE"/>
            <w:noWrap/>
          </w:tcPr>
          <w:p w14:paraId="3FF47D5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264</w:t>
            </w:r>
          </w:p>
        </w:tc>
        <w:tc>
          <w:tcPr>
            <w:tcW w:w="2665" w:type="dxa"/>
            <w:shd w:val="clear" w:color="auto" w:fill="C6EFCE"/>
            <w:noWrap/>
          </w:tcPr>
          <w:p w14:paraId="2179E094" w14:textId="6A5DA27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134" w:type="dxa"/>
            <w:shd w:val="clear" w:color="auto" w:fill="C6EFCE"/>
            <w:noWrap/>
          </w:tcPr>
          <w:p w14:paraId="5BA9636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0C577E3A" w14:textId="10CB658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Zákon</w:t>
            </w:r>
            <w:r w:rsidR="00AB26B3" w:rsidRPr="00AB26B3">
              <w:rPr>
                <w:noProof/>
                <w:spacing w:val="-6"/>
                <w:lang w:val="sk-SK"/>
              </w:rPr>
              <w:t xml:space="preserve"> o </w:t>
            </w:r>
            <w:r w:rsidRPr="00AB26B3">
              <w:rPr>
                <w:noProof/>
                <w:spacing w:val="-6"/>
                <w:lang w:val="sk-SK"/>
              </w:rPr>
              <w:t>reforme železníc</w:t>
            </w:r>
          </w:p>
        </w:tc>
        <w:tc>
          <w:tcPr>
            <w:tcW w:w="2127" w:type="dxa"/>
            <w:shd w:val="clear" w:color="auto" w:fill="C6EFCE"/>
            <w:noWrap/>
          </w:tcPr>
          <w:p w14:paraId="13922AB3" w14:textId="16B4C0C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 xml:space="preserve">sekundárnych právnych predpisov </w:t>
            </w:r>
          </w:p>
        </w:tc>
        <w:tc>
          <w:tcPr>
            <w:tcW w:w="992" w:type="dxa"/>
            <w:shd w:val="clear" w:color="auto" w:fill="C6EFCE"/>
            <w:noWrap/>
          </w:tcPr>
          <w:p w14:paraId="697CCE4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402249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114210B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2E890DE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13" w:type="dxa"/>
            <w:shd w:val="clear" w:color="auto" w:fill="C6EFCE"/>
            <w:noWrap/>
          </w:tcPr>
          <w:p w14:paraId="5AE66E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402" w:type="dxa"/>
            <w:shd w:val="clear" w:color="auto" w:fill="C6EFCE"/>
            <w:noWrap/>
          </w:tcPr>
          <w:p w14:paraId="5EC6D924" w14:textId="1851948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Organizačná reforma</w:t>
            </w:r>
            <w:r w:rsidR="00AB26B3" w:rsidRPr="00AB26B3">
              <w:rPr>
                <w:noProof/>
                <w:spacing w:val="-6"/>
                <w:lang w:val="sk-SK"/>
              </w:rPr>
              <w:t xml:space="preserve"> v </w:t>
            </w:r>
            <w:r w:rsidRPr="00AB26B3">
              <w:rPr>
                <w:noProof/>
                <w:spacing w:val="-6"/>
                <w:lang w:val="sk-SK"/>
              </w:rPr>
              <w:t>sektore železníc;</w:t>
            </w:r>
          </w:p>
          <w:p w14:paraId="0D8520C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74859CC" w14:textId="0D7F2BA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 na reformu týchto dvoch spoločností, ktorá im umožní rozvíjať, prevádzkovať</w:t>
            </w:r>
            <w:r w:rsidR="00AB26B3" w:rsidRPr="00AB26B3">
              <w:rPr>
                <w:noProof/>
                <w:spacing w:val="-6"/>
                <w:lang w:val="sk-SK"/>
              </w:rPr>
              <w:t xml:space="preserve"> a </w:t>
            </w:r>
            <w:r w:rsidRPr="00AB26B3">
              <w:rPr>
                <w:noProof/>
                <w:spacing w:val="-6"/>
                <w:lang w:val="sk-SK"/>
              </w:rPr>
              <w:t>udržiavať modernú železničnú sieť.</w:t>
            </w:r>
          </w:p>
        </w:tc>
      </w:tr>
      <w:tr w:rsidR="00302FC1" w:rsidRPr="00AB26B3" w14:paraId="05075D16" w14:textId="77777777">
        <w:trPr>
          <w:trHeight w:val="313"/>
          <w:jc w:val="center"/>
        </w:trPr>
        <w:tc>
          <w:tcPr>
            <w:tcW w:w="591" w:type="dxa"/>
            <w:shd w:val="clear" w:color="auto" w:fill="C6EFCE"/>
            <w:noWrap/>
          </w:tcPr>
          <w:p w14:paraId="374D1A1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267</w:t>
            </w:r>
          </w:p>
        </w:tc>
        <w:tc>
          <w:tcPr>
            <w:tcW w:w="2665" w:type="dxa"/>
            <w:shd w:val="clear" w:color="auto" w:fill="C6EFCE"/>
            <w:noWrap/>
          </w:tcPr>
          <w:p w14:paraId="23EDD206" w14:textId="26F6F8B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16833_Vykonávanie prác EASA na nápravu dodržiavania predpisov</w:t>
            </w:r>
          </w:p>
        </w:tc>
        <w:tc>
          <w:tcPr>
            <w:tcW w:w="1134" w:type="dxa"/>
            <w:shd w:val="clear" w:color="auto" w:fill="C6EFCE"/>
            <w:noWrap/>
          </w:tcPr>
          <w:p w14:paraId="759EED7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6D0904C2" w14:textId="7636D14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udelení ceny za prácu Agentúry Európskej únie pre bezpečnosť letectva (EASA) na regionálnych letiskách</w:t>
            </w:r>
          </w:p>
        </w:tc>
        <w:tc>
          <w:tcPr>
            <w:tcW w:w="2127" w:type="dxa"/>
            <w:shd w:val="clear" w:color="auto" w:fill="C6EFCE"/>
            <w:noWrap/>
          </w:tcPr>
          <w:p w14:paraId="0E088389" w14:textId="2A72797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w:t>
            </w:r>
          </w:p>
        </w:tc>
        <w:tc>
          <w:tcPr>
            <w:tcW w:w="992" w:type="dxa"/>
            <w:shd w:val="clear" w:color="auto" w:fill="C6EFCE"/>
            <w:noWrap/>
          </w:tcPr>
          <w:p w14:paraId="77AAD86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03C41F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52BB0E5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6D233F8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13" w:type="dxa"/>
            <w:shd w:val="clear" w:color="auto" w:fill="C6EFCE"/>
            <w:noWrap/>
          </w:tcPr>
          <w:p w14:paraId="7C49294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402" w:type="dxa"/>
            <w:shd w:val="clear" w:color="auto" w:fill="C6EFCE"/>
            <w:noWrap/>
          </w:tcPr>
          <w:p w14:paraId="1DC0B5B3" w14:textId="2AB472E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Program súladu Agentúry Európskej únie pre bezpečnosť letectva (EASA): Všetky zmluvy</w:t>
            </w:r>
            <w:r w:rsidR="00AB26B3" w:rsidRPr="00AB26B3">
              <w:rPr>
                <w:noProof/>
                <w:spacing w:val="-6"/>
                <w:lang w:val="sk-SK"/>
              </w:rPr>
              <w:t xml:space="preserve"> o </w:t>
            </w:r>
            <w:r w:rsidRPr="00AB26B3">
              <w:rPr>
                <w:noProof/>
                <w:spacing w:val="-6"/>
                <w:lang w:val="sk-SK"/>
              </w:rPr>
              <w:t>oprave 13 regionálnych letísk</w:t>
            </w:r>
            <w:r w:rsidR="00AB26B3" w:rsidRPr="00AB26B3">
              <w:rPr>
                <w:noProof/>
                <w:spacing w:val="-6"/>
                <w:lang w:val="sk-SK"/>
              </w:rPr>
              <w:t xml:space="preserve"> s </w:t>
            </w:r>
            <w:r w:rsidRPr="00AB26B3">
              <w:rPr>
                <w:noProof/>
                <w:spacing w:val="-6"/>
                <w:lang w:val="sk-SK"/>
              </w:rPr>
              <w:t>cieľom dosiahnuť súlad</w:t>
            </w:r>
            <w:r w:rsidR="00AB26B3" w:rsidRPr="00AB26B3">
              <w:rPr>
                <w:noProof/>
                <w:spacing w:val="-6"/>
                <w:lang w:val="sk-SK"/>
              </w:rPr>
              <w:t xml:space="preserve"> s </w:t>
            </w:r>
            <w:r w:rsidRPr="00AB26B3">
              <w:rPr>
                <w:noProof/>
                <w:spacing w:val="-6"/>
                <w:lang w:val="sk-SK"/>
              </w:rPr>
              <w:t>novým podpísaným nariadením (EÚ) 2018/1139.</w:t>
            </w:r>
          </w:p>
        </w:tc>
      </w:tr>
      <w:tr w:rsidR="00302FC1" w:rsidRPr="00AB26B3" w14:paraId="5E1CB122" w14:textId="77777777">
        <w:trPr>
          <w:trHeight w:val="1607"/>
          <w:jc w:val="center"/>
        </w:trPr>
        <w:tc>
          <w:tcPr>
            <w:tcW w:w="591" w:type="dxa"/>
            <w:shd w:val="clear" w:color="auto" w:fill="C6EFCE"/>
            <w:noWrap/>
          </w:tcPr>
          <w:p w14:paraId="068ACC4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268</w:t>
            </w:r>
          </w:p>
        </w:tc>
        <w:tc>
          <w:tcPr>
            <w:tcW w:w="2665" w:type="dxa"/>
            <w:shd w:val="clear" w:color="auto" w:fill="C6EFCE"/>
            <w:noWrap/>
          </w:tcPr>
          <w:p w14:paraId="15CC0EAC" w14:textId="474FFB5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134" w:type="dxa"/>
            <w:shd w:val="clear" w:color="auto" w:fill="C6EFCE"/>
            <w:noWrap/>
          </w:tcPr>
          <w:p w14:paraId="505BA38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669CE04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Realizačný plán Helénskych železníc</w:t>
            </w:r>
          </w:p>
        </w:tc>
        <w:tc>
          <w:tcPr>
            <w:tcW w:w="2127" w:type="dxa"/>
            <w:shd w:val="clear" w:color="auto" w:fill="C6EFCE"/>
            <w:noWrap/>
          </w:tcPr>
          <w:p w14:paraId="1F4F1A55" w14:textId="4C77BBB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Uverejnený plán vykonávania pre grécke železnice </w:t>
            </w:r>
          </w:p>
        </w:tc>
        <w:tc>
          <w:tcPr>
            <w:tcW w:w="992" w:type="dxa"/>
            <w:shd w:val="clear" w:color="auto" w:fill="C6EFCE"/>
            <w:noWrap/>
          </w:tcPr>
          <w:p w14:paraId="38B1DF9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1ADB338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6654275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457727E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p w14:paraId="0741975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shd w:val="clear" w:color="auto" w:fill="C6EFCE"/>
            <w:noWrap/>
          </w:tcPr>
          <w:p w14:paraId="7A57ABB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402" w:type="dxa"/>
            <w:shd w:val="clear" w:color="auto" w:fill="C6EFCE"/>
            <w:noWrap/>
          </w:tcPr>
          <w:p w14:paraId="4C9DD5B7" w14:textId="28687F9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Uverejnenie plánu vykonávania pre novú zjednotenú spoločnosť železničnej infraštruktúry (grécke železnice) </w:t>
            </w:r>
          </w:p>
        </w:tc>
      </w:tr>
      <w:tr w:rsidR="00302FC1" w:rsidRPr="00AB26B3" w14:paraId="52B847FE" w14:textId="77777777">
        <w:trPr>
          <w:trHeight w:val="313"/>
          <w:jc w:val="center"/>
        </w:trPr>
        <w:tc>
          <w:tcPr>
            <w:tcW w:w="591" w:type="dxa"/>
            <w:shd w:val="clear" w:color="auto" w:fill="C6EFCE"/>
            <w:noWrap/>
          </w:tcPr>
          <w:p w14:paraId="0DC45586"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268a</w:t>
            </w:r>
          </w:p>
        </w:tc>
        <w:tc>
          <w:tcPr>
            <w:tcW w:w="2665" w:type="dxa"/>
            <w:shd w:val="clear" w:color="auto" w:fill="C6EFCE"/>
            <w:noWrap/>
          </w:tcPr>
          <w:p w14:paraId="00179AC5" w14:textId="2AD9B2B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134" w:type="dxa"/>
            <w:shd w:val="clear" w:color="auto" w:fill="C6EFCE"/>
            <w:noWrap/>
          </w:tcPr>
          <w:p w14:paraId="24991BFC"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20D350AB" w14:textId="77777777" w:rsidR="00302FC1" w:rsidRPr="00AB26B3" w:rsidRDefault="00D64F26">
            <w:pPr>
              <w:pStyle w:val="P68B1DB1-Normal12"/>
              <w:spacing w:line="240" w:lineRule="auto"/>
              <w:rPr>
                <w:noProof/>
                <w:spacing w:val="-6"/>
                <w:lang w:val="sk-SK"/>
              </w:rPr>
            </w:pPr>
            <w:r w:rsidRPr="00AB26B3">
              <w:rPr>
                <w:noProof/>
                <w:spacing w:val="-6"/>
                <w:lang w:val="sk-SK"/>
              </w:rPr>
              <w:t xml:space="preserve">Právne akty pre Helénske železnice </w:t>
            </w:r>
          </w:p>
        </w:tc>
        <w:tc>
          <w:tcPr>
            <w:tcW w:w="2127" w:type="dxa"/>
            <w:shd w:val="clear" w:color="auto" w:fill="C6EFCE"/>
            <w:noWrap/>
          </w:tcPr>
          <w:p w14:paraId="65CA611F" w14:textId="77777777" w:rsidR="00302FC1" w:rsidRPr="00AB26B3" w:rsidRDefault="00D64F26">
            <w:pPr>
              <w:pStyle w:val="P68B1DB1-Normal12"/>
              <w:spacing w:line="240" w:lineRule="auto"/>
              <w:rPr>
                <w:noProof/>
                <w:spacing w:val="-6"/>
                <w:lang w:val="sk-SK"/>
              </w:rPr>
            </w:pPr>
            <w:r w:rsidRPr="00AB26B3">
              <w:rPr>
                <w:noProof/>
                <w:spacing w:val="-6"/>
                <w:lang w:val="sk-SK"/>
              </w:rPr>
              <w:t>Nadobudnutie účinnosti právnych aktov pre Helénske železnice</w:t>
            </w:r>
          </w:p>
          <w:p w14:paraId="1FFCDA86" w14:textId="77777777" w:rsidR="00302FC1" w:rsidRPr="00AB26B3" w:rsidRDefault="00302FC1">
            <w:pPr>
              <w:spacing w:line="240" w:lineRule="auto"/>
              <w:rPr>
                <w:rFonts w:ascii="Times New Roman" w:hAnsi="Times New Roman" w:cs="Times New Roman"/>
                <w:noProof/>
                <w:color w:val="006100"/>
                <w:spacing w:val="-6"/>
                <w:sz w:val="18"/>
                <w:szCs w:val="18"/>
                <w:lang w:val="sk-SK"/>
              </w:rPr>
            </w:pPr>
          </w:p>
        </w:tc>
        <w:tc>
          <w:tcPr>
            <w:tcW w:w="992" w:type="dxa"/>
            <w:shd w:val="clear" w:color="auto" w:fill="C6EFCE"/>
            <w:noWrap/>
          </w:tcPr>
          <w:p w14:paraId="42580E9C"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47355EE6"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65866A6E"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70ADE5BC"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5A534D17" w14:textId="77777777" w:rsidR="00302FC1" w:rsidRPr="00AB26B3" w:rsidRDefault="00D64F26">
            <w:pPr>
              <w:pStyle w:val="P68B1DB1-Normal12"/>
              <w:spacing w:line="240" w:lineRule="auto"/>
              <w:rPr>
                <w:noProof/>
                <w:spacing w:val="-6"/>
                <w:lang w:val="sk-SK"/>
              </w:rPr>
            </w:pPr>
            <w:r w:rsidRPr="00AB26B3">
              <w:rPr>
                <w:noProof/>
                <w:spacing w:val="-6"/>
                <w:lang w:val="sk-SK"/>
              </w:rPr>
              <w:t>2024</w:t>
            </w:r>
          </w:p>
        </w:tc>
        <w:tc>
          <w:tcPr>
            <w:tcW w:w="3402" w:type="dxa"/>
            <w:shd w:val="clear" w:color="auto" w:fill="C6EFCE"/>
            <w:noWrap/>
          </w:tcPr>
          <w:p w14:paraId="2B0B1F57" w14:textId="236BD24D" w:rsidR="00AB26B3" w:rsidRPr="00AB26B3" w:rsidRDefault="00D64F26">
            <w:pPr>
              <w:pStyle w:val="P68B1DB1-Normal12"/>
              <w:spacing w:after="0"/>
              <w:rPr>
                <w:noProof/>
                <w:spacing w:val="-6"/>
                <w:lang w:val="sk-SK"/>
              </w:rPr>
            </w:pPr>
            <w:r w:rsidRPr="00AB26B3">
              <w:rPr>
                <w:noProof/>
                <w:spacing w:val="-6"/>
                <w:lang w:val="sk-SK"/>
              </w:rPr>
              <w:t>Nadobudnutie účinnosti právnych aktov pre novú jednotnú nezávislú spoločnosť železničnej infraštruktúry (ďalej len „grécke železnice“)</w:t>
            </w:r>
            <w:r w:rsidR="00AB26B3" w:rsidRPr="00AB26B3">
              <w:rPr>
                <w:noProof/>
                <w:spacing w:val="-6"/>
                <w:lang w:val="sk-SK"/>
              </w:rPr>
              <w:t xml:space="preserve"> s </w:t>
            </w:r>
            <w:r w:rsidRPr="00AB26B3">
              <w:rPr>
                <w:noProof/>
                <w:spacing w:val="-6"/>
                <w:lang w:val="sk-SK"/>
              </w:rPr>
              <w:t>výnimkou právneho aktu na prijatie všeobecného nariadenia</w:t>
            </w:r>
            <w:r w:rsidR="00AB26B3" w:rsidRPr="00AB26B3">
              <w:rPr>
                <w:noProof/>
                <w:spacing w:val="-6"/>
                <w:lang w:val="sk-SK"/>
              </w:rPr>
              <w:t xml:space="preserve"> o </w:t>
            </w:r>
            <w:r w:rsidRPr="00AB26B3">
              <w:rPr>
                <w:noProof/>
                <w:spacing w:val="-6"/>
                <w:lang w:val="sk-SK"/>
              </w:rPr>
              <w:t>doprave</w:t>
            </w:r>
            <w:r w:rsidR="00AB26B3" w:rsidRPr="00AB26B3">
              <w:rPr>
                <w:noProof/>
                <w:spacing w:val="-6"/>
                <w:lang w:val="sk-SK"/>
              </w:rPr>
              <w:t xml:space="preserve"> a </w:t>
            </w:r>
            <w:r w:rsidRPr="00AB26B3">
              <w:rPr>
                <w:noProof/>
                <w:spacing w:val="-6"/>
                <w:lang w:val="sk-SK"/>
              </w:rPr>
              <w:t>právnych aktov</w:t>
            </w:r>
            <w:r w:rsidR="00AB26B3" w:rsidRPr="00AB26B3">
              <w:rPr>
                <w:noProof/>
                <w:spacing w:val="-6"/>
                <w:lang w:val="sk-SK"/>
              </w:rPr>
              <w:t xml:space="preserve"> v </w:t>
            </w:r>
            <w:r w:rsidRPr="00AB26B3">
              <w:rPr>
                <w:noProof/>
                <w:spacing w:val="-6"/>
                <w:lang w:val="sk-SK"/>
              </w:rPr>
              <w:t>závislosti od globálneho technického predpisu</w:t>
            </w:r>
            <w:r w:rsidR="00AB26B3" w:rsidRPr="00AB26B3">
              <w:rPr>
                <w:noProof/>
                <w:spacing w:val="-6"/>
                <w:lang w:val="sk-SK"/>
              </w:rPr>
              <w:t>.</w:t>
            </w:r>
          </w:p>
          <w:p w14:paraId="3993E052" w14:textId="03AD510D" w:rsidR="00302FC1" w:rsidRPr="00AB26B3" w:rsidRDefault="00302FC1">
            <w:pPr>
              <w:spacing w:after="0"/>
              <w:rPr>
                <w:rFonts w:ascii="Times New Roman" w:hAnsi="Times New Roman" w:cs="Times New Roman"/>
                <w:noProof/>
                <w:color w:val="006100"/>
                <w:spacing w:val="-6"/>
                <w:sz w:val="18"/>
                <w:szCs w:val="18"/>
                <w:lang w:val="sk-SK"/>
              </w:rPr>
            </w:pPr>
          </w:p>
          <w:p w14:paraId="2D69E664" w14:textId="269776D4" w:rsidR="00302FC1" w:rsidRPr="00AB26B3" w:rsidRDefault="00D64F26">
            <w:pPr>
              <w:pStyle w:val="P68B1DB1-Normal12"/>
              <w:spacing w:after="0"/>
              <w:rPr>
                <w:rFonts w:eastAsiaTheme="minorEastAsia"/>
                <w:noProof/>
                <w:spacing w:val="-6"/>
                <w:lang w:val="sk-SK"/>
              </w:rPr>
            </w:pPr>
            <w:r w:rsidRPr="00AB26B3">
              <w:rPr>
                <w:noProof/>
                <w:spacing w:val="-6"/>
                <w:lang w:val="sk-SK"/>
              </w:rPr>
              <w:t>Nová spoločnosť prevezme zodpovednosť za otázky bezpečnosti železničnej infraštruktúry</w:t>
            </w:r>
            <w:r w:rsidR="00AB26B3" w:rsidRPr="00AB26B3">
              <w:rPr>
                <w:noProof/>
                <w:spacing w:val="-6"/>
                <w:lang w:val="sk-SK"/>
              </w:rPr>
              <w:t xml:space="preserve"> a </w:t>
            </w:r>
            <w:r w:rsidRPr="00AB26B3">
              <w:rPr>
                <w:noProof/>
                <w:spacing w:val="-6"/>
                <w:lang w:val="sk-SK"/>
              </w:rPr>
              <w:t>bude spolupracovať so železničnými podnikmi pri vykonávaní opatrení na kontrolu rizík.</w:t>
            </w:r>
          </w:p>
        </w:tc>
      </w:tr>
      <w:tr w:rsidR="00302FC1" w:rsidRPr="00AB26B3" w14:paraId="103C2567" w14:textId="77777777">
        <w:trPr>
          <w:trHeight w:val="313"/>
          <w:jc w:val="center"/>
        </w:trPr>
        <w:tc>
          <w:tcPr>
            <w:tcW w:w="591" w:type="dxa"/>
            <w:shd w:val="clear" w:color="auto" w:fill="C6EFCE"/>
            <w:noWrap/>
          </w:tcPr>
          <w:p w14:paraId="02AEC7EC"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268b</w:t>
            </w:r>
          </w:p>
        </w:tc>
        <w:tc>
          <w:tcPr>
            <w:tcW w:w="2665" w:type="dxa"/>
            <w:shd w:val="clear" w:color="auto" w:fill="C6EFCE"/>
            <w:noWrap/>
          </w:tcPr>
          <w:p w14:paraId="06386AC0" w14:textId="3D7CED4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p w14:paraId="3D63FC34"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3FCF270E"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091A1C48" w14:textId="6FB3628C" w:rsidR="00302FC1" w:rsidRPr="00AB26B3" w:rsidRDefault="00D64F26">
            <w:pPr>
              <w:pStyle w:val="P68B1DB1-Normal12"/>
              <w:spacing w:line="240" w:lineRule="auto"/>
              <w:rPr>
                <w:noProof/>
                <w:spacing w:val="-6"/>
                <w:lang w:val="sk-SK"/>
              </w:rPr>
            </w:pPr>
            <w:r w:rsidRPr="00AB26B3">
              <w:rPr>
                <w:noProof/>
                <w:spacing w:val="-6"/>
                <w:lang w:val="sk-SK"/>
              </w:rPr>
              <w:t>Viacročný investičný program, nová zmluvná dohoda</w:t>
            </w:r>
            <w:r w:rsidR="00AB26B3" w:rsidRPr="00AB26B3">
              <w:rPr>
                <w:noProof/>
                <w:spacing w:val="-6"/>
                <w:lang w:val="sk-SK"/>
              </w:rPr>
              <w:t xml:space="preserve"> a </w:t>
            </w:r>
            <w:r w:rsidRPr="00AB26B3">
              <w:rPr>
                <w:noProof/>
                <w:spacing w:val="-6"/>
                <w:lang w:val="sk-SK"/>
              </w:rPr>
              <w:t>technický manažér</w:t>
            </w:r>
          </w:p>
          <w:p w14:paraId="49BBA19D"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2127" w:type="dxa"/>
            <w:shd w:val="clear" w:color="auto" w:fill="C6EFCE"/>
            <w:noWrap/>
          </w:tcPr>
          <w:p w14:paraId="3E33EB5D" w14:textId="411AECBC" w:rsidR="00302FC1" w:rsidRPr="00AB26B3" w:rsidRDefault="00D64F26">
            <w:pPr>
              <w:pStyle w:val="P68B1DB1-Normal28"/>
              <w:spacing w:line="240" w:lineRule="auto"/>
              <w:rPr>
                <w:noProof/>
                <w:spacing w:val="-6"/>
                <w:lang w:val="sk-SK"/>
              </w:rPr>
            </w:pPr>
            <w:r w:rsidRPr="00AB26B3">
              <w:rPr>
                <w:noProof/>
                <w:spacing w:val="-6"/>
                <w:lang w:val="sk-SK"/>
              </w:rPr>
              <w:t>Nadobudnutie účinnosti nového všeobecného nariadenia</w:t>
            </w:r>
            <w:r w:rsidR="00AB26B3" w:rsidRPr="00AB26B3">
              <w:rPr>
                <w:noProof/>
                <w:spacing w:val="-6"/>
                <w:lang w:val="sk-SK"/>
              </w:rPr>
              <w:t xml:space="preserve"> o </w:t>
            </w:r>
            <w:r w:rsidRPr="00AB26B3">
              <w:rPr>
                <w:noProof/>
                <w:spacing w:val="-6"/>
                <w:lang w:val="sk-SK"/>
              </w:rPr>
              <w:t>cestnej premávke</w:t>
            </w:r>
            <w:r w:rsidR="00AB26B3" w:rsidRPr="00AB26B3">
              <w:rPr>
                <w:noProof/>
                <w:spacing w:val="-6"/>
                <w:lang w:val="sk-SK"/>
              </w:rPr>
              <w:t xml:space="preserve"> a </w:t>
            </w:r>
            <w:r w:rsidRPr="00AB26B3">
              <w:rPr>
                <w:noProof/>
                <w:spacing w:val="-6"/>
                <w:lang w:val="sk-SK"/>
              </w:rPr>
              <w:t>sekundárnych legislatívnych opatrení, ktoré sú od neho závislé.</w:t>
            </w:r>
          </w:p>
          <w:p w14:paraId="68D914C4" w14:textId="77777777" w:rsidR="00302FC1" w:rsidRPr="00AB26B3" w:rsidRDefault="00D64F26">
            <w:pPr>
              <w:pStyle w:val="P68B1DB1-Normal12"/>
              <w:spacing w:line="240" w:lineRule="auto"/>
              <w:rPr>
                <w:noProof/>
                <w:spacing w:val="-6"/>
                <w:lang w:val="sk-SK"/>
              </w:rPr>
            </w:pPr>
            <w:r w:rsidRPr="00AB26B3">
              <w:rPr>
                <w:noProof/>
                <w:spacing w:val="-6"/>
                <w:lang w:val="sk-SK"/>
              </w:rPr>
              <w:t>Prijatie viacročného investičného programu.</w:t>
            </w:r>
          </w:p>
          <w:p w14:paraId="6AFE9611" w14:textId="77777777" w:rsidR="00302FC1" w:rsidRPr="00AB26B3" w:rsidRDefault="00D64F26">
            <w:pPr>
              <w:pStyle w:val="P68B1DB1-Normal12"/>
              <w:spacing w:line="240" w:lineRule="auto"/>
              <w:rPr>
                <w:noProof/>
                <w:spacing w:val="-6"/>
                <w:lang w:val="sk-SK"/>
              </w:rPr>
            </w:pPr>
            <w:r w:rsidRPr="00AB26B3">
              <w:rPr>
                <w:noProof/>
                <w:spacing w:val="-6"/>
                <w:lang w:val="sk-SK"/>
              </w:rPr>
              <w:t>Podpísanie novej zmluvnej dohody.</w:t>
            </w:r>
          </w:p>
          <w:p w14:paraId="43CFF579"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Vymenovaný technický manažér.</w:t>
            </w:r>
          </w:p>
        </w:tc>
        <w:tc>
          <w:tcPr>
            <w:tcW w:w="992" w:type="dxa"/>
            <w:shd w:val="clear" w:color="auto" w:fill="C6EFCE"/>
            <w:noWrap/>
          </w:tcPr>
          <w:p w14:paraId="1C0900FF"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077E88B"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3320CEED"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0CAF16F1"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ŠTVRŤROK</w:t>
            </w:r>
          </w:p>
        </w:tc>
        <w:tc>
          <w:tcPr>
            <w:tcW w:w="713" w:type="dxa"/>
            <w:shd w:val="clear" w:color="auto" w:fill="C6EFCE"/>
            <w:noWrap/>
          </w:tcPr>
          <w:p w14:paraId="340FE1E9"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605A709F" w14:textId="21D22F2D" w:rsidR="00302FC1" w:rsidRPr="00AB26B3" w:rsidRDefault="00D64F26">
            <w:pPr>
              <w:pStyle w:val="P68B1DB1-Normal28"/>
              <w:spacing w:line="240" w:lineRule="auto"/>
              <w:rPr>
                <w:noProof/>
                <w:spacing w:val="-6"/>
                <w:lang w:val="sk-SK"/>
              </w:rPr>
            </w:pPr>
            <w:r w:rsidRPr="00AB26B3">
              <w:rPr>
                <w:noProof/>
                <w:spacing w:val="-6"/>
                <w:lang w:val="sk-SK"/>
              </w:rPr>
              <w:t>Nadobudnutie účinnosti nového všeobecného nariadenia</w:t>
            </w:r>
            <w:r w:rsidR="00AB26B3" w:rsidRPr="00AB26B3">
              <w:rPr>
                <w:noProof/>
                <w:spacing w:val="-6"/>
                <w:lang w:val="sk-SK"/>
              </w:rPr>
              <w:t xml:space="preserve"> o </w:t>
            </w:r>
            <w:r w:rsidRPr="00AB26B3">
              <w:rPr>
                <w:noProof/>
                <w:spacing w:val="-6"/>
                <w:lang w:val="sk-SK"/>
              </w:rPr>
              <w:t>cestnej premávke (GTR)</w:t>
            </w:r>
            <w:r w:rsidR="00AB26B3" w:rsidRPr="00AB26B3">
              <w:rPr>
                <w:noProof/>
                <w:spacing w:val="-6"/>
                <w:lang w:val="sk-SK"/>
              </w:rPr>
              <w:t xml:space="preserve"> a </w:t>
            </w:r>
            <w:r w:rsidRPr="00AB26B3">
              <w:rPr>
                <w:noProof/>
                <w:spacing w:val="-6"/>
                <w:lang w:val="sk-SK"/>
              </w:rPr>
              <w:t>právnych aktov, ktoré sú od neho závislé.</w:t>
            </w:r>
          </w:p>
          <w:p w14:paraId="089F80D2" w14:textId="50054AAB" w:rsidR="00302FC1" w:rsidRPr="00AB26B3" w:rsidRDefault="00D64F26">
            <w:pPr>
              <w:pStyle w:val="P68B1DB1-Normal12"/>
              <w:spacing w:line="240" w:lineRule="auto"/>
              <w:rPr>
                <w:rFonts w:eastAsia="Times New Roman"/>
                <w:noProof/>
                <w:spacing w:val="-6"/>
                <w:lang w:val="sk-SK"/>
              </w:rPr>
            </w:pPr>
            <w:r w:rsidRPr="00AB26B3">
              <w:rPr>
                <w:noProof/>
                <w:spacing w:val="-6"/>
                <w:lang w:val="sk-SK"/>
              </w:rPr>
              <w:t>Prijatie viacročného programu</w:t>
            </w:r>
            <w:r w:rsidR="00AB26B3" w:rsidRPr="00AB26B3">
              <w:rPr>
                <w:noProof/>
                <w:spacing w:val="-6"/>
                <w:lang w:val="sk-SK"/>
              </w:rPr>
              <w:t xml:space="preserve"> s </w:t>
            </w:r>
            <w:r w:rsidRPr="00AB26B3">
              <w:rPr>
                <w:noProof/>
                <w:spacing w:val="-6"/>
                <w:lang w:val="sk-SK"/>
              </w:rPr>
              <w:t>očakávanými strategickými investíciami</w:t>
            </w:r>
            <w:r w:rsidR="00AB26B3" w:rsidRPr="00AB26B3">
              <w:rPr>
                <w:noProof/>
                <w:spacing w:val="-6"/>
                <w:lang w:val="sk-SK"/>
              </w:rPr>
              <w:t xml:space="preserve"> a </w:t>
            </w:r>
            <w:r w:rsidRPr="00AB26B3">
              <w:rPr>
                <w:noProof/>
                <w:spacing w:val="-6"/>
                <w:lang w:val="sk-SK"/>
              </w:rPr>
              <w:t>údržbárskymi prácami predstavenstvom Helénskych železníc; podpísanie zmluvnej dohody</w:t>
            </w:r>
            <w:r w:rsidR="00AB26B3" w:rsidRPr="00AB26B3">
              <w:rPr>
                <w:noProof/>
                <w:spacing w:val="-6"/>
                <w:lang w:val="sk-SK"/>
              </w:rPr>
              <w:t xml:space="preserve"> s </w:t>
            </w:r>
            <w:r w:rsidRPr="00AB26B3">
              <w:rPr>
                <w:noProof/>
                <w:spacing w:val="-6"/>
                <w:lang w:val="sk-SK"/>
              </w:rPr>
              <w:t>konkrétnymi míľnikmi</w:t>
            </w:r>
            <w:r w:rsidR="00AB26B3" w:rsidRPr="00AB26B3">
              <w:rPr>
                <w:noProof/>
                <w:spacing w:val="-6"/>
                <w:lang w:val="sk-SK"/>
              </w:rPr>
              <w:t xml:space="preserve"> a </w:t>
            </w:r>
            <w:r w:rsidRPr="00AB26B3">
              <w:rPr>
                <w:noProof/>
                <w:spacing w:val="-6"/>
                <w:lang w:val="sk-SK"/>
              </w:rPr>
              <w:t>kľúčovými ukazovateľmi výkonnosti na dokončenie investícií do kľúčových bezpečnostných systémov</w:t>
            </w:r>
            <w:r w:rsidR="00AB26B3" w:rsidRPr="00AB26B3">
              <w:rPr>
                <w:noProof/>
                <w:spacing w:val="-6"/>
                <w:lang w:val="sk-SK"/>
              </w:rPr>
              <w:t xml:space="preserve"> a </w:t>
            </w:r>
            <w:r w:rsidRPr="00AB26B3">
              <w:rPr>
                <w:noProof/>
                <w:spacing w:val="-6"/>
                <w:lang w:val="sk-SK"/>
              </w:rPr>
              <w:t>infraštruktúr, na pravidelnú údržbu, na spokojnosť zákazníkov, na posilnenie kvality prijímania zamestnancov</w:t>
            </w:r>
            <w:r w:rsidR="00AB26B3" w:rsidRPr="00AB26B3">
              <w:rPr>
                <w:noProof/>
                <w:spacing w:val="-6"/>
                <w:lang w:val="sk-SK"/>
              </w:rPr>
              <w:t xml:space="preserve"> a </w:t>
            </w:r>
            <w:r w:rsidRPr="00AB26B3">
              <w:rPr>
                <w:noProof/>
                <w:spacing w:val="-6"/>
                <w:lang w:val="sk-SK"/>
              </w:rPr>
              <w:t>správy</w:t>
            </w:r>
            <w:r w:rsidR="00AB26B3" w:rsidRPr="00AB26B3">
              <w:rPr>
                <w:noProof/>
                <w:spacing w:val="-6"/>
                <w:lang w:val="sk-SK"/>
              </w:rPr>
              <w:t xml:space="preserve"> a </w:t>
            </w:r>
            <w:r w:rsidRPr="00AB26B3">
              <w:rPr>
                <w:noProof/>
                <w:spacing w:val="-6"/>
                <w:lang w:val="sk-SK"/>
              </w:rPr>
              <w:t>riadenia spoločnosti.</w:t>
            </w:r>
          </w:p>
          <w:p w14:paraId="6A1DB1D5" w14:textId="77777777" w:rsidR="00302FC1" w:rsidRPr="00AB26B3" w:rsidRDefault="00D64F26">
            <w:pPr>
              <w:pStyle w:val="P68B1DB1-Normal28"/>
              <w:spacing w:after="0" w:line="240" w:lineRule="auto"/>
              <w:rPr>
                <w:noProof/>
                <w:spacing w:val="-6"/>
                <w:lang w:val="sk-SK"/>
              </w:rPr>
            </w:pPr>
            <w:r w:rsidRPr="00AB26B3">
              <w:rPr>
                <w:noProof/>
                <w:spacing w:val="-6"/>
                <w:lang w:val="sk-SK"/>
              </w:rPr>
              <w:t>Zmluvné vymenovanie technického manažéra na podporu prevádzkového zriadenia „Helénskych železníc“.</w:t>
            </w:r>
          </w:p>
        </w:tc>
      </w:tr>
      <w:tr w:rsidR="00302FC1" w:rsidRPr="00AB26B3" w14:paraId="72658B73" w14:textId="77777777">
        <w:trPr>
          <w:trHeight w:val="1185"/>
          <w:jc w:val="center"/>
        </w:trPr>
        <w:tc>
          <w:tcPr>
            <w:tcW w:w="591" w:type="dxa"/>
            <w:shd w:val="clear" w:color="auto" w:fill="C6EFCE"/>
            <w:noWrap/>
          </w:tcPr>
          <w:p w14:paraId="6E739EE8"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268c</w:t>
            </w:r>
          </w:p>
        </w:tc>
        <w:tc>
          <w:tcPr>
            <w:tcW w:w="2665" w:type="dxa"/>
            <w:shd w:val="clear" w:color="auto" w:fill="C6EFCE"/>
            <w:noWrap/>
          </w:tcPr>
          <w:p w14:paraId="64A416DA" w14:textId="2368B5D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p w14:paraId="060D8AAE"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508DF4C0"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70F344C9" w14:textId="77777777" w:rsidR="00302FC1" w:rsidRPr="00AB26B3" w:rsidRDefault="00D64F26">
            <w:pPr>
              <w:pStyle w:val="P68B1DB1-Normal12"/>
              <w:spacing w:line="240" w:lineRule="auto"/>
              <w:rPr>
                <w:noProof/>
                <w:spacing w:val="-6"/>
                <w:lang w:val="sk-SK"/>
              </w:rPr>
            </w:pPr>
            <w:r w:rsidRPr="00AB26B3">
              <w:rPr>
                <w:noProof/>
                <w:spacing w:val="-6"/>
                <w:lang w:val="sk-SK"/>
              </w:rPr>
              <w:t>Vykonávanie plánu vykonávania pre grécke železnice</w:t>
            </w:r>
          </w:p>
        </w:tc>
        <w:tc>
          <w:tcPr>
            <w:tcW w:w="2127" w:type="dxa"/>
            <w:shd w:val="clear" w:color="auto" w:fill="C6EFCE"/>
            <w:noWrap/>
          </w:tcPr>
          <w:p w14:paraId="694F4934" w14:textId="77777777" w:rsidR="00AB26B3" w:rsidRPr="00AB26B3" w:rsidRDefault="00D64F26">
            <w:pPr>
              <w:pStyle w:val="P68B1DB1-Normal12"/>
              <w:spacing w:after="240" w:line="240" w:lineRule="auto"/>
              <w:rPr>
                <w:noProof/>
                <w:spacing w:val="-6"/>
                <w:lang w:val="sk-SK"/>
              </w:rPr>
            </w:pPr>
            <w:r w:rsidRPr="00AB26B3">
              <w:rPr>
                <w:noProof/>
                <w:spacing w:val="-6"/>
                <w:lang w:val="sk-SK"/>
              </w:rPr>
              <w:t>Implementačný plán pre Helénske železnice bol vykonaný</w:t>
            </w:r>
            <w:r w:rsidR="00AB26B3" w:rsidRPr="00AB26B3">
              <w:rPr>
                <w:noProof/>
                <w:spacing w:val="-6"/>
                <w:lang w:val="sk-SK"/>
              </w:rPr>
              <w:t>.</w:t>
            </w:r>
          </w:p>
          <w:p w14:paraId="62CAB7D5" w14:textId="22EB6EDC" w:rsidR="00302FC1" w:rsidRPr="00AB26B3" w:rsidRDefault="00D64F26">
            <w:pPr>
              <w:pStyle w:val="P68B1DB1-Normal12"/>
              <w:spacing w:line="240" w:lineRule="auto"/>
              <w:rPr>
                <w:noProof/>
                <w:spacing w:val="-6"/>
                <w:lang w:val="sk-SK"/>
              </w:rPr>
            </w:pPr>
            <w:r w:rsidRPr="00AB26B3">
              <w:rPr>
                <w:noProof/>
                <w:spacing w:val="-6"/>
                <w:lang w:val="sk-SK"/>
              </w:rPr>
              <w:t>Opatrenia na vykonávanie odporúčaní uvedených</w:t>
            </w:r>
            <w:r w:rsidR="00AB26B3" w:rsidRPr="00AB26B3">
              <w:rPr>
                <w:noProof/>
                <w:spacing w:val="-6"/>
                <w:lang w:val="sk-SK"/>
              </w:rPr>
              <w:t xml:space="preserve"> v </w:t>
            </w:r>
            <w:r w:rsidRPr="00AB26B3">
              <w:rPr>
                <w:noProof/>
                <w:spacing w:val="-6"/>
                <w:lang w:val="sk-SK"/>
              </w:rPr>
              <w:t>správe gréckeho orgánu pre vyšetrovanie leteckých</w:t>
            </w:r>
            <w:r w:rsidR="00AB26B3" w:rsidRPr="00AB26B3">
              <w:rPr>
                <w:noProof/>
                <w:spacing w:val="-6"/>
                <w:lang w:val="sk-SK"/>
              </w:rPr>
              <w:t xml:space="preserve"> a </w:t>
            </w:r>
            <w:r w:rsidRPr="00AB26B3">
              <w:rPr>
                <w:noProof/>
                <w:spacing w:val="-6"/>
                <w:lang w:val="sk-SK"/>
              </w:rPr>
              <w:t>železničných nehôd (RL01 – 2025)</w:t>
            </w:r>
            <w:r w:rsidR="00AB26B3" w:rsidRPr="00AB26B3">
              <w:rPr>
                <w:noProof/>
                <w:spacing w:val="-6"/>
                <w:lang w:val="sk-SK"/>
              </w:rPr>
              <w:t xml:space="preserve"> o </w:t>
            </w:r>
            <w:r w:rsidRPr="00AB26B3">
              <w:rPr>
                <w:noProof/>
                <w:spacing w:val="-6"/>
                <w:lang w:val="sk-SK"/>
              </w:rPr>
              <w:t>železničných nehodách, ktorá je určená gréckym orgánom, subjektom</w:t>
            </w:r>
            <w:r w:rsidR="00AB26B3" w:rsidRPr="00AB26B3">
              <w:rPr>
                <w:noProof/>
                <w:spacing w:val="-6"/>
                <w:lang w:val="sk-SK"/>
              </w:rPr>
              <w:t xml:space="preserve"> a </w:t>
            </w:r>
            <w:r w:rsidRPr="00AB26B3">
              <w:rPr>
                <w:noProof/>
                <w:spacing w:val="-6"/>
                <w:lang w:val="sk-SK"/>
              </w:rPr>
              <w:t>prevádzkovateľom.</w:t>
            </w:r>
          </w:p>
          <w:p w14:paraId="15FB488A" w14:textId="77777777" w:rsidR="00302FC1" w:rsidRPr="00AB26B3" w:rsidRDefault="00D64F26">
            <w:pPr>
              <w:pStyle w:val="P68B1DB1-Normal12"/>
              <w:spacing w:after="0" w:line="240" w:lineRule="auto"/>
              <w:rPr>
                <w:noProof/>
                <w:spacing w:val="-6"/>
                <w:lang w:val="sk-SK"/>
              </w:rPr>
            </w:pPr>
            <w:r w:rsidRPr="00AB26B3">
              <w:rPr>
                <w:noProof/>
                <w:spacing w:val="-6"/>
                <w:lang w:val="sk-SK"/>
              </w:rPr>
              <w:t>Bezpečnostné povolenie Helénskych železníc.</w:t>
            </w:r>
          </w:p>
        </w:tc>
        <w:tc>
          <w:tcPr>
            <w:tcW w:w="992" w:type="dxa"/>
            <w:shd w:val="clear" w:color="auto" w:fill="C6EFCE"/>
            <w:noWrap/>
          </w:tcPr>
          <w:p w14:paraId="641A87A9"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68D33AB4"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0A800334" w14:textId="77777777"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6C07A65F"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7C868B76" w14:textId="77777777" w:rsidR="00302FC1" w:rsidRPr="00AB26B3" w:rsidRDefault="00D64F26">
            <w:pPr>
              <w:pStyle w:val="P68B1DB1-Normal12"/>
              <w:spacing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594654F6" w14:textId="0F60F504" w:rsidR="00302FC1" w:rsidRPr="00AB26B3" w:rsidRDefault="00D64F26">
            <w:pPr>
              <w:pStyle w:val="P68B1DB1-Normal12"/>
              <w:spacing w:after="0" w:line="240" w:lineRule="auto"/>
              <w:rPr>
                <w:noProof/>
                <w:spacing w:val="-6"/>
                <w:lang w:val="sk-SK"/>
              </w:rPr>
            </w:pPr>
            <w:r w:rsidRPr="00AB26B3">
              <w:rPr>
                <w:noProof/>
                <w:spacing w:val="-6"/>
                <w:lang w:val="sk-SK"/>
              </w:rPr>
              <w:t>Činnosti uvedené</w:t>
            </w:r>
            <w:r w:rsidR="00AB26B3" w:rsidRPr="00AB26B3">
              <w:rPr>
                <w:noProof/>
                <w:spacing w:val="-6"/>
                <w:lang w:val="sk-SK"/>
              </w:rPr>
              <w:t xml:space="preserve"> v </w:t>
            </w:r>
            <w:r w:rsidRPr="00AB26B3">
              <w:rPr>
                <w:noProof/>
                <w:spacing w:val="-6"/>
                <w:lang w:val="sk-SK"/>
              </w:rPr>
              <w:t>uverejnenom aktualizovanom pláne vykonávania pre grécke železnice, ktoré sa majú vykonať</w:t>
            </w:r>
            <w:r w:rsidR="00AB26B3" w:rsidRPr="00AB26B3">
              <w:rPr>
                <w:noProof/>
                <w:spacing w:val="-6"/>
                <w:lang w:val="sk-SK"/>
              </w:rPr>
              <w:t xml:space="preserve"> v </w:t>
            </w:r>
            <w:r w:rsidRPr="00AB26B3">
              <w:rPr>
                <w:noProof/>
                <w:spacing w:val="-6"/>
                <w:lang w:val="sk-SK"/>
              </w:rPr>
              <w:t>časovom rámci plánu obnovy</w:t>
            </w:r>
            <w:r w:rsidR="00AB26B3" w:rsidRPr="00AB26B3">
              <w:rPr>
                <w:noProof/>
                <w:spacing w:val="-6"/>
                <w:lang w:val="sk-SK"/>
              </w:rPr>
              <w:t xml:space="preserve"> a </w:t>
            </w:r>
            <w:r w:rsidRPr="00AB26B3">
              <w:rPr>
                <w:noProof/>
                <w:spacing w:val="-6"/>
                <w:lang w:val="sk-SK"/>
              </w:rPr>
              <w:t>odolnosti, boli vykonané.</w:t>
            </w:r>
          </w:p>
          <w:p w14:paraId="432B0735"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7A3652E1" w14:textId="10FAFB50" w:rsidR="00302FC1" w:rsidRPr="00AB26B3" w:rsidRDefault="00D64F26">
            <w:pPr>
              <w:pStyle w:val="P68B1DB1-Normal12"/>
              <w:spacing w:after="0" w:line="240" w:lineRule="auto"/>
              <w:rPr>
                <w:noProof/>
                <w:spacing w:val="-6"/>
                <w:lang w:val="sk-SK"/>
              </w:rPr>
            </w:pPr>
            <w:r w:rsidRPr="00AB26B3">
              <w:rPr>
                <w:noProof/>
                <w:spacing w:val="-6"/>
                <w:lang w:val="sk-SK"/>
              </w:rPr>
              <w:t>Opatrenia prijaté na vykonanie odporúčaní uvedených</w:t>
            </w:r>
            <w:r w:rsidR="00AB26B3" w:rsidRPr="00AB26B3">
              <w:rPr>
                <w:noProof/>
                <w:spacing w:val="-6"/>
                <w:lang w:val="sk-SK"/>
              </w:rPr>
              <w:t xml:space="preserve"> v </w:t>
            </w:r>
            <w:r w:rsidRPr="00AB26B3">
              <w:rPr>
                <w:noProof/>
                <w:spacing w:val="-6"/>
                <w:lang w:val="sk-SK"/>
              </w:rPr>
              <w:t>správe gréckeho orgánu pre vyšetrovanie leteckých</w:t>
            </w:r>
            <w:r w:rsidR="00AB26B3" w:rsidRPr="00AB26B3">
              <w:rPr>
                <w:noProof/>
                <w:spacing w:val="-6"/>
                <w:lang w:val="sk-SK"/>
              </w:rPr>
              <w:t xml:space="preserve"> a </w:t>
            </w:r>
            <w:r w:rsidRPr="00AB26B3">
              <w:rPr>
                <w:noProof/>
                <w:spacing w:val="-6"/>
                <w:lang w:val="sk-SK"/>
              </w:rPr>
              <w:t>železničných nehôd (RL01 – 2025)</w:t>
            </w:r>
            <w:r w:rsidR="00AB26B3" w:rsidRPr="00AB26B3">
              <w:rPr>
                <w:noProof/>
                <w:spacing w:val="-6"/>
                <w:lang w:val="sk-SK"/>
              </w:rPr>
              <w:t xml:space="preserve"> z </w:t>
            </w:r>
            <w:r w:rsidRPr="00AB26B3">
              <w:rPr>
                <w:noProof/>
                <w:spacing w:val="-6"/>
                <w:lang w:val="sk-SK"/>
              </w:rPr>
              <w:t>27</w:t>
            </w:r>
            <w:r w:rsidR="00AB26B3" w:rsidRPr="00AB26B3">
              <w:rPr>
                <w:noProof/>
                <w:spacing w:val="-6"/>
                <w:lang w:val="sk-SK"/>
              </w:rPr>
              <w:t>. februára</w:t>
            </w:r>
            <w:r w:rsidRPr="00AB26B3">
              <w:rPr>
                <w:noProof/>
                <w:spacing w:val="-6"/>
                <w:lang w:val="sk-SK"/>
              </w:rPr>
              <w:t xml:space="preserve"> 2025 zameranej na grécke orgány, subjekty</w:t>
            </w:r>
            <w:r w:rsidR="00AB26B3" w:rsidRPr="00AB26B3">
              <w:rPr>
                <w:noProof/>
                <w:spacing w:val="-6"/>
                <w:lang w:val="sk-SK"/>
              </w:rPr>
              <w:t xml:space="preserve"> a </w:t>
            </w:r>
            <w:r w:rsidRPr="00AB26B3">
              <w:rPr>
                <w:noProof/>
                <w:spacing w:val="-6"/>
                <w:lang w:val="sk-SK"/>
              </w:rPr>
              <w:t>prevádzkovateľov.</w:t>
            </w:r>
          </w:p>
          <w:p w14:paraId="11168910"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2894E017" w14:textId="77777777" w:rsidR="00302FC1" w:rsidRPr="00AB26B3" w:rsidRDefault="00D64F26">
            <w:pPr>
              <w:pStyle w:val="P68B1DB1-Normal12"/>
              <w:spacing w:after="0" w:line="240" w:lineRule="auto"/>
              <w:rPr>
                <w:noProof/>
                <w:spacing w:val="-6"/>
                <w:lang w:val="sk-SK"/>
              </w:rPr>
            </w:pPr>
            <w:r w:rsidRPr="00AB26B3">
              <w:rPr>
                <w:noProof/>
                <w:spacing w:val="-6"/>
                <w:lang w:val="sk-SK"/>
              </w:rPr>
              <w:t>Vydanie bezpečnostného povolenia Helénskych železníc na základe posúdenia upraveného systému riadenia bezpečnosti (SMS) regulačným orgánom pre železnice (RAS).</w:t>
            </w:r>
          </w:p>
        </w:tc>
      </w:tr>
      <w:tr w:rsidR="00302FC1" w:rsidRPr="00AB26B3" w14:paraId="45C36796" w14:textId="77777777">
        <w:trPr>
          <w:trHeight w:val="313"/>
          <w:jc w:val="center"/>
        </w:trPr>
        <w:tc>
          <w:tcPr>
            <w:tcW w:w="591" w:type="dxa"/>
            <w:shd w:val="clear" w:color="auto" w:fill="C6EFCE"/>
            <w:noWrap/>
          </w:tcPr>
          <w:p w14:paraId="3CA3A45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269</w:t>
            </w:r>
          </w:p>
        </w:tc>
        <w:tc>
          <w:tcPr>
            <w:tcW w:w="2665" w:type="dxa"/>
            <w:shd w:val="clear" w:color="auto" w:fill="C6EFCE"/>
            <w:noWrap/>
          </w:tcPr>
          <w:p w14:paraId="12B9321F" w14:textId="77777777" w:rsidR="00AB26B3" w:rsidRPr="00AB26B3" w:rsidRDefault="00D64F26">
            <w:pPr>
              <w:pStyle w:val="P68B1DB1-Normal12"/>
              <w:spacing w:after="0" w:line="240" w:lineRule="auto"/>
              <w:rPr>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w:t>
            </w:r>
          </w:p>
          <w:p w14:paraId="24A49FD7" w14:textId="3FFAC73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16833_Vykonávanie letiskových bezpečnostných prác</w:t>
            </w:r>
          </w:p>
        </w:tc>
        <w:tc>
          <w:tcPr>
            <w:tcW w:w="1134" w:type="dxa"/>
            <w:shd w:val="clear" w:color="auto" w:fill="C6EFCE"/>
            <w:noWrap/>
          </w:tcPr>
          <w:p w14:paraId="5A94C72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18A93162" w14:textId="3E137977" w:rsidR="00302FC1" w:rsidRPr="00AB26B3" w:rsidRDefault="00D64F26">
            <w:pPr>
              <w:pStyle w:val="P68B1DB1-Normal12"/>
              <w:spacing w:after="0" w:line="240" w:lineRule="auto"/>
              <w:rPr>
                <w:noProof/>
                <w:spacing w:val="-6"/>
                <w:lang w:val="sk-SK"/>
              </w:rPr>
            </w:pPr>
            <w:r w:rsidRPr="00AB26B3">
              <w:rPr>
                <w:noProof/>
                <w:spacing w:val="-6"/>
                <w:lang w:val="sk-SK"/>
              </w:rPr>
              <w:t>Dokumenty</w:t>
            </w:r>
            <w:r w:rsidR="00AB26B3" w:rsidRPr="00AB26B3">
              <w:rPr>
                <w:noProof/>
                <w:spacing w:val="-6"/>
                <w:lang w:val="sk-SK"/>
              </w:rPr>
              <w:t xml:space="preserve"> o </w:t>
            </w:r>
            <w:r w:rsidRPr="00AB26B3">
              <w:rPr>
                <w:noProof/>
                <w:spacing w:val="-6"/>
                <w:lang w:val="sk-SK"/>
              </w:rPr>
              <w:t>prijatí odchýlky</w:t>
            </w:r>
            <w:r w:rsidR="00AB26B3" w:rsidRPr="00AB26B3">
              <w:rPr>
                <w:noProof/>
                <w:spacing w:val="-6"/>
                <w:lang w:val="sk-SK"/>
              </w:rPr>
              <w:t xml:space="preserve"> a </w:t>
            </w:r>
            <w:r w:rsidRPr="00AB26B3">
              <w:rPr>
                <w:noProof/>
                <w:spacing w:val="-6"/>
                <w:lang w:val="sk-SK"/>
              </w:rPr>
              <w:t>súvisiacich opatreniach (DAAD)</w:t>
            </w:r>
          </w:p>
        </w:tc>
        <w:tc>
          <w:tcPr>
            <w:tcW w:w="2127" w:type="dxa"/>
            <w:shd w:val="clear" w:color="auto" w:fill="C6EFCE"/>
            <w:noWrap/>
          </w:tcPr>
          <w:p w14:paraId="2DD84D00" w14:textId="66B744C1" w:rsidR="00302FC1" w:rsidRPr="00AB26B3" w:rsidRDefault="00D64F26">
            <w:pPr>
              <w:pStyle w:val="P68B1DB1-Normal12"/>
              <w:spacing w:after="0" w:line="240" w:lineRule="auto"/>
              <w:rPr>
                <w:noProof/>
                <w:spacing w:val="-6"/>
                <w:lang w:val="sk-SK"/>
              </w:rPr>
            </w:pPr>
            <w:r w:rsidRPr="00AB26B3">
              <w:rPr>
                <w:noProof/>
                <w:spacing w:val="-6"/>
                <w:lang w:val="sk-SK"/>
              </w:rPr>
              <w:t>Zrušenie 169 dokumentov</w:t>
            </w:r>
            <w:r w:rsidR="00AB26B3" w:rsidRPr="00AB26B3">
              <w:rPr>
                <w:noProof/>
                <w:spacing w:val="-6"/>
                <w:lang w:val="sk-SK"/>
              </w:rPr>
              <w:t xml:space="preserve"> o </w:t>
            </w:r>
            <w:r w:rsidRPr="00AB26B3">
              <w:rPr>
                <w:noProof/>
                <w:spacing w:val="-6"/>
                <w:lang w:val="sk-SK"/>
              </w:rPr>
              <w:t>prijatí odchýlky</w:t>
            </w:r>
            <w:r w:rsidR="00AB26B3" w:rsidRPr="00AB26B3">
              <w:rPr>
                <w:noProof/>
                <w:spacing w:val="-6"/>
                <w:lang w:val="sk-SK"/>
              </w:rPr>
              <w:t xml:space="preserve"> a </w:t>
            </w:r>
            <w:r w:rsidRPr="00AB26B3">
              <w:rPr>
                <w:noProof/>
                <w:spacing w:val="-6"/>
                <w:lang w:val="sk-SK"/>
              </w:rPr>
              <w:t>akčných dokumentov (DAAD)</w:t>
            </w:r>
          </w:p>
        </w:tc>
        <w:tc>
          <w:tcPr>
            <w:tcW w:w="992" w:type="dxa"/>
            <w:shd w:val="clear" w:color="auto" w:fill="C6EFCE"/>
            <w:noWrap/>
          </w:tcPr>
          <w:p w14:paraId="5E0ECF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928BA5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2A82BA4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743057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7D9DC92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293A89C1" w14:textId="5E0D1C4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Stiahnutie 169 dokumentov</w:t>
            </w:r>
            <w:r w:rsidR="00AB26B3" w:rsidRPr="00AB26B3">
              <w:rPr>
                <w:noProof/>
                <w:spacing w:val="-6"/>
                <w:lang w:val="sk-SK"/>
              </w:rPr>
              <w:t xml:space="preserve"> o </w:t>
            </w:r>
            <w:r w:rsidRPr="00AB26B3">
              <w:rPr>
                <w:noProof/>
                <w:spacing w:val="-6"/>
                <w:lang w:val="sk-SK"/>
              </w:rPr>
              <w:t>prijatí odchýlky</w:t>
            </w:r>
            <w:r w:rsidR="00AB26B3" w:rsidRPr="00AB26B3">
              <w:rPr>
                <w:noProof/>
                <w:spacing w:val="-6"/>
                <w:lang w:val="sk-SK"/>
              </w:rPr>
              <w:t xml:space="preserve"> a </w:t>
            </w:r>
            <w:r w:rsidRPr="00AB26B3">
              <w:rPr>
                <w:noProof/>
                <w:spacing w:val="-6"/>
                <w:lang w:val="sk-SK"/>
              </w:rPr>
              <w:t>akčných dokumentov (DAAD)</w:t>
            </w:r>
            <w:r w:rsidR="00AB26B3" w:rsidRPr="00AB26B3">
              <w:rPr>
                <w:noProof/>
                <w:spacing w:val="-6"/>
                <w:lang w:val="sk-SK"/>
              </w:rPr>
              <w:t xml:space="preserve"> z </w:t>
            </w:r>
            <w:r w:rsidRPr="00AB26B3">
              <w:rPr>
                <w:noProof/>
                <w:spacing w:val="-6"/>
                <w:lang w:val="sk-SK"/>
              </w:rPr>
              <w:t>13 letísk na základe rozhodnutí gréckeho úradu civilného letectva (HCAA).</w:t>
            </w:r>
          </w:p>
        </w:tc>
      </w:tr>
      <w:tr w:rsidR="00302FC1" w:rsidRPr="00AB26B3" w14:paraId="69C811F9" w14:textId="77777777">
        <w:trPr>
          <w:trHeight w:val="1065"/>
          <w:jc w:val="center"/>
        </w:trPr>
        <w:tc>
          <w:tcPr>
            <w:tcW w:w="591" w:type="dxa"/>
            <w:shd w:val="clear" w:color="auto" w:fill="C6EFCE"/>
            <w:noWrap/>
          </w:tcPr>
          <w:p w14:paraId="7469C15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271</w:t>
            </w:r>
          </w:p>
        </w:tc>
        <w:tc>
          <w:tcPr>
            <w:tcW w:w="2665" w:type="dxa"/>
            <w:shd w:val="clear" w:color="auto" w:fill="C6EFCE"/>
            <w:noWrap/>
          </w:tcPr>
          <w:p w14:paraId="182B8E10" w14:textId="6208B7BE" w:rsidR="00302FC1" w:rsidRPr="00AB26B3" w:rsidRDefault="00D64F26">
            <w:pPr>
              <w:pStyle w:val="P68B1DB1-Normal12"/>
              <w:spacing w:after="0" w:line="240" w:lineRule="auto"/>
              <w:rPr>
                <w:rFonts w:eastAsia="Times New Roman"/>
                <w:noProof/>
                <w:spacing w:val="-6"/>
                <w:highlight w:val="yellow"/>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16892_Modernizácia prímestskej železnice Západnej Atiky</w:t>
            </w:r>
          </w:p>
        </w:tc>
        <w:tc>
          <w:tcPr>
            <w:tcW w:w="1134" w:type="dxa"/>
            <w:shd w:val="clear" w:color="auto" w:fill="C6EFCE"/>
            <w:noWrap/>
          </w:tcPr>
          <w:p w14:paraId="59F5B2B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41D6B59B" w14:textId="0EE1AB58" w:rsidR="00302FC1" w:rsidRPr="00AB26B3" w:rsidRDefault="00D64F26">
            <w:pPr>
              <w:pStyle w:val="P68B1DB1-Normal28"/>
              <w:spacing w:after="0" w:line="240" w:lineRule="auto"/>
              <w:rPr>
                <w:noProof/>
                <w:spacing w:val="-6"/>
                <w:lang w:val="sk-SK"/>
              </w:rPr>
            </w:pPr>
            <w:r w:rsidRPr="00AB26B3">
              <w:rPr>
                <w:noProof/>
                <w:spacing w:val="-6"/>
                <w:lang w:val="sk-SK"/>
              </w:rPr>
              <w:t>Výstavba časti železničnej trate West Atica od Ano Liossia po začiatok úseku</w:t>
            </w:r>
            <w:r w:rsidR="00AB26B3" w:rsidRPr="00AB26B3">
              <w:rPr>
                <w:noProof/>
                <w:spacing w:val="-6"/>
                <w:lang w:val="sk-SK"/>
              </w:rPr>
              <w:t xml:space="preserve"> v </w:t>
            </w:r>
            <w:r w:rsidRPr="00AB26B3">
              <w:rPr>
                <w:noProof/>
                <w:spacing w:val="-6"/>
                <w:lang w:val="sk-SK"/>
              </w:rPr>
              <w:t>ELPE Elefsina</w:t>
            </w:r>
            <w:r w:rsidR="00AB26B3" w:rsidRPr="00AB26B3">
              <w:rPr>
                <w:noProof/>
                <w:spacing w:val="-6"/>
                <w:lang w:val="sk-SK"/>
              </w:rPr>
              <w:t xml:space="preserve"> a </w:t>
            </w:r>
            <w:r w:rsidRPr="00AB26B3">
              <w:rPr>
                <w:noProof/>
                <w:spacing w:val="-6"/>
                <w:lang w:val="sk-SK"/>
              </w:rPr>
              <w:t>od konca úseku ELPE Elefsina po novú stanicu Megara</w:t>
            </w:r>
          </w:p>
        </w:tc>
        <w:tc>
          <w:tcPr>
            <w:tcW w:w="2127" w:type="dxa"/>
            <w:shd w:val="clear" w:color="auto" w:fill="C6EFCE"/>
            <w:noWrap/>
          </w:tcPr>
          <w:p w14:paraId="6501D6F2" w14:textId="2CE1A75A" w:rsidR="00302FC1" w:rsidRPr="00AB26B3" w:rsidRDefault="00D64F26">
            <w:pPr>
              <w:pStyle w:val="P68B1DB1-Normal12"/>
              <w:spacing w:after="0" w:line="240" w:lineRule="auto"/>
              <w:rPr>
                <w:noProof/>
                <w:spacing w:val="-6"/>
                <w:lang w:val="sk-SK"/>
              </w:rPr>
            </w:pPr>
            <w:r w:rsidRPr="00AB26B3">
              <w:rPr>
                <w:noProof/>
                <w:spacing w:val="-6"/>
                <w:lang w:val="sk-SK"/>
              </w:rPr>
              <w:t>Časť železničnej trate West Attica od Ano Liossia po začiatok úseku</w:t>
            </w:r>
            <w:r w:rsidR="00AB26B3" w:rsidRPr="00AB26B3">
              <w:rPr>
                <w:noProof/>
                <w:spacing w:val="-6"/>
                <w:lang w:val="sk-SK"/>
              </w:rPr>
              <w:t xml:space="preserve"> v </w:t>
            </w:r>
            <w:r w:rsidRPr="00AB26B3">
              <w:rPr>
                <w:noProof/>
                <w:spacing w:val="-6"/>
                <w:lang w:val="sk-SK"/>
              </w:rPr>
              <w:t>ELPE Elefsina</w:t>
            </w:r>
            <w:r w:rsidR="00AB26B3" w:rsidRPr="00AB26B3">
              <w:rPr>
                <w:noProof/>
                <w:spacing w:val="-6"/>
                <w:lang w:val="sk-SK"/>
              </w:rPr>
              <w:t xml:space="preserve"> a </w:t>
            </w:r>
            <w:r w:rsidRPr="00AB26B3">
              <w:rPr>
                <w:noProof/>
                <w:spacing w:val="-6"/>
                <w:lang w:val="sk-SK"/>
              </w:rPr>
              <w:t>od konca úseku ELPE Elefsina po novú stanicu Megara, postavená</w:t>
            </w:r>
          </w:p>
        </w:tc>
        <w:tc>
          <w:tcPr>
            <w:tcW w:w="992" w:type="dxa"/>
            <w:shd w:val="clear" w:color="auto" w:fill="C6EFCE"/>
            <w:noWrap/>
          </w:tcPr>
          <w:p w14:paraId="129FE16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1A95E31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03359A3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3A69CD9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080076F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14DFD3AB" w14:textId="0E8640BD" w:rsidR="00302FC1" w:rsidRPr="00AB26B3" w:rsidRDefault="00D64F26">
            <w:pPr>
              <w:pStyle w:val="P68B1DB1-Normal15"/>
              <w:spacing w:after="0" w:line="240" w:lineRule="auto"/>
              <w:rPr>
                <w:rFonts w:eastAsia="Times New Roman"/>
                <w:noProof/>
                <w:color w:val="006100"/>
                <w:spacing w:val="-6"/>
                <w:lang w:val="sk-SK"/>
              </w:rPr>
            </w:pPr>
            <w:r w:rsidRPr="00AB26B3">
              <w:rPr>
                <w:noProof/>
                <w:color w:val="006100"/>
                <w:spacing w:val="-6"/>
                <w:lang w:val="sk-SK"/>
              </w:rPr>
              <w:t>Výstavba infraštruktúry</w:t>
            </w:r>
            <w:r w:rsidR="00AB26B3" w:rsidRPr="00AB26B3">
              <w:rPr>
                <w:noProof/>
                <w:color w:val="006100"/>
                <w:spacing w:val="-6"/>
                <w:lang w:val="sk-SK"/>
              </w:rPr>
              <w:t xml:space="preserve"> a </w:t>
            </w:r>
            <w:r w:rsidRPr="00AB26B3">
              <w:rPr>
                <w:noProof/>
                <w:color w:val="006100"/>
                <w:spacing w:val="-6"/>
                <w:lang w:val="sk-SK"/>
              </w:rPr>
              <w:t>nadstavbových prác, elektrifikácia, signalizačné</w:t>
            </w:r>
            <w:r w:rsidR="00AB26B3" w:rsidRPr="00AB26B3">
              <w:rPr>
                <w:noProof/>
                <w:color w:val="006100"/>
                <w:spacing w:val="-6"/>
                <w:lang w:val="sk-SK"/>
              </w:rPr>
              <w:t xml:space="preserve"> a </w:t>
            </w:r>
            <w:r w:rsidRPr="00AB26B3">
              <w:rPr>
                <w:noProof/>
                <w:color w:val="006100"/>
                <w:spacing w:val="-6"/>
                <w:lang w:val="sk-SK"/>
              </w:rPr>
              <w:t>telekomunikačné systémy (okrem systému informácií</w:t>
            </w:r>
            <w:r w:rsidR="00AB26B3" w:rsidRPr="00AB26B3">
              <w:rPr>
                <w:noProof/>
                <w:color w:val="006100"/>
                <w:spacing w:val="-6"/>
                <w:lang w:val="sk-SK"/>
              </w:rPr>
              <w:t xml:space="preserve"> o </w:t>
            </w:r>
            <w:r w:rsidRPr="00AB26B3">
              <w:rPr>
                <w:noProof/>
                <w:color w:val="006100"/>
                <w:spacing w:val="-6"/>
                <w:lang w:val="sk-SK"/>
              </w:rPr>
              <w:t>cestujúcich),</w:t>
            </w:r>
            <w:r w:rsidR="00AB26B3" w:rsidRPr="00AB26B3">
              <w:rPr>
                <w:noProof/>
                <w:color w:val="006100"/>
                <w:spacing w:val="-6"/>
                <w:lang w:val="sk-SK"/>
              </w:rPr>
              <w:t xml:space="preserve"> v </w:t>
            </w:r>
            <w:r w:rsidRPr="00AB26B3">
              <w:rPr>
                <w:noProof/>
                <w:color w:val="006100"/>
                <w:spacing w:val="-6"/>
                <w:lang w:val="sk-SK"/>
              </w:rPr>
              <w:t>časti prímestskej železničnej trate West</w:t>
            </w:r>
            <w:r w:rsidRPr="00AB26B3">
              <w:rPr>
                <w:noProof/>
                <w:spacing w:val="-6"/>
                <w:lang w:val="sk-SK"/>
              </w:rPr>
              <w:t xml:space="preserve"> </w:t>
            </w:r>
            <w:r w:rsidRPr="00AB26B3">
              <w:rPr>
                <w:noProof/>
                <w:color w:val="006100"/>
                <w:spacing w:val="-6"/>
                <w:lang w:val="sk-SK"/>
              </w:rPr>
              <w:t>Atica od Ano Liossia po začiatok úseku</w:t>
            </w:r>
            <w:r w:rsidR="00AB26B3" w:rsidRPr="00AB26B3">
              <w:rPr>
                <w:noProof/>
                <w:color w:val="006100"/>
                <w:spacing w:val="-6"/>
                <w:lang w:val="sk-SK"/>
              </w:rPr>
              <w:t xml:space="preserve"> v </w:t>
            </w:r>
            <w:r w:rsidRPr="00AB26B3">
              <w:rPr>
                <w:noProof/>
                <w:color w:val="006100"/>
                <w:spacing w:val="-6"/>
                <w:lang w:val="sk-SK"/>
              </w:rPr>
              <w:t>ELPE Elefsina</w:t>
            </w:r>
            <w:r w:rsidR="00AB26B3" w:rsidRPr="00AB26B3">
              <w:rPr>
                <w:noProof/>
                <w:color w:val="006100"/>
                <w:spacing w:val="-6"/>
                <w:lang w:val="sk-SK"/>
              </w:rPr>
              <w:t xml:space="preserve"> a </w:t>
            </w:r>
            <w:r w:rsidRPr="00AB26B3">
              <w:rPr>
                <w:noProof/>
                <w:color w:val="006100"/>
                <w:spacing w:val="-6"/>
                <w:lang w:val="sk-SK"/>
              </w:rPr>
              <w:t xml:space="preserve">od konca úseku ELPE Elefsina po novú stanicu Megara. </w:t>
            </w:r>
          </w:p>
        </w:tc>
      </w:tr>
      <w:tr w:rsidR="00302FC1" w:rsidRPr="00AB26B3" w14:paraId="78B13B33" w14:textId="77777777">
        <w:trPr>
          <w:trHeight w:val="796"/>
          <w:jc w:val="center"/>
        </w:trPr>
        <w:tc>
          <w:tcPr>
            <w:tcW w:w="591" w:type="dxa"/>
            <w:shd w:val="clear" w:color="auto" w:fill="C6EFCE"/>
            <w:noWrap/>
          </w:tcPr>
          <w:p w14:paraId="3B6668E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272</w:t>
            </w:r>
          </w:p>
        </w:tc>
        <w:tc>
          <w:tcPr>
            <w:tcW w:w="2665" w:type="dxa"/>
            <w:shd w:val="clear" w:color="auto" w:fill="C6EFCE"/>
            <w:noWrap/>
          </w:tcPr>
          <w:p w14:paraId="62D351E3" w14:textId="57D2985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16949_Inteligentné mosty</w:t>
            </w:r>
          </w:p>
        </w:tc>
        <w:tc>
          <w:tcPr>
            <w:tcW w:w="1134" w:type="dxa"/>
            <w:shd w:val="clear" w:color="auto" w:fill="C6EFCE"/>
            <w:noWrap/>
          </w:tcPr>
          <w:p w14:paraId="5FF967D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7E11EF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inteligentných mostov, fáza I</w:t>
            </w:r>
          </w:p>
        </w:tc>
        <w:tc>
          <w:tcPr>
            <w:tcW w:w="2127" w:type="dxa"/>
            <w:shd w:val="clear" w:color="auto" w:fill="C6EFCE"/>
            <w:noWrap/>
          </w:tcPr>
          <w:p w14:paraId="1126DB7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prác</w:t>
            </w:r>
          </w:p>
        </w:tc>
        <w:tc>
          <w:tcPr>
            <w:tcW w:w="992" w:type="dxa"/>
            <w:shd w:val="clear" w:color="auto" w:fill="C6EFCE"/>
            <w:noWrap/>
          </w:tcPr>
          <w:p w14:paraId="1ABE018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064D72B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64365B5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145B5E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1036773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14897744" w14:textId="198873A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inteligentných mostov, fáza I,</w:t>
            </w:r>
            <w:r w:rsidR="00AB26B3" w:rsidRPr="00AB26B3">
              <w:rPr>
                <w:noProof/>
                <w:spacing w:val="-6"/>
                <w:lang w:val="sk-SK"/>
              </w:rPr>
              <w:t xml:space="preserve"> v </w:t>
            </w:r>
            <w:r w:rsidRPr="00AB26B3">
              <w:rPr>
                <w:noProof/>
                <w:spacing w:val="-6"/>
                <w:lang w:val="sk-SK"/>
              </w:rPr>
              <w:t>rámci ktorej sa poskytuje inteligentná preventívna údržba 225 mostov vo viacerých regiónoch krajiny.</w:t>
            </w:r>
          </w:p>
        </w:tc>
      </w:tr>
      <w:tr w:rsidR="00302FC1" w:rsidRPr="00AB26B3" w14:paraId="1737B203" w14:textId="77777777">
        <w:trPr>
          <w:trHeight w:val="917"/>
          <w:jc w:val="center"/>
        </w:trPr>
        <w:tc>
          <w:tcPr>
            <w:tcW w:w="591" w:type="dxa"/>
            <w:shd w:val="clear" w:color="auto" w:fill="C6EFCE"/>
            <w:noWrap/>
          </w:tcPr>
          <w:p w14:paraId="4239090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272a</w:t>
            </w:r>
          </w:p>
        </w:tc>
        <w:tc>
          <w:tcPr>
            <w:tcW w:w="2665" w:type="dxa"/>
            <w:shd w:val="clear" w:color="auto" w:fill="C6EFCE"/>
            <w:noWrap/>
          </w:tcPr>
          <w:p w14:paraId="211BB11A" w14:textId="469D0DE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16949_Inteligentné mosty</w:t>
            </w:r>
          </w:p>
        </w:tc>
        <w:tc>
          <w:tcPr>
            <w:tcW w:w="1134" w:type="dxa"/>
            <w:shd w:val="clear" w:color="auto" w:fill="C6EFCE"/>
            <w:noWrap/>
          </w:tcPr>
          <w:p w14:paraId="3E65F35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6834E94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inteligentných mostov, fáza II</w:t>
            </w:r>
          </w:p>
        </w:tc>
        <w:tc>
          <w:tcPr>
            <w:tcW w:w="2127" w:type="dxa"/>
            <w:shd w:val="clear" w:color="auto" w:fill="C6EFCE"/>
            <w:noWrap/>
          </w:tcPr>
          <w:p w14:paraId="50E5599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Vykonávanie prác </w:t>
            </w:r>
          </w:p>
        </w:tc>
        <w:tc>
          <w:tcPr>
            <w:tcW w:w="992" w:type="dxa"/>
            <w:shd w:val="clear" w:color="auto" w:fill="C6EFCE"/>
            <w:noWrap/>
          </w:tcPr>
          <w:p w14:paraId="09AB2D8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06FD8F6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4873E8B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21B497F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13" w:type="dxa"/>
            <w:shd w:val="clear" w:color="auto" w:fill="C6EFCE"/>
            <w:noWrap/>
          </w:tcPr>
          <w:p w14:paraId="2835C7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32202BA9" w14:textId="121261E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Realizácia projektu inteligentných mostov, fáza II, vybavenie 234 mostov bezdrôtovými snímačmi poháňanými solárnymi panelmi. </w:t>
            </w:r>
          </w:p>
        </w:tc>
      </w:tr>
      <w:tr w:rsidR="00302FC1" w:rsidRPr="00AB26B3" w14:paraId="66EA5DC6" w14:textId="77777777">
        <w:trPr>
          <w:trHeight w:val="917"/>
          <w:jc w:val="center"/>
        </w:trPr>
        <w:tc>
          <w:tcPr>
            <w:tcW w:w="591" w:type="dxa"/>
            <w:shd w:val="clear" w:color="auto" w:fill="C6EFCE"/>
            <w:noWrap/>
          </w:tcPr>
          <w:p w14:paraId="24A01D6C" w14:textId="70D7899F" w:rsidR="00302FC1" w:rsidRPr="00AB26B3" w:rsidRDefault="00D64F26">
            <w:pPr>
              <w:pStyle w:val="P68B1DB1-Normal12"/>
              <w:spacing w:after="0" w:line="240" w:lineRule="auto"/>
              <w:rPr>
                <w:noProof/>
                <w:spacing w:val="-6"/>
                <w:lang w:val="sk-SK"/>
              </w:rPr>
            </w:pPr>
            <w:r w:rsidRPr="00AB26B3">
              <w:rPr>
                <w:noProof/>
                <w:spacing w:val="-6"/>
                <w:lang w:val="sk-SK"/>
              </w:rPr>
              <w:t>272b</w:t>
            </w:r>
          </w:p>
        </w:tc>
        <w:tc>
          <w:tcPr>
            <w:tcW w:w="2665" w:type="dxa"/>
            <w:shd w:val="clear" w:color="auto" w:fill="C6EFCE"/>
            <w:noWrap/>
          </w:tcPr>
          <w:p w14:paraId="2D957920" w14:textId="162F6DE7" w:rsidR="00302FC1" w:rsidRPr="00AB26B3" w:rsidRDefault="00D64F26">
            <w:pPr>
              <w:pStyle w:val="P68B1DB1-Normal12"/>
              <w:spacing w:after="0" w:line="240" w:lineRule="auto"/>
              <w:rPr>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16949_Inteligentné mosty</w:t>
            </w:r>
          </w:p>
        </w:tc>
        <w:tc>
          <w:tcPr>
            <w:tcW w:w="1134" w:type="dxa"/>
            <w:shd w:val="clear" w:color="auto" w:fill="C6EFCE"/>
            <w:noWrap/>
          </w:tcPr>
          <w:p w14:paraId="5A547FA3" w14:textId="3EA1C994"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1842" w:type="dxa"/>
            <w:shd w:val="clear" w:color="auto" w:fill="C6EFCE"/>
            <w:noWrap/>
          </w:tcPr>
          <w:p w14:paraId="76B18733" w14:textId="7EE1D00D" w:rsidR="00302FC1" w:rsidRPr="00AB26B3" w:rsidRDefault="00D64F26">
            <w:pPr>
              <w:pStyle w:val="P68B1DB1-Normal12"/>
              <w:spacing w:after="0" w:line="240" w:lineRule="auto"/>
              <w:rPr>
                <w:noProof/>
                <w:spacing w:val="-6"/>
                <w:lang w:val="sk-SK"/>
              </w:rPr>
            </w:pPr>
            <w:r w:rsidRPr="00AB26B3">
              <w:rPr>
                <w:noProof/>
                <w:spacing w:val="-6"/>
                <w:lang w:val="sk-SK"/>
              </w:rPr>
              <w:t>Realizácia projektu inteligentných mostov, fáza III</w:t>
            </w:r>
          </w:p>
        </w:tc>
        <w:tc>
          <w:tcPr>
            <w:tcW w:w="2127" w:type="dxa"/>
            <w:shd w:val="clear" w:color="auto" w:fill="C6EFCE"/>
            <w:noWrap/>
          </w:tcPr>
          <w:p w14:paraId="139C9A74" w14:textId="074A0B6D" w:rsidR="00302FC1" w:rsidRPr="00AB26B3" w:rsidRDefault="00D64F26">
            <w:pPr>
              <w:pStyle w:val="P68B1DB1-Normal12"/>
              <w:spacing w:after="0" w:line="240" w:lineRule="auto"/>
              <w:rPr>
                <w:noProof/>
                <w:spacing w:val="-6"/>
                <w:lang w:val="sk-SK"/>
              </w:rPr>
            </w:pPr>
            <w:r w:rsidRPr="00AB26B3">
              <w:rPr>
                <w:noProof/>
                <w:spacing w:val="-6"/>
                <w:lang w:val="sk-SK"/>
              </w:rPr>
              <w:t>Vykonávanie prác</w:t>
            </w:r>
          </w:p>
        </w:tc>
        <w:tc>
          <w:tcPr>
            <w:tcW w:w="992" w:type="dxa"/>
            <w:shd w:val="clear" w:color="auto" w:fill="C6EFCE"/>
            <w:noWrap/>
          </w:tcPr>
          <w:p w14:paraId="79DE0F6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5701FC9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024532B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33B72684" w14:textId="52479FEF" w:rsidR="00302FC1" w:rsidRPr="00AB26B3" w:rsidRDefault="00D64F26">
            <w:pPr>
              <w:pStyle w:val="P68B1DB1-Normal12"/>
              <w:spacing w:after="0" w:line="240" w:lineRule="auto"/>
              <w:rPr>
                <w:noProof/>
                <w:spacing w:val="-6"/>
                <w:lang w:val="sk-SK"/>
              </w:rPr>
            </w:pPr>
            <w:r w:rsidRPr="00AB26B3">
              <w:rPr>
                <w:noProof/>
                <w:spacing w:val="-6"/>
                <w:lang w:val="sk-SK"/>
              </w:rPr>
              <w:t>ŠTVRTÝ ŠTVRŤROK</w:t>
            </w:r>
          </w:p>
        </w:tc>
        <w:tc>
          <w:tcPr>
            <w:tcW w:w="713" w:type="dxa"/>
            <w:shd w:val="clear" w:color="auto" w:fill="C6EFCE"/>
            <w:noWrap/>
          </w:tcPr>
          <w:p w14:paraId="144D6ADA" w14:textId="2597479C" w:rsidR="00302FC1" w:rsidRPr="00AB26B3" w:rsidRDefault="00D64F26">
            <w:pPr>
              <w:pStyle w:val="P68B1DB1-Normal12"/>
              <w:spacing w:after="0" w:line="240" w:lineRule="auto"/>
              <w:rPr>
                <w:noProof/>
                <w:spacing w:val="-6"/>
                <w:lang w:val="sk-SK"/>
              </w:rPr>
            </w:pPr>
            <w:r w:rsidRPr="00AB26B3">
              <w:rPr>
                <w:noProof/>
                <w:spacing w:val="-6"/>
                <w:lang w:val="sk-SK"/>
              </w:rPr>
              <w:t>2025</w:t>
            </w:r>
          </w:p>
        </w:tc>
        <w:tc>
          <w:tcPr>
            <w:tcW w:w="3402" w:type="dxa"/>
            <w:shd w:val="clear" w:color="auto" w:fill="C6EFCE"/>
            <w:noWrap/>
          </w:tcPr>
          <w:p w14:paraId="7908EFF4" w14:textId="07C92F8A" w:rsidR="00302FC1" w:rsidRPr="00AB26B3" w:rsidRDefault="00D64F26">
            <w:pPr>
              <w:pStyle w:val="P68B1DB1-Normal12"/>
              <w:spacing w:after="0" w:line="240" w:lineRule="auto"/>
              <w:rPr>
                <w:noProof/>
                <w:spacing w:val="-6"/>
                <w:lang w:val="sk-SK"/>
              </w:rPr>
            </w:pPr>
            <w:r w:rsidRPr="00AB26B3">
              <w:rPr>
                <w:noProof/>
                <w:spacing w:val="-6"/>
                <w:lang w:val="sk-SK"/>
              </w:rPr>
              <w:t>Realizácia projektu inteligentných mostov, fáza III, vybavenie i) 19 mostov špeciálnymi systémami na meranie zaťaženia</w:t>
            </w:r>
            <w:r w:rsidR="00AB26B3" w:rsidRPr="00AB26B3">
              <w:rPr>
                <w:noProof/>
                <w:spacing w:val="-6"/>
                <w:lang w:val="sk-SK"/>
              </w:rPr>
              <w:t xml:space="preserve"> a </w:t>
            </w:r>
            <w:r w:rsidRPr="00AB26B3">
              <w:rPr>
                <w:noProof/>
                <w:spacing w:val="-6"/>
                <w:lang w:val="sk-SK"/>
              </w:rPr>
              <w:t>snímačmi alebo optickými vláknami, ktoré merajú posun mostov</w:t>
            </w:r>
            <w:r w:rsidR="00AB26B3" w:rsidRPr="00AB26B3">
              <w:rPr>
                <w:noProof/>
                <w:spacing w:val="-6"/>
                <w:lang w:val="sk-SK"/>
              </w:rPr>
              <w:t xml:space="preserve"> v </w:t>
            </w:r>
            <w:r w:rsidRPr="00AB26B3">
              <w:rPr>
                <w:noProof/>
                <w:spacing w:val="-6"/>
                <w:lang w:val="sk-SK"/>
              </w:rPr>
              <w:t>reálnom čase,</w:t>
            </w:r>
            <w:r w:rsidR="00AB26B3" w:rsidRPr="00AB26B3">
              <w:rPr>
                <w:noProof/>
                <w:spacing w:val="-6"/>
                <w:lang w:val="sk-SK"/>
              </w:rPr>
              <w:t xml:space="preserve"> a </w:t>
            </w:r>
            <w:r w:rsidRPr="00AB26B3">
              <w:rPr>
                <w:noProof/>
                <w:spacing w:val="-6"/>
                <w:lang w:val="sk-SK"/>
              </w:rPr>
              <w:t>ii) 117 mostov bezdrôtovými snímačmi poháňanými solárnymi panelmi.</w:t>
            </w:r>
          </w:p>
        </w:tc>
      </w:tr>
      <w:tr w:rsidR="00302FC1" w:rsidRPr="00AB26B3" w14:paraId="6DC88A94" w14:textId="77777777">
        <w:trPr>
          <w:trHeight w:val="313"/>
          <w:jc w:val="center"/>
        </w:trPr>
        <w:tc>
          <w:tcPr>
            <w:tcW w:w="591" w:type="dxa"/>
            <w:shd w:val="clear" w:color="auto" w:fill="C6EFCE"/>
            <w:noWrap/>
          </w:tcPr>
          <w:p w14:paraId="4EB4D8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274</w:t>
            </w:r>
          </w:p>
        </w:tc>
        <w:tc>
          <w:tcPr>
            <w:tcW w:w="2665" w:type="dxa"/>
            <w:shd w:val="clear" w:color="auto" w:fill="C6EFCE"/>
            <w:noWrap/>
          </w:tcPr>
          <w:p w14:paraId="0AEB6E41" w14:textId="220842B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 xml:space="preserve">zlepšenie odolnosti kľúčových hospodárskych odvetví – 16959_Digitálna transformácia gréckych železníc </w:t>
            </w:r>
          </w:p>
        </w:tc>
        <w:tc>
          <w:tcPr>
            <w:tcW w:w="1134" w:type="dxa"/>
            <w:shd w:val="clear" w:color="auto" w:fill="C6EFCE"/>
            <w:noWrap/>
          </w:tcPr>
          <w:p w14:paraId="04F171C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3DA7BC89" w14:textId="58220177" w:rsidR="00302FC1" w:rsidRPr="00AB26B3" w:rsidRDefault="00D64F26">
            <w:pPr>
              <w:pStyle w:val="P68B1DB1-Normal12"/>
              <w:spacing w:after="0" w:line="240" w:lineRule="auto"/>
              <w:rPr>
                <w:noProof/>
                <w:spacing w:val="-6"/>
                <w:lang w:val="sk-SK"/>
              </w:rPr>
            </w:pPr>
            <w:r w:rsidRPr="00AB26B3">
              <w:rPr>
                <w:noProof/>
                <w:spacing w:val="-6"/>
                <w:lang w:val="sk-SK"/>
              </w:rPr>
              <w:t>Digitálne projekty, systémy, vybavenie</w:t>
            </w:r>
            <w:r w:rsidR="00AB26B3" w:rsidRPr="00AB26B3">
              <w:rPr>
                <w:noProof/>
                <w:spacing w:val="-6"/>
                <w:lang w:val="sk-SK"/>
              </w:rPr>
              <w:t xml:space="preserve"> a </w:t>
            </w:r>
            <w:r w:rsidRPr="00AB26B3">
              <w:rPr>
                <w:noProof/>
                <w:spacing w:val="-6"/>
                <w:lang w:val="sk-SK"/>
              </w:rPr>
              <w:t>služby</w:t>
            </w:r>
          </w:p>
        </w:tc>
        <w:tc>
          <w:tcPr>
            <w:tcW w:w="2127" w:type="dxa"/>
            <w:shd w:val="clear" w:color="auto" w:fill="C6EFCE"/>
            <w:noWrap/>
          </w:tcPr>
          <w:p w14:paraId="141C073F" w14:textId="1387333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Poskytované digitálne projekty, systémy, vybavenie</w:t>
            </w:r>
            <w:r w:rsidR="00AB26B3" w:rsidRPr="00AB26B3">
              <w:rPr>
                <w:noProof/>
                <w:spacing w:val="-6"/>
                <w:lang w:val="sk-SK"/>
              </w:rPr>
              <w:t xml:space="preserve"> a </w:t>
            </w:r>
            <w:r w:rsidRPr="00AB26B3">
              <w:rPr>
                <w:noProof/>
                <w:spacing w:val="-6"/>
                <w:lang w:val="sk-SK"/>
              </w:rPr>
              <w:t>služby</w:t>
            </w:r>
          </w:p>
        </w:tc>
        <w:tc>
          <w:tcPr>
            <w:tcW w:w="992" w:type="dxa"/>
            <w:shd w:val="clear" w:color="auto" w:fill="C6EFCE"/>
            <w:noWrap/>
          </w:tcPr>
          <w:p w14:paraId="124EA91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6EB8DF5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455C271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7B53FF7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607C197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13EB0FDB" w14:textId="38498E84" w:rsidR="00302FC1" w:rsidRPr="00AB26B3" w:rsidRDefault="00D64F26">
            <w:pPr>
              <w:pStyle w:val="P68B1DB1-Normal12"/>
              <w:spacing w:after="0" w:line="240" w:lineRule="auto"/>
              <w:rPr>
                <w:noProof/>
                <w:spacing w:val="-6"/>
                <w:lang w:val="sk-SK"/>
              </w:rPr>
            </w:pPr>
            <w:r w:rsidRPr="00AB26B3">
              <w:rPr>
                <w:noProof/>
                <w:spacing w:val="-6"/>
                <w:lang w:val="sk-SK"/>
              </w:rPr>
              <w:t>Poskytovanie týchto digitálnych projektov, systémov, vybavenia</w:t>
            </w:r>
            <w:r w:rsidR="00AB26B3" w:rsidRPr="00AB26B3">
              <w:rPr>
                <w:noProof/>
                <w:spacing w:val="-6"/>
                <w:lang w:val="sk-SK"/>
              </w:rPr>
              <w:t xml:space="preserve"> a </w:t>
            </w:r>
            <w:r w:rsidRPr="00AB26B3">
              <w:rPr>
                <w:noProof/>
                <w:spacing w:val="-6"/>
                <w:lang w:val="sk-SK"/>
              </w:rPr>
              <w:t>služieb:</w:t>
            </w:r>
          </w:p>
          <w:p w14:paraId="3BCBFB8E" w14:textId="3DB64D1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Systém správy cestovných lístkov</w:t>
            </w:r>
            <w:r w:rsidR="00AB26B3" w:rsidRPr="00AB26B3">
              <w:rPr>
                <w:noProof/>
                <w:spacing w:val="-6"/>
                <w:lang w:val="sk-SK"/>
              </w:rPr>
              <w:t xml:space="preserve"> a </w:t>
            </w:r>
            <w:r w:rsidRPr="00AB26B3">
              <w:rPr>
                <w:noProof/>
                <w:spacing w:val="-6"/>
                <w:lang w:val="sk-SK"/>
              </w:rPr>
              <w:t>telematický systém;</w:t>
            </w:r>
          </w:p>
          <w:p w14:paraId="1B7E5CD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Infraštruktúra inteligentných staníc;</w:t>
            </w:r>
          </w:p>
          <w:p w14:paraId="59BD61C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Služby zamerané na skúsenosti zákazníkov;</w:t>
            </w:r>
          </w:p>
          <w:p w14:paraId="515DD54E" w14:textId="439A7F6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Zavedenie</w:t>
            </w:r>
            <w:r w:rsidR="00AB26B3" w:rsidRPr="00AB26B3">
              <w:rPr>
                <w:noProof/>
                <w:spacing w:val="-6"/>
                <w:lang w:val="sk-SK"/>
              </w:rPr>
              <w:t xml:space="preserve"> a </w:t>
            </w:r>
            <w:r w:rsidRPr="00AB26B3">
              <w:rPr>
                <w:noProof/>
                <w:spacing w:val="-6"/>
                <w:lang w:val="sk-SK"/>
              </w:rPr>
              <w:t>prevádzka telekomunikačnej siete pre vysokorýchlostný internet na vlakoch</w:t>
            </w:r>
            <w:r w:rsidR="00AB26B3" w:rsidRPr="00AB26B3">
              <w:rPr>
                <w:noProof/>
                <w:spacing w:val="-6"/>
                <w:lang w:val="sk-SK"/>
              </w:rPr>
              <w:t xml:space="preserve"> a </w:t>
            </w:r>
            <w:r w:rsidRPr="00AB26B3">
              <w:rPr>
                <w:noProof/>
                <w:spacing w:val="-6"/>
                <w:lang w:val="sk-SK"/>
              </w:rPr>
              <w:t>staniciach;</w:t>
            </w:r>
          </w:p>
          <w:p w14:paraId="35EA3058" w14:textId="77644210" w:rsidR="00AB26B3" w:rsidRPr="00AB26B3" w:rsidRDefault="00D64F26">
            <w:pPr>
              <w:pStyle w:val="P68B1DB1-Normal12"/>
              <w:spacing w:after="0" w:line="240" w:lineRule="auto"/>
              <w:rPr>
                <w:noProof/>
                <w:spacing w:val="-6"/>
                <w:lang w:val="sk-SK"/>
              </w:rPr>
            </w:pPr>
            <w:r w:rsidRPr="00AB26B3">
              <w:rPr>
                <w:noProof/>
                <w:spacing w:val="-6"/>
                <w:lang w:val="sk-SK"/>
              </w:rPr>
              <w:t>5. Telematický systém vozidiel</w:t>
            </w:r>
            <w:r w:rsidR="00AB26B3" w:rsidRPr="00AB26B3">
              <w:rPr>
                <w:noProof/>
                <w:spacing w:val="-6"/>
                <w:lang w:val="sk-SK"/>
              </w:rPr>
              <w:t xml:space="preserve"> a </w:t>
            </w:r>
            <w:r w:rsidRPr="00AB26B3">
              <w:rPr>
                <w:noProof/>
                <w:spacing w:val="-6"/>
                <w:lang w:val="sk-SK"/>
              </w:rPr>
              <w:t>inštalačné služby gréckych železníc</w:t>
            </w:r>
            <w:r w:rsidR="00AB26B3" w:rsidRPr="00AB26B3">
              <w:rPr>
                <w:noProof/>
                <w:spacing w:val="-6"/>
                <w:lang w:val="sk-SK"/>
              </w:rPr>
              <w:t>;</w:t>
            </w:r>
          </w:p>
          <w:p w14:paraId="2D3B79F1" w14:textId="349AE90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6. Služby odbornej prípravy; podielu a</w:t>
            </w:r>
          </w:p>
          <w:p w14:paraId="5DC1D862" w14:textId="57AF72A2" w:rsidR="00302FC1" w:rsidRPr="00AB26B3" w:rsidRDefault="00D64F26">
            <w:pPr>
              <w:pStyle w:val="P68B1DB1-Normal28"/>
              <w:spacing w:after="0" w:line="240" w:lineRule="auto"/>
              <w:rPr>
                <w:noProof/>
                <w:spacing w:val="-6"/>
                <w:lang w:val="sk-SK"/>
              </w:rPr>
            </w:pPr>
            <w:r w:rsidRPr="00AB26B3">
              <w:rPr>
                <w:noProof/>
                <w:spacing w:val="-6"/>
                <w:lang w:val="sk-SK"/>
              </w:rPr>
              <w:t>7. Bezpečnostná infraštruktúra desiatich železničných tunelov využívajúcich inteligentné systémy.</w:t>
            </w:r>
          </w:p>
          <w:p w14:paraId="70970C87"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2529C6A5" w14:textId="77777777">
        <w:trPr>
          <w:trHeight w:val="313"/>
          <w:jc w:val="center"/>
        </w:trPr>
        <w:tc>
          <w:tcPr>
            <w:tcW w:w="591" w:type="dxa"/>
            <w:shd w:val="clear" w:color="auto" w:fill="C6EFCE"/>
            <w:noWrap/>
          </w:tcPr>
          <w:p w14:paraId="4179539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275</w:t>
            </w:r>
          </w:p>
        </w:tc>
        <w:tc>
          <w:tcPr>
            <w:tcW w:w="2665" w:type="dxa"/>
            <w:shd w:val="clear" w:color="auto" w:fill="C6EFCE"/>
            <w:noWrap/>
          </w:tcPr>
          <w:p w14:paraId="6687A8A1" w14:textId="036F9ED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16960_Inteligentná infraštruktúra so zameraním na životné prostredie</w:t>
            </w:r>
            <w:r w:rsidR="00AB26B3" w:rsidRPr="00AB26B3">
              <w:rPr>
                <w:noProof/>
                <w:spacing w:val="-6"/>
                <w:lang w:val="sk-SK"/>
              </w:rPr>
              <w:t xml:space="preserve"> a </w:t>
            </w:r>
            <w:r w:rsidRPr="00AB26B3">
              <w:rPr>
                <w:noProof/>
                <w:spacing w:val="-6"/>
                <w:lang w:val="sk-SK"/>
              </w:rPr>
              <w:t>kultúru</w:t>
            </w:r>
          </w:p>
        </w:tc>
        <w:tc>
          <w:tcPr>
            <w:tcW w:w="1134" w:type="dxa"/>
            <w:shd w:val="clear" w:color="auto" w:fill="C6EFCE"/>
            <w:noWrap/>
          </w:tcPr>
          <w:p w14:paraId="7D5D293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7A02FF1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projektu inteligentnej infraštruktúry</w:t>
            </w:r>
          </w:p>
        </w:tc>
        <w:tc>
          <w:tcPr>
            <w:tcW w:w="2127" w:type="dxa"/>
            <w:shd w:val="clear" w:color="auto" w:fill="C6EFCE"/>
            <w:noWrap/>
          </w:tcPr>
          <w:p w14:paraId="60001228" w14:textId="5AE6D961" w:rsidR="00302FC1" w:rsidRPr="00AB26B3" w:rsidRDefault="00D64F26">
            <w:pPr>
              <w:pStyle w:val="P68B1DB1-Normal12"/>
              <w:spacing w:after="0" w:line="240" w:lineRule="auto"/>
              <w:rPr>
                <w:noProof/>
                <w:spacing w:val="-6"/>
                <w:lang w:val="sk-SK"/>
              </w:rPr>
            </w:pPr>
            <w:r w:rsidRPr="00AB26B3">
              <w:rPr>
                <w:noProof/>
                <w:spacing w:val="-6"/>
                <w:lang w:val="sk-SK"/>
              </w:rPr>
              <w:t>Realizácia čiastkových projektov, ako sa opisuje</w:t>
            </w:r>
            <w:r w:rsidR="00AB26B3" w:rsidRPr="00AB26B3">
              <w:rPr>
                <w:noProof/>
                <w:spacing w:val="-6"/>
                <w:lang w:val="sk-SK"/>
              </w:rPr>
              <w:t xml:space="preserve"> v </w:t>
            </w:r>
            <w:r w:rsidRPr="00AB26B3">
              <w:rPr>
                <w:noProof/>
                <w:spacing w:val="-6"/>
                <w:lang w:val="sk-SK"/>
              </w:rPr>
              <w:t>míľniku</w:t>
            </w:r>
          </w:p>
        </w:tc>
        <w:tc>
          <w:tcPr>
            <w:tcW w:w="992" w:type="dxa"/>
            <w:shd w:val="clear" w:color="auto" w:fill="C6EFCE"/>
            <w:noWrap/>
          </w:tcPr>
          <w:p w14:paraId="7DC5606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1810EB8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5C292B4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326F3A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7017F7A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238877C7" w14:textId="77777777" w:rsidR="00302FC1" w:rsidRPr="00AB26B3" w:rsidRDefault="00D64F26">
            <w:pPr>
              <w:pStyle w:val="P68B1DB1-Normal12"/>
              <w:spacing w:after="0" w:line="240" w:lineRule="auto"/>
              <w:rPr>
                <w:noProof/>
                <w:spacing w:val="-6"/>
                <w:lang w:val="sk-SK"/>
              </w:rPr>
            </w:pPr>
            <w:r w:rsidRPr="00AB26B3">
              <w:rPr>
                <w:noProof/>
                <w:spacing w:val="-6"/>
                <w:lang w:val="sk-SK"/>
              </w:rPr>
              <w:t>Dodanie:</w:t>
            </w:r>
          </w:p>
          <w:p w14:paraId="6284FF62" w14:textId="019C638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informačný systém pre vymedzenie vodných tokov</w:t>
            </w:r>
            <w:r w:rsidR="00AB26B3" w:rsidRPr="00AB26B3">
              <w:rPr>
                <w:noProof/>
                <w:spacing w:val="-6"/>
                <w:lang w:val="sk-SK"/>
              </w:rPr>
              <w:t xml:space="preserve"> s </w:t>
            </w:r>
            <w:r w:rsidRPr="00AB26B3">
              <w:rPr>
                <w:noProof/>
                <w:spacing w:val="-6"/>
                <w:lang w:val="sk-SK"/>
              </w:rPr>
              <w:t>cieľom prispieť</w:t>
            </w:r>
            <w:r w:rsidR="00AB26B3" w:rsidRPr="00AB26B3">
              <w:rPr>
                <w:noProof/>
                <w:spacing w:val="-6"/>
                <w:lang w:val="sk-SK"/>
              </w:rPr>
              <w:t xml:space="preserve"> k </w:t>
            </w:r>
            <w:r w:rsidRPr="00AB26B3">
              <w:rPr>
                <w:noProof/>
                <w:spacing w:val="-6"/>
                <w:lang w:val="sk-SK"/>
              </w:rPr>
              <w:t>ochrane prírody</w:t>
            </w:r>
            <w:r w:rsidR="00AB26B3" w:rsidRPr="00AB26B3">
              <w:rPr>
                <w:noProof/>
                <w:spacing w:val="-6"/>
                <w:lang w:val="sk-SK"/>
              </w:rPr>
              <w:t xml:space="preserve"> a </w:t>
            </w:r>
            <w:r w:rsidRPr="00AB26B3">
              <w:rPr>
                <w:noProof/>
                <w:spacing w:val="-6"/>
                <w:lang w:val="sk-SK"/>
              </w:rPr>
              <w:t>biodiverzity,</w:t>
            </w:r>
          </w:p>
          <w:p w14:paraId="23464F8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Jednotná digitálna mapa,</w:t>
            </w:r>
          </w:p>
          <w:p w14:paraId="5B650032" w14:textId="59BCE94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zariadenia na monitorovanie znečistenia ovzdušia</w:t>
            </w:r>
            <w:r w:rsidR="00AB26B3" w:rsidRPr="00AB26B3">
              <w:rPr>
                <w:noProof/>
                <w:spacing w:val="-6"/>
                <w:lang w:val="sk-SK"/>
              </w:rPr>
              <w:t xml:space="preserve"> a </w:t>
            </w:r>
            <w:r w:rsidRPr="00AB26B3">
              <w:rPr>
                <w:noProof/>
                <w:spacing w:val="-6"/>
                <w:lang w:val="sk-SK"/>
              </w:rPr>
              <w:t>morí;</w:t>
            </w:r>
          </w:p>
          <w:p w14:paraId="4CC5736D" w14:textId="4DA8E619" w:rsidR="00302FC1" w:rsidRPr="00AB26B3" w:rsidRDefault="00D64F26">
            <w:pPr>
              <w:pStyle w:val="P68B1DB1-Normal12"/>
              <w:spacing w:after="0" w:line="240" w:lineRule="auto"/>
              <w:rPr>
                <w:noProof/>
                <w:spacing w:val="-6"/>
                <w:lang w:val="sk-SK"/>
              </w:rPr>
            </w:pPr>
            <w:r w:rsidRPr="00AB26B3">
              <w:rPr>
                <w:noProof/>
                <w:spacing w:val="-6"/>
                <w:lang w:val="sk-SK"/>
              </w:rPr>
              <w:t>— infraštruktúra</w:t>
            </w:r>
            <w:r w:rsidR="00AB26B3" w:rsidRPr="00AB26B3">
              <w:rPr>
                <w:noProof/>
                <w:spacing w:val="-6"/>
                <w:lang w:val="sk-SK"/>
              </w:rPr>
              <w:t xml:space="preserve"> a </w:t>
            </w:r>
            <w:r w:rsidRPr="00AB26B3">
              <w:rPr>
                <w:noProof/>
                <w:spacing w:val="-6"/>
                <w:lang w:val="sk-SK"/>
              </w:rPr>
              <w:t>digitálne služby pre múzeá,</w:t>
            </w:r>
          </w:p>
          <w:p w14:paraId="4DEA00B4" w14:textId="2EC43FCB" w:rsidR="00302FC1" w:rsidRPr="00AB26B3" w:rsidRDefault="00D64F26">
            <w:pPr>
              <w:pStyle w:val="P68B1DB1-Normal24"/>
              <w:spacing w:after="0" w:line="240" w:lineRule="auto"/>
              <w:rPr>
                <w:noProof/>
                <w:spacing w:val="-6"/>
                <w:lang w:val="sk-SK"/>
              </w:rPr>
            </w:pPr>
            <w:r w:rsidRPr="00AB26B3">
              <w:rPr>
                <w:noProof/>
                <w:spacing w:val="-6"/>
                <w:lang w:val="sk-SK"/>
              </w:rPr>
              <w:t>— informačný systém na sledovanie nelegálnych stavieb</w:t>
            </w:r>
            <w:r w:rsidR="00AB26B3" w:rsidRPr="00AB26B3">
              <w:rPr>
                <w:noProof/>
                <w:spacing w:val="-6"/>
                <w:lang w:val="sk-SK"/>
              </w:rPr>
              <w:t xml:space="preserve"> a </w:t>
            </w:r>
            <w:r w:rsidRPr="00AB26B3">
              <w:rPr>
                <w:noProof/>
                <w:spacing w:val="-6"/>
                <w:lang w:val="sk-SK"/>
              </w:rPr>
              <w:t>stavieb.</w:t>
            </w:r>
          </w:p>
        </w:tc>
      </w:tr>
      <w:tr w:rsidR="00302FC1" w:rsidRPr="00AB26B3" w14:paraId="67C09F24" w14:textId="77777777">
        <w:trPr>
          <w:trHeight w:val="313"/>
          <w:jc w:val="center"/>
        </w:trPr>
        <w:tc>
          <w:tcPr>
            <w:tcW w:w="591" w:type="dxa"/>
            <w:shd w:val="clear" w:color="auto" w:fill="C6EFCE"/>
            <w:noWrap/>
          </w:tcPr>
          <w:p w14:paraId="4EB665D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276</w:t>
            </w:r>
          </w:p>
        </w:tc>
        <w:tc>
          <w:tcPr>
            <w:tcW w:w="2665" w:type="dxa"/>
            <w:shd w:val="clear" w:color="auto" w:fill="C6EFCE"/>
            <w:noWrap/>
          </w:tcPr>
          <w:p w14:paraId="466D7791" w14:textId="67CBE22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16937_digitálny integrovaný systém riadenia programov na správu technických prác</w:t>
            </w:r>
            <w:r w:rsidR="00AB26B3" w:rsidRPr="00AB26B3">
              <w:rPr>
                <w:noProof/>
                <w:spacing w:val="-6"/>
                <w:lang w:val="sk-SK"/>
              </w:rPr>
              <w:t xml:space="preserve"> a </w:t>
            </w:r>
            <w:r w:rsidRPr="00AB26B3">
              <w:rPr>
                <w:noProof/>
                <w:spacing w:val="-6"/>
                <w:lang w:val="sk-SK"/>
              </w:rPr>
              <w:t>štrukturálnych aktív ministerstva infraštruktúry</w:t>
            </w:r>
            <w:r w:rsidR="00AB26B3" w:rsidRPr="00AB26B3">
              <w:rPr>
                <w:noProof/>
                <w:spacing w:val="-6"/>
                <w:lang w:val="sk-SK"/>
              </w:rPr>
              <w:t xml:space="preserve"> a </w:t>
            </w:r>
            <w:r w:rsidRPr="00AB26B3">
              <w:rPr>
                <w:noProof/>
                <w:spacing w:val="-6"/>
                <w:lang w:val="sk-SK"/>
              </w:rPr>
              <w:t>dopravy</w:t>
            </w:r>
          </w:p>
        </w:tc>
        <w:tc>
          <w:tcPr>
            <w:tcW w:w="1134" w:type="dxa"/>
            <w:shd w:val="clear" w:color="auto" w:fill="C6EFCE"/>
            <w:noWrap/>
          </w:tcPr>
          <w:p w14:paraId="7090D1A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7EC928DF" w14:textId="77777777" w:rsidR="00302FC1" w:rsidRPr="00AB26B3" w:rsidRDefault="00D64F26">
            <w:pPr>
              <w:pStyle w:val="P68B1DB1-Normal49"/>
              <w:spacing w:after="0" w:line="240" w:lineRule="auto"/>
              <w:rPr>
                <w:rFonts w:ascii="Times New Roman" w:hAnsi="Times New Roman" w:cs="Times New Roman"/>
                <w:noProof/>
                <w:color w:val="006100"/>
                <w:spacing w:val="-6"/>
                <w:lang w:val="sk-SK"/>
              </w:rPr>
            </w:pPr>
            <w:r w:rsidRPr="00AB26B3">
              <w:rPr>
                <w:rFonts w:ascii="Times New Roman" w:hAnsi="Times New Roman" w:cs="Times New Roman"/>
                <w:noProof/>
                <w:color w:val="006100"/>
                <w:spacing w:val="-6"/>
                <w:lang w:val="sk-SK"/>
              </w:rPr>
              <w:t xml:space="preserve"> </w:t>
            </w:r>
            <w:r w:rsidRPr="00AB26B3">
              <w:rPr>
                <w:rFonts w:ascii="Times New Roman" w:eastAsiaTheme="minorEastAsia" w:hAnsi="Times New Roman" w:cs="Times New Roman"/>
                <w:noProof/>
                <w:color w:val="006100"/>
                <w:spacing w:val="-6"/>
                <w:lang w:val="sk-SK"/>
              </w:rPr>
              <w:t>Informačný systém správy portfólia</w:t>
            </w:r>
            <w:r w:rsidRPr="00AB26B3">
              <w:rPr>
                <w:rFonts w:ascii="Times New Roman" w:hAnsi="Times New Roman" w:cs="Times New Roman"/>
                <w:noProof/>
                <w:color w:val="006100"/>
                <w:spacing w:val="-6"/>
                <w:lang w:val="sk-SK"/>
              </w:rPr>
              <w:t xml:space="preserve"> (PMIS)</w:t>
            </w:r>
          </w:p>
        </w:tc>
        <w:tc>
          <w:tcPr>
            <w:tcW w:w="2127" w:type="dxa"/>
            <w:shd w:val="clear" w:color="auto" w:fill="C6EFCE"/>
            <w:noWrap/>
          </w:tcPr>
          <w:p w14:paraId="0631EE6C" w14:textId="039BA041" w:rsidR="00302FC1" w:rsidRPr="00AB26B3" w:rsidRDefault="00D64F26">
            <w:pPr>
              <w:pStyle w:val="P68B1DB1-Normal49"/>
              <w:spacing w:after="0" w:line="240" w:lineRule="auto"/>
              <w:rPr>
                <w:rFonts w:ascii="Times New Roman" w:hAnsi="Times New Roman" w:cs="Times New Roman"/>
                <w:noProof/>
                <w:color w:val="006100"/>
                <w:spacing w:val="-6"/>
                <w:lang w:val="sk-SK"/>
              </w:rPr>
            </w:pPr>
            <w:r w:rsidRPr="00AB26B3">
              <w:rPr>
                <w:rFonts w:ascii="Times New Roman" w:hAnsi="Times New Roman" w:cs="Times New Roman"/>
                <w:noProof/>
                <w:color w:val="006100"/>
                <w:spacing w:val="-6"/>
                <w:lang w:val="sk-SK"/>
              </w:rPr>
              <w:t>Poskytnutý</w:t>
            </w:r>
            <w:r w:rsidRPr="00AB26B3">
              <w:rPr>
                <w:rFonts w:ascii="Times New Roman" w:hAnsi="Times New Roman" w:cs="Times New Roman"/>
                <w:noProof/>
                <w:spacing w:val="-6"/>
                <w:lang w:val="sk-SK"/>
              </w:rPr>
              <w:t xml:space="preserve"> informačný systém správy portfólia (PMIS) </w:t>
            </w:r>
          </w:p>
        </w:tc>
        <w:tc>
          <w:tcPr>
            <w:tcW w:w="992" w:type="dxa"/>
            <w:shd w:val="clear" w:color="auto" w:fill="C6EFCE"/>
            <w:noWrap/>
          </w:tcPr>
          <w:p w14:paraId="44945F0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0B0D84E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20B1509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4D6D783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7BA8A0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0F19B1A4" w14:textId="358AED1F" w:rsidR="00302FC1" w:rsidRPr="00AB26B3" w:rsidRDefault="00D64F26">
            <w:pPr>
              <w:pStyle w:val="P68B1DB1-Normal12"/>
              <w:spacing w:after="0" w:line="240" w:lineRule="auto"/>
              <w:rPr>
                <w:noProof/>
                <w:spacing w:val="-6"/>
                <w:lang w:val="sk-SK"/>
              </w:rPr>
            </w:pPr>
            <w:r w:rsidRPr="00AB26B3">
              <w:rPr>
                <w:noProof/>
                <w:spacing w:val="-6"/>
                <w:lang w:val="sk-SK"/>
              </w:rPr>
              <w:t>Informačný systém správy portfólia (PMIS) pre ministerstvo infraštruktúry</w:t>
            </w:r>
            <w:r w:rsidR="00AB26B3" w:rsidRPr="00AB26B3">
              <w:rPr>
                <w:noProof/>
                <w:spacing w:val="-6"/>
                <w:lang w:val="sk-SK"/>
              </w:rPr>
              <w:t xml:space="preserve"> a </w:t>
            </w:r>
            <w:r w:rsidRPr="00AB26B3">
              <w:rPr>
                <w:noProof/>
                <w:spacing w:val="-6"/>
                <w:lang w:val="sk-SK"/>
              </w:rPr>
              <w:t>dopravy. Systém poskytuje</w:t>
            </w:r>
            <w:r w:rsidR="00AB26B3" w:rsidRPr="00AB26B3">
              <w:rPr>
                <w:noProof/>
                <w:spacing w:val="-6"/>
                <w:lang w:val="sk-SK"/>
              </w:rPr>
              <w:t xml:space="preserve"> v </w:t>
            </w:r>
            <w:r w:rsidRPr="00AB26B3">
              <w:rPr>
                <w:noProof/>
                <w:spacing w:val="-6"/>
                <w:lang w:val="sk-SK"/>
              </w:rPr>
              <w:t>reálnom čase informácie</w:t>
            </w:r>
            <w:r w:rsidR="00AB26B3" w:rsidRPr="00AB26B3">
              <w:rPr>
                <w:noProof/>
                <w:spacing w:val="-6"/>
                <w:lang w:val="sk-SK"/>
              </w:rPr>
              <w:t xml:space="preserve"> o </w:t>
            </w:r>
            <w:r w:rsidRPr="00AB26B3">
              <w:rPr>
                <w:noProof/>
                <w:spacing w:val="-6"/>
                <w:lang w:val="sk-SK"/>
              </w:rPr>
              <w:t>výstupoch, nákladoch</w:t>
            </w:r>
            <w:r w:rsidR="00AB26B3" w:rsidRPr="00AB26B3">
              <w:rPr>
                <w:noProof/>
                <w:spacing w:val="-6"/>
                <w:lang w:val="sk-SK"/>
              </w:rPr>
              <w:t xml:space="preserve"> a </w:t>
            </w:r>
            <w:r w:rsidRPr="00AB26B3">
              <w:rPr>
                <w:noProof/>
                <w:spacing w:val="-6"/>
                <w:lang w:val="sk-SK"/>
              </w:rPr>
              <w:t>harmonograme počas celého životného cyklu vykonaných prác, čo umožňuje ministerstvu monitorovať, riadiť</w:t>
            </w:r>
            <w:r w:rsidR="00AB26B3" w:rsidRPr="00AB26B3">
              <w:rPr>
                <w:noProof/>
                <w:spacing w:val="-6"/>
                <w:lang w:val="sk-SK"/>
              </w:rPr>
              <w:t xml:space="preserve"> a </w:t>
            </w:r>
            <w:r w:rsidRPr="00AB26B3">
              <w:rPr>
                <w:noProof/>
                <w:spacing w:val="-6"/>
                <w:lang w:val="sk-SK"/>
              </w:rPr>
              <w:t>spravovať svoje portfólio technických prác</w:t>
            </w:r>
            <w:r w:rsidR="00AB26B3" w:rsidRPr="00AB26B3">
              <w:rPr>
                <w:noProof/>
                <w:spacing w:val="-6"/>
                <w:lang w:val="sk-SK"/>
              </w:rPr>
              <w:t xml:space="preserve"> a </w:t>
            </w:r>
            <w:r w:rsidRPr="00AB26B3">
              <w:rPr>
                <w:noProof/>
                <w:spacing w:val="-6"/>
                <w:lang w:val="sk-SK"/>
              </w:rPr>
              <w:t>aktív.</w:t>
            </w:r>
          </w:p>
        </w:tc>
      </w:tr>
      <w:tr w:rsidR="00302FC1" w:rsidRPr="00AB26B3" w14:paraId="32265E9E" w14:textId="77777777">
        <w:trPr>
          <w:trHeight w:val="313"/>
          <w:jc w:val="center"/>
        </w:trPr>
        <w:tc>
          <w:tcPr>
            <w:tcW w:w="591" w:type="dxa"/>
            <w:shd w:val="clear" w:color="auto" w:fill="C6EFCE"/>
            <w:noWrap/>
          </w:tcPr>
          <w:p w14:paraId="63A61B9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277</w:t>
            </w:r>
          </w:p>
        </w:tc>
        <w:tc>
          <w:tcPr>
            <w:tcW w:w="2665" w:type="dxa"/>
            <w:shd w:val="clear" w:color="auto" w:fill="C6EFCE"/>
            <w:noWrap/>
          </w:tcPr>
          <w:p w14:paraId="767E59AE" w14:textId="47AA050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16786_Zjednodušenie postupov ministerstva infraštruktúry</w:t>
            </w:r>
            <w:r w:rsidR="00AB26B3" w:rsidRPr="00AB26B3">
              <w:rPr>
                <w:noProof/>
                <w:spacing w:val="-6"/>
                <w:lang w:val="sk-SK"/>
              </w:rPr>
              <w:t xml:space="preserve"> a </w:t>
            </w:r>
            <w:r w:rsidRPr="00AB26B3">
              <w:rPr>
                <w:noProof/>
                <w:spacing w:val="-6"/>
                <w:lang w:val="sk-SK"/>
              </w:rPr>
              <w:t>dopravy</w:t>
            </w:r>
          </w:p>
        </w:tc>
        <w:tc>
          <w:tcPr>
            <w:tcW w:w="1134" w:type="dxa"/>
            <w:shd w:val="clear" w:color="auto" w:fill="C6EFCE"/>
            <w:noWrap/>
          </w:tcPr>
          <w:p w14:paraId="68436DE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7DDB52B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Zjednodušenie postupov pre ministerstvo dopravy</w:t>
            </w:r>
          </w:p>
        </w:tc>
        <w:tc>
          <w:tcPr>
            <w:tcW w:w="2127" w:type="dxa"/>
            <w:shd w:val="clear" w:color="auto" w:fill="C6EFCE"/>
            <w:noWrap/>
          </w:tcPr>
          <w:p w14:paraId="6201FC1E" w14:textId="264CF6B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Digitálne postupy zavedené na ministerstve infraštruktúry</w:t>
            </w:r>
            <w:r w:rsidR="00AB26B3" w:rsidRPr="00AB26B3">
              <w:rPr>
                <w:noProof/>
                <w:spacing w:val="-6"/>
                <w:lang w:val="sk-SK"/>
              </w:rPr>
              <w:t xml:space="preserve"> a </w:t>
            </w:r>
            <w:r w:rsidRPr="00AB26B3">
              <w:rPr>
                <w:noProof/>
                <w:spacing w:val="-6"/>
                <w:lang w:val="sk-SK"/>
              </w:rPr>
              <w:t>dopravy</w:t>
            </w:r>
          </w:p>
        </w:tc>
        <w:tc>
          <w:tcPr>
            <w:tcW w:w="992" w:type="dxa"/>
            <w:shd w:val="clear" w:color="auto" w:fill="C6EFCE"/>
            <w:noWrap/>
          </w:tcPr>
          <w:p w14:paraId="0131F4A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4825CE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48335F1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75D3D1E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5A27FE2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402" w:type="dxa"/>
            <w:shd w:val="clear" w:color="auto" w:fill="C6EFCE"/>
            <w:noWrap/>
          </w:tcPr>
          <w:p w14:paraId="4B4F0958" w14:textId="4BF4D777" w:rsidR="00302FC1" w:rsidRPr="00AB26B3" w:rsidRDefault="00D64F26">
            <w:pPr>
              <w:pStyle w:val="P68B1DB1-Normal28"/>
              <w:spacing w:after="0" w:line="240" w:lineRule="auto"/>
              <w:rPr>
                <w:noProof/>
                <w:spacing w:val="-6"/>
                <w:lang w:val="sk-SK"/>
              </w:rPr>
            </w:pPr>
            <w:r w:rsidRPr="00AB26B3">
              <w:rPr>
                <w:noProof/>
                <w:spacing w:val="-6"/>
                <w:lang w:val="sk-SK"/>
              </w:rPr>
              <w:t>Digitálna transformácia</w:t>
            </w:r>
            <w:r w:rsidR="00AB26B3" w:rsidRPr="00AB26B3">
              <w:rPr>
                <w:noProof/>
                <w:spacing w:val="-6"/>
                <w:lang w:val="sk-SK"/>
              </w:rPr>
              <w:t xml:space="preserve"> a </w:t>
            </w:r>
            <w:r w:rsidRPr="00AB26B3">
              <w:rPr>
                <w:noProof/>
                <w:spacing w:val="-6"/>
                <w:lang w:val="sk-SK"/>
              </w:rPr>
              <w:t>zjednodušenie zavedených postupov týkajúcich sa a) vydávania, nahrádzania</w:t>
            </w:r>
            <w:r w:rsidR="00AB26B3" w:rsidRPr="00AB26B3">
              <w:rPr>
                <w:noProof/>
                <w:spacing w:val="-6"/>
                <w:lang w:val="sk-SK"/>
              </w:rPr>
              <w:t xml:space="preserve"> a </w:t>
            </w:r>
            <w:r w:rsidRPr="00AB26B3">
              <w:rPr>
                <w:noProof/>
                <w:spacing w:val="-6"/>
                <w:lang w:val="sk-SK"/>
              </w:rPr>
              <w:t>obnovovania vodičských preukazov, b) odovzdávania vozidiel, c) vydávania dopravných registračných preukazov</w:t>
            </w:r>
            <w:r w:rsidR="00AB26B3" w:rsidRPr="00AB26B3">
              <w:rPr>
                <w:noProof/>
                <w:spacing w:val="-6"/>
                <w:lang w:val="sk-SK"/>
              </w:rPr>
              <w:t xml:space="preserve"> a </w:t>
            </w:r>
            <w:r w:rsidRPr="00AB26B3">
              <w:rPr>
                <w:noProof/>
                <w:spacing w:val="-6"/>
                <w:lang w:val="sk-SK"/>
              </w:rPr>
              <w:t>tabuliek</w:t>
            </w:r>
            <w:r w:rsidR="00AB26B3" w:rsidRPr="00AB26B3">
              <w:rPr>
                <w:noProof/>
                <w:spacing w:val="-6"/>
                <w:lang w:val="sk-SK"/>
              </w:rPr>
              <w:t xml:space="preserve"> a </w:t>
            </w:r>
            <w:r w:rsidRPr="00AB26B3">
              <w:rPr>
                <w:noProof/>
                <w:spacing w:val="-6"/>
                <w:lang w:val="sk-SK"/>
              </w:rPr>
              <w:t>d) skúšok vodičských preukazov.</w:t>
            </w:r>
          </w:p>
        </w:tc>
      </w:tr>
      <w:tr w:rsidR="00302FC1" w:rsidRPr="00AB26B3" w14:paraId="3C2E9F0C" w14:textId="77777777">
        <w:trPr>
          <w:trHeight w:val="313"/>
          <w:jc w:val="center"/>
        </w:trPr>
        <w:tc>
          <w:tcPr>
            <w:tcW w:w="591" w:type="dxa"/>
            <w:shd w:val="clear" w:color="auto" w:fill="C6EFCE"/>
            <w:noWrap/>
          </w:tcPr>
          <w:p w14:paraId="1F01986E" w14:textId="46CE4B5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349</w:t>
            </w:r>
          </w:p>
        </w:tc>
        <w:tc>
          <w:tcPr>
            <w:tcW w:w="2665" w:type="dxa"/>
            <w:shd w:val="clear" w:color="auto" w:fill="C6EFCE"/>
            <w:noWrap/>
          </w:tcPr>
          <w:p w14:paraId="093E4B0E" w14:textId="63DEFEB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16999_Obnova prístupnosti po ničivých účinkoch búrok „DANIEL“</w:t>
            </w:r>
            <w:r w:rsidR="00AB26B3" w:rsidRPr="00AB26B3">
              <w:rPr>
                <w:noProof/>
                <w:spacing w:val="-6"/>
                <w:lang w:val="sk-SK"/>
              </w:rPr>
              <w:t xml:space="preserve"> a </w:t>
            </w:r>
            <w:r w:rsidRPr="00AB26B3">
              <w:rPr>
                <w:noProof/>
                <w:spacing w:val="-6"/>
                <w:lang w:val="sk-SK"/>
              </w:rPr>
              <w:t>„ELIAS“</w:t>
            </w:r>
          </w:p>
        </w:tc>
        <w:tc>
          <w:tcPr>
            <w:tcW w:w="1134" w:type="dxa"/>
            <w:shd w:val="clear" w:color="auto" w:fill="C6EFCE"/>
            <w:noWrap/>
          </w:tcPr>
          <w:p w14:paraId="35D20C2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noWrap/>
          </w:tcPr>
          <w:p w14:paraId="0CEC4011" w14:textId="457D0DD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Vybudované projekty obnovy ciest</w:t>
            </w:r>
          </w:p>
        </w:tc>
        <w:tc>
          <w:tcPr>
            <w:tcW w:w="2127" w:type="dxa"/>
            <w:shd w:val="clear" w:color="auto" w:fill="C6EFCE"/>
            <w:noWrap/>
          </w:tcPr>
          <w:p w14:paraId="027D6A37" w14:textId="7BC396FC" w:rsidR="00302FC1" w:rsidRPr="00AB26B3" w:rsidRDefault="00D64F26">
            <w:pPr>
              <w:pStyle w:val="P68B1DB1-Normal24"/>
              <w:spacing w:after="0" w:line="240" w:lineRule="auto"/>
              <w:rPr>
                <w:noProof/>
                <w:spacing w:val="-6"/>
                <w:lang w:val="sk-SK"/>
              </w:rPr>
            </w:pPr>
            <w:r w:rsidRPr="00AB26B3">
              <w:rPr>
                <w:noProof/>
                <w:spacing w:val="-6"/>
                <w:lang w:val="sk-SK"/>
              </w:rPr>
              <w:t>Vykonané reštauračné práce</w:t>
            </w:r>
          </w:p>
        </w:tc>
        <w:tc>
          <w:tcPr>
            <w:tcW w:w="992" w:type="dxa"/>
            <w:shd w:val="clear" w:color="auto" w:fill="C6EFCE"/>
            <w:noWrap/>
          </w:tcPr>
          <w:p w14:paraId="2060809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31312A8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noWrap/>
          </w:tcPr>
          <w:p w14:paraId="463A0E9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3C4F30A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noWrap/>
          </w:tcPr>
          <w:p w14:paraId="450ADA3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noWrap/>
          </w:tcPr>
          <w:p w14:paraId="5F5432D3" w14:textId="10A6001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Reštauračné práce vykonané na 129 miestach cestnej siete</w:t>
            </w:r>
            <w:r w:rsidR="00AB26B3" w:rsidRPr="00AB26B3">
              <w:rPr>
                <w:noProof/>
                <w:spacing w:val="-6"/>
                <w:lang w:val="sk-SK"/>
              </w:rPr>
              <w:t xml:space="preserve"> v </w:t>
            </w:r>
            <w:r w:rsidRPr="00AB26B3">
              <w:rPr>
                <w:noProof/>
                <w:spacing w:val="-6"/>
                <w:lang w:val="sk-SK"/>
              </w:rPr>
              <w:t>oblastiach postihnutých búrkami „DANIEL“</w:t>
            </w:r>
            <w:r w:rsidR="00AB26B3" w:rsidRPr="00AB26B3">
              <w:rPr>
                <w:noProof/>
                <w:spacing w:val="-6"/>
                <w:lang w:val="sk-SK"/>
              </w:rPr>
              <w:t xml:space="preserve"> a </w:t>
            </w:r>
            <w:r w:rsidRPr="00AB26B3">
              <w:rPr>
                <w:noProof/>
                <w:spacing w:val="-6"/>
                <w:lang w:val="sk-SK"/>
              </w:rPr>
              <w:t>„ELIAS“.</w:t>
            </w:r>
          </w:p>
        </w:tc>
      </w:tr>
      <w:tr w:rsidR="00302FC1" w:rsidRPr="00AB26B3" w14:paraId="4854C24D" w14:textId="77777777">
        <w:trPr>
          <w:trHeight w:val="313"/>
          <w:jc w:val="center"/>
        </w:trPr>
        <w:tc>
          <w:tcPr>
            <w:tcW w:w="591" w:type="dxa"/>
            <w:shd w:val="clear" w:color="auto" w:fill="C6EFCE"/>
          </w:tcPr>
          <w:p w14:paraId="677BED0B" w14:textId="4C485AD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350</w:t>
            </w:r>
          </w:p>
        </w:tc>
        <w:tc>
          <w:tcPr>
            <w:tcW w:w="2665" w:type="dxa"/>
            <w:shd w:val="clear" w:color="auto" w:fill="C6EFCE"/>
          </w:tcPr>
          <w:p w14:paraId="2C3CE59E" w14:textId="1E9AAE4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16999_Obnova prístupnosti po ničivých účinkoch búrok „DANIEL“</w:t>
            </w:r>
            <w:r w:rsidR="00AB26B3" w:rsidRPr="00AB26B3">
              <w:rPr>
                <w:noProof/>
                <w:spacing w:val="-6"/>
                <w:lang w:val="sk-SK"/>
              </w:rPr>
              <w:t xml:space="preserve"> a </w:t>
            </w:r>
            <w:r w:rsidRPr="00AB26B3">
              <w:rPr>
                <w:noProof/>
                <w:spacing w:val="-6"/>
                <w:lang w:val="sk-SK"/>
              </w:rPr>
              <w:t>„ELIAS“</w:t>
            </w:r>
          </w:p>
        </w:tc>
        <w:tc>
          <w:tcPr>
            <w:tcW w:w="1134" w:type="dxa"/>
            <w:shd w:val="clear" w:color="auto" w:fill="C6EFCE"/>
          </w:tcPr>
          <w:p w14:paraId="37419D6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tcPr>
          <w:p w14:paraId="2D7E28EA" w14:textId="492F31A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Vybudované projekty obnovy železníc</w:t>
            </w:r>
          </w:p>
        </w:tc>
        <w:tc>
          <w:tcPr>
            <w:tcW w:w="2127" w:type="dxa"/>
            <w:shd w:val="clear" w:color="auto" w:fill="C6EFCE"/>
          </w:tcPr>
          <w:p w14:paraId="2E3B2ADD" w14:textId="51AAA81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Vybudované projekty obnovy železníc</w:t>
            </w:r>
          </w:p>
        </w:tc>
        <w:tc>
          <w:tcPr>
            <w:tcW w:w="992" w:type="dxa"/>
            <w:shd w:val="clear" w:color="auto" w:fill="C6EFCE"/>
          </w:tcPr>
          <w:p w14:paraId="2EE82F1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tcPr>
          <w:p w14:paraId="1C64224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tcPr>
          <w:p w14:paraId="4885021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tcPr>
          <w:p w14:paraId="31AD506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tcPr>
          <w:p w14:paraId="60F2F79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tcPr>
          <w:p w14:paraId="6410D962" w14:textId="5552D31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Reštauračné práce</w:t>
            </w:r>
            <w:r w:rsidR="00AB26B3" w:rsidRPr="00AB26B3">
              <w:rPr>
                <w:noProof/>
                <w:spacing w:val="-6"/>
                <w:lang w:val="sk-SK"/>
              </w:rPr>
              <w:t xml:space="preserve"> v </w:t>
            </w:r>
            <w:r w:rsidRPr="00AB26B3">
              <w:rPr>
                <w:noProof/>
                <w:spacing w:val="-6"/>
                <w:lang w:val="sk-SK"/>
              </w:rPr>
              <w:t>častiach železničnej siete</w:t>
            </w:r>
            <w:r w:rsidR="00AB26B3" w:rsidRPr="00AB26B3">
              <w:rPr>
                <w:noProof/>
                <w:spacing w:val="-6"/>
                <w:lang w:val="sk-SK"/>
              </w:rPr>
              <w:t xml:space="preserve"> a </w:t>
            </w:r>
            <w:r w:rsidRPr="00AB26B3">
              <w:rPr>
                <w:noProof/>
                <w:spacing w:val="-6"/>
                <w:lang w:val="sk-SK"/>
              </w:rPr>
              <w:t>konkrétne:</w:t>
            </w:r>
          </w:p>
          <w:p w14:paraId="5BD0C5A9" w14:textId="3F17798A" w:rsidR="00AB26B3" w:rsidRPr="00AB26B3" w:rsidRDefault="00D64F26">
            <w:pPr>
              <w:pStyle w:val="P68B1DB1-ListParagraph19"/>
              <w:numPr>
                <w:ilvl w:val="0"/>
                <w:numId w:val="54"/>
              </w:numPr>
              <w:spacing w:after="0" w:line="240" w:lineRule="auto"/>
              <w:rPr>
                <w:noProof/>
                <w:spacing w:val="-6"/>
                <w:lang w:val="sk-SK"/>
              </w:rPr>
            </w:pPr>
            <w:r w:rsidRPr="00AB26B3">
              <w:rPr>
                <w:noProof/>
                <w:spacing w:val="-6"/>
                <w:lang w:val="sk-SK"/>
              </w:rPr>
              <w:t>úseky hlavnej osi Atény – Solún</w:t>
            </w:r>
            <w:r w:rsidR="00AB26B3" w:rsidRPr="00AB26B3">
              <w:rPr>
                <w:noProof/>
                <w:spacing w:val="-6"/>
                <w:lang w:val="sk-SK"/>
              </w:rPr>
              <w:t xml:space="preserve"> z </w:t>
            </w:r>
            <w:r w:rsidRPr="00AB26B3">
              <w:rPr>
                <w:noProof/>
                <w:spacing w:val="-6"/>
                <w:lang w:val="sk-SK"/>
              </w:rPr>
              <w:t>Domokosu do Krannony</w:t>
            </w:r>
            <w:r w:rsidR="00AB26B3" w:rsidRPr="00AB26B3">
              <w:rPr>
                <w:noProof/>
                <w:spacing w:val="-6"/>
                <w:lang w:val="sk-SK"/>
              </w:rPr>
              <w:t>;</w:t>
            </w:r>
          </w:p>
          <w:p w14:paraId="5ACC1E1E" w14:textId="709A22D8" w:rsidR="00AB26B3" w:rsidRPr="00AB26B3" w:rsidRDefault="00D64F26">
            <w:pPr>
              <w:pStyle w:val="P68B1DB1-ListParagraph19"/>
              <w:numPr>
                <w:ilvl w:val="0"/>
                <w:numId w:val="54"/>
              </w:numPr>
              <w:spacing w:after="0" w:line="240" w:lineRule="auto"/>
              <w:rPr>
                <w:noProof/>
                <w:spacing w:val="-6"/>
                <w:lang w:val="sk-SK"/>
              </w:rPr>
            </w:pPr>
            <w:r w:rsidRPr="00AB26B3">
              <w:rPr>
                <w:noProof/>
                <w:spacing w:val="-6"/>
                <w:lang w:val="sk-SK"/>
              </w:rPr>
              <w:t>úseky od konca stanice Larissa po začiatok stanice Latomeio (s výnimkou vedľajších tratí na medziľahlých staniciach, obslužných ciest</w:t>
            </w:r>
            <w:r w:rsidR="00AB26B3" w:rsidRPr="00AB26B3">
              <w:rPr>
                <w:noProof/>
                <w:spacing w:val="-6"/>
                <w:lang w:val="sk-SK"/>
              </w:rPr>
              <w:t xml:space="preserve"> a </w:t>
            </w:r>
            <w:r w:rsidRPr="00AB26B3">
              <w:rPr>
                <w:noProof/>
                <w:spacing w:val="-6"/>
                <w:lang w:val="sk-SK"/>
              </w:rPr>
              <w:t>pozdĺžnych odvodňovacích systémov) osi Larissa-Volos</w:t>
            </w:r>
            <w:r w:rsidR="00AB26B3" w:rsidRPr="00AB26B3">
              <w:rPr>
                <w:noProof/>
                <w:spacing w:val="-6"/>
                <w:lang w:val="sk-SK"/>
              </w:rPr>
              <w:t>;</w:t>
            </w:r>
          </w:p>
          <w:p w14:paraId="3D3D50D3" w14:textId="77777777" w:rsidR="00AB26B3" w:rsidRPr="00AB26B3" w:rsidRDefault="00D64F26">
            <w:pPr>
              <w:pStyle w:val="P68B1DB1-ListParagraph19"/>
              <w:numPr>
                <w:ilvl w:val="0"/>
                <w:numId w:val="54"/>
              </w:numPr>
              <w:spacing w:after="0" w:line="240" w:lineRule="auto"/>
              <w:rPr>
                <w:noProof/>
                <w:spacing w:val="-6"/>
                <w:lang w:val="sk-SK"/>
              </w:rPr>
            </w:pPr>
            <w:r w:rsidRPr="00AB26B3">
              <w:rPr>
                <w:noProof/>
                <w:spacing w:val="-6"/>
                <w:lang w:val="sk-SK"/>
              </w:rPr>
              <w:t>Paleofarsalos-Kalambaka</w:t>
            </w:r>
            <w:r w:rsidR="00AB26B3" w:rsidRPr="00AB26B3">
              <w:rPr>
                <w:noProof/>
                <w:spacing w:val="-6"/>
                <w:lang w:val="sk-SK"/>
              </w:rPr>
              <w:t xml:space="preserve"> a</w:t>
            </w:r>
          </w:p>
          <w:p w14:paraId="32C0CA1D" w14:textId="65C47805" w:rsidR="00AB26B3" w:rsidRPr="00AB26B3" w:rsidRDefault="00D64F26">
            <w:pPr>
              <w:pStyle w:val="P68B1DB1-ListParagraph19"/>
              <w:numPr>
                <w:ilvl w:val="0"/>
                <w:numId w:val="54"/>
              </w:numPr>
              <w:spacing w:after="0" w:line="240" w:lineRule="auto"/>
              <w:rPr>
                <w:noProof/>
                <w:spacing w:val="-6"/>
                <w:lang w:val="sk-SK"/>
              </w:rPr>
            </w:pPr>
            <w:r w:rsidRPr="00AB26B3">
              <w:rPr>
                <w:noProof/>
                <w:spacing w:val="-6"/>
                <w:lang w:val="sk-SK"/>
              </w:rPr>
              <w:t>Čiara Pelion</w:t>
            </w:r>
            <w:r w:rsidR="00AB26B3" w:rsidRPr="00AB26B3">
              <w:rPr>
                <w:noProof/>
                <w:spacing w:val="-6"/>
                <w:lang w:val="sk-SK"/>
              </w:rPr>
              <w:t>.</w:t>
            </w:r>
          </w:p>
          <w:p w14:paraId="57DCAFE5" w14:textId="0026F0F8" w:rsidR="00302FC1" w:rsidRPr="00AB26B3" w:rsidRDefault="00D64F26">
            <w:pPr>
              <w:pStyle w:val="P68B1DB1-Normal12"/>
              <w:spacing w:after="0" w:line="240" w:lineRule="auto"/>
              <w:rPr>
                <w:noProof/>
                <w:spacing w:val="-6"/>
                <w:lang w:val="sk-SK"/>
              </w:rPr>
            </w:pPr>
            <w:r w:rsidRPr="00AB26B3">
              <w:rPr>
                <w:noProof/>
                <w:spacing w:val="-6"/>
                <w:lang w:val="sk-SK"/>
              </w:rPr>
              <w:t>Vypracovanie plánu obstarávania na sprievodné investície do bezpečnosti železníc</w:t>
            </w:r>
            <w:r w:rsidR="00AB26B3" w:rsidRPr="00AB26B3">
              <w:rPr>
                <w:noProof/>
                <w:spacing w:val="-6"/>
                <w:lang w:val="sk-SK"/>
              </w:rPr>
              <w:t xml:space="preserve"> a </w:t>
            </w:r>
            <w:r w:rsidRPr="00AB26B3">
              <w:rPr>
                <w:noProof/>
                <w:spacing w:val="-6"/>
                <w:lang w:val="sk-SK"/>
              </w:rPr>
              <w:t>na pravidelnú údržbu týchto úsekov železničnej siete,</w:t>
            </w:r>
            <w:r w:rsidR="00AB26B3" w:rsidRPr="00AB26B3">
              <w:rPr>
                <w:noProof/>
                <w:spacing w:val="-6"/>
                <w:lang w:val="sk-SK"/>
              </w:rPr>
              <w:t xml:space="preserve"> v </w:t>
            </w:r>
            <w:r w:rsidRPr="00AB26B3">
              <w:rPr>
                <w:noProof/>
                <w:spacing w:val="-6"/>
                <w:lang w:val="sk-SK"/>
              </w:rPr>
              <w:t>ktorom sa uvedie harmonogram obstarávania, inštalácie, testovania</w:t>
            </w:r>
            <w:r w:rsidR="00AB26B3" w:rsidRPr="00AB26B3">
              <w:rPr>
                <w:noProof/>
                <w:spacing w:val="-6"/>
                <w:lang w:val="sk-SK"/>
              </w:rPr>
              <w:t xml:space="preserve"> a </w:t>
            </w:r>
            <w:r w:rsidRPr="00AB26B3">
              <w:rPr>
                <w:noProof/>
                <w:spacing w:val="-6"/>
                <w:lang w:val="sk-SK"/>
              </w:rPr>
              <w:t>uvádzania všetkých systémov ERTMS do prevádzky, ako aj na vypracovanie dlhodobej dohody (dohôd)</w:t>
            </w:r>
            <w:r w:rsidR="00AB26B3" w:rsidRPr="00AB26B3">
              <w:rPr>
                <w:noProof/>
                <w:spacing w:val="-6"/>
                <w:lang w:val="sk-SK"/>
              </w:rPr>
              <w:t xml:space="preserve"> o </w:t>
            </w:r>
            <w:r w:rsidRPr="00AB26B3">
              <w:rPr>
                <w:noProof/>
                <w:spacing w:val="-6"/>
                <w:lang w:val="sk-SK"/>
              </w:rPr>
              <w:t xml:space="preserve">poskytovaní služieb pravidelnej údržby. </w:t>
            </w:r>
          </w:p>
        </w:tc>
      </w:tr>
      <w:tr w:rsidR="00302FC1" w:rsidRPr="00AB26B3" w14:paraId="463C0F33" w14:textId="77777777">
        <w:trPr>
          <w:trHeight w:val="300"/>
          <w:jc w:val="center"/>
        </w:trPr>
        <w:tc>
          <w:tcPr>
            <w:tcW w:w="591" w:type="dxa"/>
            <w:shd w:val="clear" w:color="auto" w:fill="C6EFCE"/>
          </w:tcPr>
          <w:p w14:paraId="76AEE33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350a</w:t>
            </w:r>
          </w:p>
          <w:p w14:paraId="2E4F3CE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2665" w:type="dxa"/>
            <w:shd w:val="clear" w:color="auto" w:fill="C6EFCE"/>
          </w:tcPr>
          <w:p w14:paraId="1BD5267E" w14:textId="77777777" w:rsidR="00AB26B3" w:rsidRPr="00AB26B3" w:rsidRDefault="00D64F26">
            <w:pPr>
              <w:pStyle w:val="P68B1DB1-Normal12"/>
              <w:spacing w:after="0" w:line="240" w:lineRule="auto"/>
              <w:rPr>
                <w:noProof/>
                <w:spacing w:val="-6"/>
                <w:lang w:val="sk-SK"/>
              </w:rPr>
            </w:pPr>
            <w:r w:rsidRPr="00AB26B3">
              <w:rPr>
                <w:noProof/>
                <w:spacing w:val="-6"/>
                <w:lang w:val="sk-SK"/>
              </w:rPr>
              <w:t xml:space="preserve"> 4.6. Modernizácia</w:t>
            </w:r>
            <w:r w:rsidR="00AB26B3" w:rsidRPr="00AB26B3">
              <w:rPr>
                <w:noProof/>
                <w:spacing w:val="-6"/>
                <w:lang w:val="sk-SK"/>
              </w:rPr>
              <w:t xml:space="preserve"> a </w:t>
            </w:r>
            <w:r w:rsidRPr="00AB26B3">
              <w:rPr>
                <w:noProof/>
                <w:spacing w:val="-6"/>
                <w:lang w:val="sk-SK"/>
              </w:rPr>
              <w:t>zlepšenie odolnosti kľúčových hospodárskych odvetví – 16999_Obnova prístupnosti po ničivých účinkoch búrok „DANIEL“</w:t>
            </w:r>
            <w:r w:rsidR="00AB26B3" w:rsidRPr="00AB26B3">
              <w:rPr>
                <w:noProof/>
                <w:spacing w:val="-6"/>
                <w:lang w:val="sk-SK"/>
              </w:rPr>
              <w:t xml:space="preserve"> a </w:t>
            </w:r>
            <w:r w:rsidRPr="00AB26B3">
              <w:rPr>
                <w:noProof/>
                <w:spacing w:val="-6"/>
                <w:lang w:val="sk-SK"/>
              </w:rPr>
              <w:t>„ELIAS“</w:t>
            </w:r>
          </w:p>
          <w:p w14:paraId="44CE5F01" w14:textId="604395C2"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tcPr>
          <w:p w14:paraId="3C1F7BD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2" w:type="dxa"/>
            <w:shd w:val="clear" w:color="auto" w:fill="C6EFCE"/>
          </w:tcPr>
          <w:p w14:paraId="1EDF803D" w14:textId="6F79949F" w:rsidR="00302FC1" w:rsidRPr="00AB26B3" w:rsidRDefault="00D64F26">
            <w:pPr>
              <w:pStyle w:val="P68B1DB1-Normal28"/>
              <w:spacing w:after="0" w:line="240" w:lineRule="auto"/>
              <w:rPr>
                <w:noProof/>
                <w:spacing w:val="-6"/>
                <w:lang w:val="sk-SK"/>
              </w:rPr>
            </w:pPr>
            <w:r w:rsidRPr="00AB26B3">
              <w:rPr>
                <w:noProof/>
                <w:spacing w:val="-6"/>
                <w:lang w:val="sk-SK"/>
              </w:rPr>
              <w:t>Systémy návestenia, ETCS, Telemanažment</w:t>
            </w:r>
            <w:r w:rsidR="00AB26B3" w:rsidRPr="00AB26B3">
              <w:rPr>
                <w:noProof/>
                <w:spacing w:val="-6"/>
                <w:lang w:val="sk-SK"/>
              </w:rPr>
              <w:t xml:space="preserve"> a </w:t>
            </w:r>
            <w:r w:rsidRPr="00AB26B3">
              <w:rPr>
                <w:noProof/>
                <w:spacing w:val="-6"/>
                <w:lang w:val="sk-SK"/>
              </w:rPr>
              <w:t>elektrifikácia</w:t>
            </w:r>
            <w:r w:rsidR="00AB26B3" w:rsidRPr="00AB26B3">
              <w:rPr>
                <w:noProof/>
                <w:spacing w:val="-6"/>
                <w:lang w:val="sk-SK"/>
              </w:rPr>
              <w:t xml:space="preserve"> z </w:t>
            </w:r>
            <w:r w:rsidRPr="00AB26B3">
              <w:rPr>
                <w:noProof/>
                <w:spacing w:val="-6"/>
                <w:lang w:val="sk-SK"/>
              </w:rPr>
              <w:t>Paleofarsalos do Krannony</w:t>
            </w:r>
          </w:p>
          <w:p w14:paraId="7F476B6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2127" w:type="dxa"/>
            <w:shd w:val="clear" w:color="auto" w:fill="C6EFCE"/>
          </w:tcPr>
          <w:p w14:paraId="71F0B7BE" w14:textId="2119CD73" w:rsidR="00302FC1" w:rsidRPr="00AB26B3" w:rsidRDefault="00D64F26">
            <w:pPr>
              <w:pStyle w:val="P68B1DB1-Normal28"/>
              <w:spacing w:after="0" w:line="240" w:lineRule="auto"/>
              <w:rPr>
                <w:noProof/>
                <w:spacing w:val="-6"/>
                <w:lang w:val="sk-SK"/>
              </w:rPr>
            </w:pPr>
            <w:r w:rsidRPr="00AB26B3">
              <w:rPr>
                <w:noProof/>
                <w:spacing w:val="-6"/>
                <w:lang w:val="sk-SK"/>
              </w:rPr>
              <w:t>Nainštalované systémy železničného návestenia, ETCS, Telemanažment</w:t>
            </w:r>
            <w:r w:rsidR="00AB26B3" w:rsidRPr="00AB26B3">
              <w:rPr>
                <w:noProof/>
                <w:spacing w:val="-6"/>
                <w:lang w:val="sk-SK"/>
              </w:rPr>
              <w:t xml:space="preserve"> a </w:t>
            </w:r>
            <w:r w:rsidRPr="00AB26B3">
              <w:rPr>
                <w:noProof/>
                <w:spacing w:val="-6"/>
                <w:lang w:val="sk-SK"/>
              </w:rPr>
              <w:t>elektrifikácia</w:t>
            </w:r>
            <w:r w:rsidR="00AB26B3" w:rsidRPr="00AB26B3">
              <w:rPr>
                <w:noProof/>
                <w:spacing w:val="-6"/>
                <w:lang w:val="sk-SK"/>
              </w:rPr>
              <w:t xml:space="preserve"> z </w:t>
            </w:r>
            <w:r w:rsidRPr="00AB26B3">
              <w:rPr>
                <w:noProof/>
                <w:spacing w:val="-6"/>
                <w:lang w:val="sk-SK"/>
              </w:rPr>
              <w:t>Paleofarsalos do Krannony</w:t>
            </w:r>
          </w:p>
        </w:tc>
        <w:tc>
          <w:tcPr>
            <w:tcW w:w="992" w:type="dxa"/>
            <w:shd w:val="clear" w:color="auto" w:fill="C6EFCE"/>
          </w:tcPr>
          <w:p w14:paraId="3AC5E62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tcPr>
          <w:p w14:paraId="551ABF2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4" w:type="dxa"/>
            <w:shd w:val="clear" w:color="auto" w:fill="C6EFCE"/>
          </w:tcPr>
          <w:p w14:paraId="7E233CD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tcPr>
          <w:p w14:paraId="28E1D48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13" w:type="dxa"/>
            <w:shd w:val="clear" w:color="auto" w:fill="C6EFCE"/>
          </w:tcPr>
          <w:p w14:paraId="7AA22EF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402" w:type="dxa"/>
            <w:shd w:val="clear" w:color="auto" w:fill="C6EFCE"/>
          </w:tcPr>
          <w:p w14:paraId="08692EFB" w14:textId="646167E5" w:rsidR="00302FC1" w:rsidRPr="00AB26B3" w:rsidRDefault="00D64F26">
            <w:pPr>
              <w:pStyle w:val="P68B1DB1-Normal28"/>
              <w:spacing w:after="0" w:line="240" w:lineRule="auto"/>
              <w:rPr>
                <w:noProof/>
                <w:spacing w:val="-6"/>
                <w:lang w:val="sk-SK"/>
              </w:rPr>
            </w:pPr>
            <w:r w:rsidRPr="00AB26B3">
              <w:rPr>
                <w:noProof/>
                <w:spacing w:val="-6"/>
                <w:lang w:val="sk-SK"/>
              </w:rPr>
              <w:t>Inštalácia signalizačných systémov ETCS úrovne 1, železničného telemanažmentu</w:t>
            </w:r>
            <w:r w:rsidR="00AB26B3" w:rsidRPr="00AB26B3">
              <w:rPr>
                <w:noProof/>
                <w:spacing w:val="-6"/>
                <w:lang w:val="sk-SK"/>
              </w:rPr>
              <w:t xml:space="preserve"> a </w:t>
            </w:r>
            <w:r w:rsidRPr="00AB26B3">
              <w:rPr>
                <w:noProof/>
                <w:spacing w:val="-6"/>
                <w:lang w:val="sk-SK"/>
              </w:rPr>
              <w:t>elektrifikácie pozdĺž dvojkoľajového železničného úseku</w:t>
            </w:r>
            <w:r w:rsidR="00AB26B3" w:rsidRPr="00AB26B3">
              <w:rPr>
                <w:noProof/>
                <w:spacing w:val="-6"/>
                <w:lang w:val="sk-SK"/>
              </w:rPr>
              <w:t xml:space="preserve"> z </w:t>
            </w:r>
            <w:r w:rsidRPr="00AB26B3">
              <w:rPr>
                <w:noProof/>
                <w:spacing w:val="-6"/>
                <w:lang w:val="sk-SK"/>
              </w:rPr>
              <w:t>Paleofarsalosu do Krannony.</w:t>
            </w:r>
          </w:p>
        </w:tc>
      </w:tr>
    </w:tbl>
    <w:p w14:paraId="09200454" w14:textId="77777777" w:rsidR="00302FC1" w:rsidRPr="00AB26B3" w:rsidRDefault="00302FC1">
      <w:pPr>
        <w:spacing w:before="120" w:after="0" w:line="240" w:lineRule="auto"/>
        <w:jc w:val="both"/>
        <w:rPr>
          <w:rFonts w:ascii="Times New Roman" w:hAnsi="Times New Roman" w:cs="Times New Roman"/>
          <w:noProof/>
          <w:spacing w:val="-6"/>
          <w:sz w:val="24"/>
          <w:szCs w:val="24"/>
          <w:lang w:val="sk-SK"/>
        </w:rPr>
      </w:pPr>
    </w:p>
    <w:p w14:paraId="27E9AFD3"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sectPr w:rsidR="00302FC1" w:rsidRPr="00AB26B3" w:rsidSect="00315FC0">
          <w:headerReference w:type="even" r:id="rId280"/>
          <w:headerReference w:type="default" r:id="rId281"/>
          <w:footerReference w:type="even" r:id="rId282"/>
          <w:footerReference w:type="default" r:id="rId283"/>
          <w:headerReference w:type="first" r:id="rId284"/>
          <w:footerReference w:type="first" r:id="rId285"/>
          <w:pgSz w:w="16839" w:h="11907" w:orient="landscape"/>
          <w:pgMar w:top="720" w:right="720" w:bottom="720" w:left="720" w:header="709" w:footer="500" w:gutter="0"/>
          <w:cols w:space="720"/>
          <w:docGrid w:linePitch="360"/>
        </w:sectPr>
      </w:pPr>
    </w:p>
    <w:p w14:paraId="2C52B41A" w14:textId="77777777"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25: Kultúra</w:t>
      </w:r>
    </w:p>
    <w:p w14:paraId="7BD41C03" w14:textId="2001109B"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Reforma pracovného trhu</w:t>
      </w:r>
      <w:r w:rsidR="00AB26B3" w:rsidRPr="00AB26B3">
        <w:rPr>
          <w:noProof/>
          <w:spacing w:val="-6"/>
          <w:lang w:val="sk-SK"/>
        </w:rPr>
        <w:t xml:space="preserve"> v </w:t>
      </w:r>
      <w:r w:rsidRPr="00AB26B3">
        <w:rPr>
          <w:noProof/>
          <w:spacing w:val="-6"/>
          <w:lang w:val="sk-SK"/>
        </w:rPr>
        <w:t>kultúrnom sektore (ID:16715)</w:t>
      </w:r>
    </w:p>
    <w:p w14:paraId="1343A5BD" w14:textId="77777777"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Kultúra ako hnacia sila rastu (ID: 16293)</w:t>
      </w:r>
    </w:p>
    <w:p w14:paraId="253A06DF" w14:textId="77777777"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Múzeum podmorských starožitností (ID: 16486)</w:t>
      </w:r>
    </w:p>
    <w:p w14:paraId="3E26703B" w14:textId="70DE9F3F"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Využívanie „umení</w:t>
      </w:r>
      <w:r w:rsidR="00AB26B3" w:rsidRPr="00AB26B3">
        <w:rPr>
          <w:noProof/>
          <w:spacing w:val="-6"/>
          <w:lang w:val="sk-SK"/>
        </w:rPr>
        <w:t xml:space="preserve"> v </w:t>
      </w:r>
      <w:r w:rsidRPr="00AB26B3">
        <w:rPr>
          <w:noProof/>
          <w:spacing w:val="-6"/>
          <w:lang w:val="sk-SK"/>
        </w:rPr>
        <w:t>oblasti predpisovania liekov“, podpora sociálnej súdržnosti</w:t>
      </w:r>
      <w:r w:rsidR="00AB26B3" w:rsidRPr="00AB26B3">
        <w:rPr>
          <w:noProof/>
          <w:spacing w:val="-6"/>
          <w:lang w:val="sk-SK"/>
        </w:rPr>
        <w:t xml:space="preserve"> a </w:t>
      </w:r>
      <w:r w:rsidRPr="00AB26B3">
        <w:rPr>
          <w:noProof/>
          <w:spacing w:val="-6"/>
          <w:lang w:val="sk-SK"/>
        </w:rPr>
        <w:t>využívanie striebornej ekonomiky (ID: 16735)</w:t>
      </w:r>
    </w:p>
    <w:p w14:paraId="63AC4B64" w14:textId="619B6E91"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Modernizácia infraštruktúry, obnova vybavenia</w:t>
      </w:r>
      <w:r w:rsidR="00AB26B3" w:rsidRPr="00AB26B3">
        <w:rPr>
          <w:noProof/>
          <w:spacing w:val="-6"/>
          <w:lang w:val="sk-SK"/>
        </w:rPr>
        <w:t xml:space="preserve"> a </w:t>
      </w:r>
      <w:r w:rsidRPr="00AB26B3">
        <w:rPr>
          <w:noProof/>
          <w:spacing w:val="-6"/>
          <w:lang w:val="sk-SK"/>
        </w:rPr>
        <w:t>zvýšenie kvality služieb poskytovaných systémom HOCRED (ID: 16536)</w:t>
      </w:r>
    </w:p>
    <w:p w14:paraId="63D531DD" w14:textId="1103F7CE"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Ochrana kultúrnych pamiatok</w:t>
      </w:r>
      <w:r w:rsidR="00AB26B3" w:rsidRPr="00AB26B3">
        <w:rPr>
          <w:noProof/>
          <w:spacing w:val="-6"/>
          <w:lang w:val="sk-SK"/>
        </w:rPr>
        <w:t xml:space="preserve"> a </w:t>
      </w:r>
      <w:r w:rsidRPr="00AB26B3">
        <w:rPr>
          <w:noProof/>
          <w:spacing w:val="-6"/>
          <w:lang w:val="sk-SK"/>
        </w:rPr>
        <w:t>archeologických nálezísk pred zmenou klímy (2. skupina) (ID: 16433)</w:t>
      </w:r>
    </w:p>
    <w:p w14:paraId="04E6D2C4" w14:textId="77777777"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Modernizácia vysokoškolského umeleckého vzdelávania (ID: 16725)</w:t>
      </w:r>
    </w:p>
    <w:p w14:paraId="263056C3" w14:textId="0566D859"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Kultúrne trasy</w:t>
      </w:r>
      <w:r w:rsidR="00AB26B3" w:rsidRPr="00AB26B3">
        <w:rPr>
          <w:noProof/>
          <w:spacing w:val="-6"/>
          <w:lang w:val="sk-SK"/>
        </w:rPr>
        <w:t xml:space="preserve"> v </w:t>
      </w:r>
      <w:r w:rsidRPr="00AB26B3">
        <w:rPr>
          <w:noProof/>
          <w:spacing w:val="-6"/>
          <w:lang w:val="sk-SK"/>
        </w:rPr>
        <w:t>emblematických archeologických náleziskách</w:t>
      </w:r>
      <w:r w:rsidR="00AB26B3" w:rsidRPr="00AB26B3">
        <w:rPr>
          <w:noProof/>
          <w:spacing w:val="-6"/>
          <w:lang w:val="sk-SK"/>
        </w:rPr>
        <w:t xml:space="preserve"> a </w:t>
      </w:r>
      <w:r w:rsidRPr="00AB26B3">
        <w:rPr>
          <w:noProof/>
          <w:spacing w:val="-6"/>
          <w:lang w:val="sk-SK"/>
        </w:rPr>
        <w:t>pamiatkach (ID: 16485)</w:t>
      </w:r>
    </w:p>
    <w:p w14:paraId="0A511A22" w14:textId="3F2A322D"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Obnova – ochrana – zlepšenie pamiatok Acropolis (ID: 16435)</w:t>
      </w:r>
    </w:p>
    <w:tbl>
      <w:tblPr>
        <w:tblW w:w="15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992"/>
        <w:gridCol w:w="1125"/>
        <w:gridCol w:w="1367"/>
        <w:gridCol w:w="1549"/>
        <w:gridCol w:w="1397"/>
        <w:gridCol w:w="1058"/>
        <w:gridCol w:w="992"/>
        <w:gridCol w:w="1134"/>
        <w:gridCol w:w="851"/>
        <w:gridCol w:w="3950"/>
      </w:tblGrid>
      <w:tr w:rsidR="00302FC1" w:rsidRPr="00AB26B3" w14:paraId="68D9F71A" w14:textId="77777777">
        <w:trPr>
          <w:trHeight w:val="615"/>
          <w:tblHeader/>
          <w:jc w:val="center"/>
        </w:trPr>
        <w:tc>
          <w:tcPr>
            <w:tcW w:w="542" w:type="dxa"/>
            <w:vMerge w:val="restart"/>
            <w:shd w:val="clear" w:color="auto" w:fill="BDD7EE"/>
            <w:vAlign w:val="center"/>
            <w:hideMark/>
          </w:tcPr>
          <w:p w14:paraId="64643AFA" w14:textId="2B18405E"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 xml:space="preserve">A nasl. </w:t>
            </w:r>
            <w:r w:rsidRPr="00AB26B3">
              <w:rPr>
                <w:noProof/>
                <w:spacing w:val="-6"/>
                <w:lang w:val="sk-SK"/>
              </w:rPr>
              <w:br/>
              <w:t>Nie.</w:t>
            </w:r>
          </w:p>
        </w:tc>
        <w:tc>
          <w:tcPr>
            <w:tcW w:w="1992" w:type="dxa"/>
            <w:vMerge w:val="restart"/>
            <w:shd w:val="clear" w:color="auto" w:fill="BDD7EE"/>
            <w:vAlign w:val="center"/>
            <w:hideMark/>
          </w:tcPr>
          <w:p w14:paraId="74378499"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Súvisiace opatrenie (reforma alebo investícia)</w:t>
            </w:r>
          </w:p>
        </w:tc>
        <w:tc>
          <w:tcPr>
            <w:tcW w:w="1125" w:type="dxa"/>
            <w:vMerge w:val="restart"/>
            <w:shd w:val="clear" w:color="auto" w:fill="BDD7EE"/>
            <w:vAlign w:val="center"/>
            <w:hideMark/>
          </w:tcPr>
          <w:p w14:paraId="10E6E47C"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Míľnik/cieľ</w:t>
            </w:r>
          </w:p>
        </w:tc>
        <w:tc>
          <w:tcPr>
            <w:tcW w:w="1316" w:type="dxa"/>
            <w:vMerge w:val="restart"/>
            <w:shd w:val="clear" w:color="auto" w:fill="BDD7EE"/>
            <w:vAlign w:val="center"/>
            <w:hideMark/>
          </w:tcPr>
          <w:p w14:paraId="04D8291D"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Názov</w:t>
            </w:r>
          </w:p>
        </w:tc>
        <w:tc>
          <w:tcPr>
            <w:tcW w:w="1549" w:type="dxa"/>
            <w:vMerge w:val="restart"/>
            <w:shd w:val="clear" w:color="auto" w:fill="BDD7EE"/>
            <w:vAlign w:val="center"/>
            <w:hideMark/>
          </w:tcPr>
          <w:p w14:paraId="73ADFC9F" w14:textId="493DFB49"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Kvalitatívne ukazovatele (pre míľniky)</w:t>
            </w:r>
          </w:p>
        </w:tc>
        <w:tc>
          <w:tcPr>
            <w:tcW w:w="3447" w:type="dxa"/>
            <w:gridSpan w:val="3"/>
            <w:shd w:val="clear" w:color="auto" w:fill="BDD7EE"/>
            <w:vAlign w:val="center"/>
            <w:hideMark/>
          </w:tcPr>
          <w:p w14:paraId="74C15DB7" w14:textId="03FBECDD"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Kvantitatívne ukazovatele (pre ciele)</w:t>
            </w:r>
          </w:p>
        </w:tc>
        <w:tc>
          <w:tcPr>
            <w:tcW w:w="1985" w:type="dxa"/>
            <w:gridSpan w:val="2"/>
            <w:shd w:val="clear" w:color="auto" w:fill="BDD7EE"/>
            <w:vAlign w:val="center"/>
            <w:hideMark/>
          </w:tcPr>
          <w:p w14:paraId="39351C5C"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Orientačný harmonogram dokončenia </w:t>
            </w:r>
          </w:p>
        </w:tc>
        <w:tc>
          <w:tcPr>
            <w:tcW w:w="3950" w:type="dxa"/>
            <w:vMerge w:val="restart"/>
            <w:shd w:val="clear" w:color="auto" w:fill="BDD7EE"/>
            <w:vAlign w:val="center"/>
            <w:hideMark/>
          </w:tcPr>
          <w:p w14:paraId="458DB808" w14:textId="255C864B"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66F48CED" w14:textId="77777777">
        <w:trPr>
          <w:trHeight w:val="516"/>
          <w:tblHeader/>
          <w:jc w:val="center"/>
        </w:trPr>
        <w:tc>
          <w:tcPr>
            <w:tcW w:w="542" w:type="dxa"/>
            <w:vMerge/>
            <w:vAlign w:val="center"/>
            <w:hideMark/>
          </w:tcPr>
          <w:p w14:paraId="0CE9856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92" w:type="dxa"/>
            <w:vMerge/>
            <w:vAlign w:val="center"/>
            <w:hideMark/>
          </w:tcPr>
          <w:p w14:paraId="75AE810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25" w:type="dxa"/>
            <w:vMerge/>
            <w:vAlign w:val="center"/>
            <w:hideMark/>
          </w:tcPr>
          <w:p w14:paraId="4299AD0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16" w:type="dxa"/>
            <w:vMerge/>
            <w:vAlign w:val="center"/>
            <w:hideMark/>
          </w:tcPr>
          <w:p w14:paraId="1C8F051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49" w:type="dxa"/>
            <w:vMerge/>
            <w:vAlign w:val="center"/>
            <w:hideMark/>
          </w:tcPr>
          <w:p w14:paraId="35C3E5C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97" w:type="dxa"/>
            <w:shd w:val="clear" w:color="auto" w:fill="BDD7EE"/>
            <w:vAlign w:val="center"/>
            <w:hideMark/>
          </w:tcPr>
          <w:p w14:paraId="3752DEA2"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1058" w:type="dxa"/>
            <w:shd w:val="clear" w:color="auto" w:fill="BDD7EE"/>
            <w:vAlign w:val="center"/>
            <w:hideMark/>
          </w:tcPr>
          <w:p w14:paraId="0133B071"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992" w:type="dxa"/>
            <w:shd w:val="clear" w:color="auto" w:fill="BDD7EE"/>
            <w:vAlign w:val="center"/>
            <w:hideMark/>
          </w:tcPr>
          <w:p w14:paraId="37048C62"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1134" w:type="dxa"/>
            <w:shd w:val="clear" w:color="auto" w:fill="BDD7EE"/>
            <w:vAlign w:val="center"/>
            <w:hideMark/>
          </w:tcPr>
          <w:p w14:paraId="448A6152"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851" w:type="dxa"/>
            <w:shd w:val="clear" w:color="auto" w:fill="BDD7EE"/>
            <w:vAlign w:val="center"/>
            <w:hideMark/>
          </w:tcPr>
          <w:p w14:paraId="0BC4644E"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3950" w:type="dxa"/>
            <w:vMerge/>
            <w:vAlign w:val="center"/>
            <w:hideMark/>
          </w:tcPr>
          <w:p w14:paraId="0848ABD4"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6E6A5F91" w14:textId="77777777">
        <w:trPr>
          <w:trHeight w:val="313"/>
          <w:jc w:val="center"/>
        </w:trPr>
        <w:tc>
          <w:tcPr>
            <w:tcW w:w="542" w:type="dxa"/>
            <w:shd w:val="clear" w:color="auto" w:fill="C6EFCE"/>
            <w:noWrap/>
          </w:tcPr>
          <w:p w14:paraId="4ECF40A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278</w:t>
            </w:r>
          </w:p>
        </w:tc>
        <w:tc>
          <w:tcPr>
            <w:tcW w:w="1992" w:type="dxa"/>
            <w:shd w:val="clear" w:color="auto" w:fill="C6EFCE"/>
            <w:noWrap/>
          </w:tcPr>
          <w:p w14:paraId="7FF13237" w14:textId="232161F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16715_Reforma práce</w:t>
            </w:r>
            <w:r w:rsidR="00AB26B3" w:rsidRPr="00AB26B3">
              <w:rPr>
                <w:noProof/>
                <w:spacing w:val="-6"/>
                <w:lang w:val="sk-SK"/>
              </w:rPr>
              <w:t xml:space="preserve"> v </w:t>
            </w:r>
            <w:r w:rsidRPr="00AB26B3">
              <w:rPr>
                <w:noProof/>
                <w:spacing w:val="-6"/>
                <w:lang w:val="sk-SK"/>
              </w:rPr>
              <w:t>kultúrnom sektore</w:t>
            </w:r>
          </w:p>
        </w:tc>
        <w:tc>
          <w:tcPr>
            <w:tcW w:w="1125" w:type="dxa"/>
            <w:shd w:val="clear" w:color="auto" w:fill="C6EFCE"/>
            <w:noWrap/>
          </w:tcPr>
          <w:p w14:paraId="6320747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16" w:type="dxa"/>
            <w:shd w:val="clear" w:color="auto" w:fill="C6EFCE"/>
            <w:noWrap/>
          </w:tcPr>
          <w:p w14:paraId="6F210F9C" w14:textId="3AFEBE8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Právne predpisy pre reformu práce</w:t>
            </w:r>
            <w:r w:rsidR="00AB26B3" w:rsidRPr="00AB26B3">
              <w:rPr>
                <w:noProof/>
                <w:spacing w:val="-6"/>
                <w:lang w:val="sk-SK"/>
              </w:rPr>
              <w:t xml:space="preserve"> v </w:t>
            </w:r>
            <w:r w:rsidRPr="00AB26B3">
              <w:rPr>
                <w:noProof/>
                <w:spacing w:val="-6"/>
                <w:lang w:val="sk-SK"/>
              </w:rPr>
              <w:t>kultúrnom sektore</w:t>
            </w:r>
          </w:p>
        </w:tc>
        <w:tc>
          <w:tcPr>
            <w:tcW w:w="1549" w:type="dxa"/>
            <w:shd w:val="clear" w:color="auto" w:fill="C6EFCE"/>
            <w:noWrap/>
          </w:tcPr>
          <w:p w14:paraId="6260C2B7" w14:textId="37F5A15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a </w:t>
            </w:r>
            <w:r w:rsidRPr="00AB26B3">
              <w:rPr>
                <w:noProof/>
                <w:spacing w:val="-6"/>
                <w:lang w:val="sk-SK"/>
              </w:rPr>
              <w:t>vytvorenie systému dôveryhodného hodnotenia postavenia „tvorivého alebo kultúrneho odborníka“</w:t>
            </w:r>
          </w:p>
        </w:tc>
        <w:tc>
          <w:tcPr>
            <w:tcW w:w="1397" w:type="dxa"/>
            <w:shd w:val="clear" w:color="auto" w:fill="C6EFCE"/>
            <w:noWrap/>
          </w:tcPr>
          <w:p w14:paraId="351AC7D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5F704E8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7281745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6B58617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851" w:type="dxa"/>
            <w:shd w:val="clear" w:color="auto" w:fill="C6EFCE"/>
            <w:noWrap/>
          </w:tcPr>
          <w:p w14:paraId="38A0708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950" w:type="dxa"/>
            <w:shd w:val="clear" w:color="auto" w:fill="C6EFCE"/>
            <w:noWrap/>
          </w:tcPr>
          <w:p w14:paraId="7E0A5BA2" w14:textId="423F9D9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 na reformu práce</w:t>
            </w:r>
            <w:r w:rsidR="00AB26B3" w:rsidRPr="00AB26B3">
              <w:rPr>
                <w:noProof/>
                <w:spacing w:val="-6"/>
                <w:lang w:val="sk-SK"/>
              </w:rPr>
              <w:t xml:space="preserve"> v </w:t>
            </w:r>
            <w:r w:rsidRPr="00AB26B3">
              <w:rPr>
                <w:noProof/>
                <w:spacing w:val="-6"/>
                <w:lang w:val="sk-SK"/>
              </w:rPr>
              <w:t>kultúrnom sektore vrátane vymedzenia postavenia „profesionálnych alebo kultúrnych pracovníkov“</w:t>
            </w:r>
            <w:r w:rsidR="00AB26B3" w:rsidRPr="00AB26B3">
              <w:rPr>
                <w:noProof/>
                <w:spacing w:val="-6"/>
                <w:lang w:val="sk-SK"/>
              </w:rPr>
              <w:t xml:space="preserve"> a </w:t>
            </w:r>
            <w:r w:rsidRPr="00AB26B3">
              <w:rPr>
                <w:noProof/>
                <w:spacing w:val="-6"/>
                <w:lang w:val="sk-SK"/>
              </w:rPr>
              <w:t>primeraných daňových stimulov</w:t>
            </w:r>
            <w:r w:rsidR="00AB26B3" w:rsidRPr="00AB26B3">
              <w:rPr>
                <w:noProof/>
                <w:spacing w:val="-6"/>
                <w:lang w:val="sk-SK"/>
              </w:rPr>
              <w:t xml:space="preserve"> a </w:t>
            </w:r>
            <w:r w:rsidRPr="00AB26B3">
              <w:rPr>
                <w:noProof/>
                <w:spacing w:val="-6"/>
                <w:lang w:val="sk-SK"/>
              </w:rPr>
              <w:t>stimulov sociálneho zabezpečenia.</w:t>
            </w:r>
          </w:p>
        </w:tc>
      </w:tr>
      <w:tr w:rsidR="00302FC1" w:rsidRPr="00AB26B3" w14:paraId="557E75F7" w14:textId="77777777">
        <w:trPr>
          <w:trHeight w:val="313"/>
          <w:jc w:val="center"/>
        </w:trPr>
        <w:tc>
          <w:tcPr>
            <w:tcW w:w="542" w:type="dxa"/>
            <w:shd w:val="clear" w:color="auto" w:fill="C6EFCE"/>
            <w:noWrap/>
          </w:tcPr>
          <w:p w14:paraId="01E1387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279</w:t>
            </w:r>
          </w:p>
        </w:tc>
        <w:tc>
          <w:tcPr>
            <w:tcW w:w="1992" w:type="dxa"/>
            <w:shd w:val="clear" w:color="auto" w:fill="C6EFCE"/>
            <w:noWrap/>
          </w:tcPr>
          <w:p w14:paraId="3840BBCC" w14:textId="4D34FD4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16486_Múzeum podmorských starožitností</w:t>
            </w:r>
          </w:p>
        </w:tc>
        <w:tc>
          <w:tcPr>
            <w:tcW w:w="1125" w:type="dxa"/>
            <w:shd w:val="clear" w:color="auto" w:fill="C6EFCE"/>
            <w:noWrap/>
          </w:tcPr>
          <w:p w14:paraId="2671574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16" w:type="dxa"/>
            <w:shd w:val="clear" w:color="auto" w:fill="C6EFCE"/>
            <w:noWrap/>
          </w:tcPr>
          <w:p w14:paraId="652E2B4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Zadanie zákazky múzeu podmorských starožitností</w:t>
            </w:r>
          </w:p>
        </w:tc>
        <w:tc>
          <w:tcPr>
            <w:tcW w:w="1549" w:type="dxa"/>
            <w:shd w:val="clear" w:color="auto" w:fill="C6EFCE"/>
            <w:noWrap/>
          </w:tcPr>
          <w:p w14:paraId="373F9052" w14:textId="523C98F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udelení ceny Múzeu podmorských starožitností</w:t>
            </w:r>
            <w:r w:rsidR="00AB26B3" w:rsidRPr="00AB26B3">
              <w:rPr>
                <w:noProof/>
                <w:spacing w:val="-6"/>
                <w:lang w:val="sk-SK"/>
              </w:rPr>
              <w:t xml:space="preserve"> a </w:t>
            </w:r>
            <w:r w:rsidRPr="00AB26B3">
              <w:rPr>
                <w:noProof/>
                <w:spacing w:val="-6"/>
                <w:lang w:val="sk-SK"/>
              </w:rPr>
              <w:t>technických špecifikácií uverejnených pre diela Múzea podmorských starožitností</w:t>
            </w:r>
          </w:p>
        </w:tc>
        <w:tc>
          <w:tcPr>
            <w:tcW w:w="1397" w:type="dxa"/>
            <w:shd w:val="clear" w:color="auto" w:fill="C6EFCE"/>
            <w:noWrap/>
          </w:tcPr>
          <w:p w14:paraId="1C907CD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6E12494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4E9113D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2EB2CEB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1CAFF68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3950" w:type="dxa"/>
            <w:shd w:val="clear" w:color="auto" w:fill="C6EFCE"/>
            <w:noWrap/>
          </w:tcPr>
          <w:p w14:paraId="259162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Zadanie zákazky múzeu podmorských starožitností. </w:t>
            </w:r>
          </w:p>
        </w:tc>
      </w:tr>
      <w:tr w:rsidR="00302FC1" w:rsidRPr="00AB26B3" w14:paraId="2A3802FB" w14:textId="77777777">
        <w:trPr>
          <w:trHeight w:val="313"/>
          <w:jc w:val="center"/>
        </w:trPr>
        <w:tc>
          <w:tcPr>
            <w:tcW w:w="542" w:type="dxa"/>
            <w:shd w:val="clear" w:color="auto" w:fill="C6EFCE"/>
            <w:noWrap/>
          </w:tcPr>
          <w:p w14:paraId="6F806E2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283</w:t>
            </w:r>
          </w:p>
        </w:tc>
        <w:tc>
          <w:tcPr>
            <w:tcW w:w="1992" w:type="dxa"/>
            <w:shd w:val="clear" w:color="auto" w:fill="C6EFCE"/>
            <w:noWrap/>
          </w:tcPr>
          <w:p w14:paraId="2D0EBDD0" w14:textId="1F3CEA2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16293_Kultúra ako hnacia sila rastu</w:t>
            </w:r>
          </w:p>
        </w:tc>
        <w:tc>
          <w:tcPr>
            <w:tcW w:w="1125" w:type="dxa"/>
            <w:shd w:val="clear" w:color="auto" w:fill="C6EFCE"/>
            <w:noWrap/>
          </w:tcPr>
          <w:p w14:paraId="2994A0E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16" w:type="dxa"/>
            <w:shd w:val="clear" w:color="auto" w:fill="C6EFCE"/>
            <w:noWrap/>
          </w:tcPr>
          <w:p w14:paraId="45EE0E5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Kultúra ako hnacia sila rastu</w:t>
            </w:r>
          </w:p>
        </w:tc>
        <w:tc>
          <w:tcPr>
            <w:tcW w:w="1549" w:type="dxa"/>
            <w:shd w:val="clear" w:color="auto" w:fill="C6EFCE"/>
            <w:noWrap/>
          </w:tcPr>
          <w:p w14:paraId="58AA126D" w14:textId="23D7DAB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Vykonanie prác</w:t>
            </w:r>
            <w:r w:rsidR="00AB26B3" w:rsidRPr="00AB26B3">
              <w:rPr>
                <w:noProof/>
                <w:spacing w:val="-6"/>
                <w:lang w:val="sk-SK"/>
              </w:rPr>
              <w:t xml:space="preserve"> a </w:t>
            </w:r>
            <w:r w:rsidRPr="00AB26B3">
              <w:rPr>
                <w:noProof/>
                <w:spacing w:val="-6"/>
                <w:lang w:val="sk-SK"/>
              </w:rPr>
              <w:t>vytvorenie výstupov, ako sa opisuje</w:t>
            </w:r>
            <w:r w:rsidR="00AB26B3" w:rsidRPr="00AB26B3">
              <w:rPr>
                <w:noProof/>
                <w:spacing w:val="-6"/>
                <w:lang w:val="sk-SK"/>
              </w:rPr>
              <w:t xml:space="preserve"> v </w:t>
            </w:r>
            <w:r w:rsidRPr="00AB26B3">
              <w:rPr>
                <w:noProof/>
                <w:spacing w:val="-6"/>
                <w:lang w:val="sk-SK"/>
              </w:rPr>
              <w:t xml:space="preserve">míľniku </w:t>
            </w:r>
          </w:p>
        </w:tc>
        <w:tc>
          <w:tcPr>
            <w:tcW w:w="1397" w:type="dxa"/>
            <w:shd w:val="clear" w:color="auto" w:fill="C6EFCE"/>
            <w:noWrap/>
          </w:tcPr>
          <w:p w14:paraId="0F91B71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642AB35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5530033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2DF7A48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106EAEB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50" w:type="dxa"/>
            <w:shd w:val="clear" w:color="auto" w:fill="C6EFCE"/>
            <w:noWrap/>
          </w:tcPr>
          <w:p w14:paraId="4765DF65" w14:textId="7E80EAE0" w:rsidR="00302FC1" w:rsidRPr="00AB26B3" w:rsidRDefault="00D64F26">
            <w:pPr>
              <w:pStyle w:val="P68B1DB1-Normal12"/>
              <w:spacing w:after="0" w:line="240" w:lineRule="auto"/>
              <w:rPr>
                <w:noProof/>
                <w:spacing w:val="-6"/>
                <w:lang w:val="sk-SK"/>
              </w:rPr>
            </w:pPr>
            <w:r w:rsidRPr="00AB26B3">
              <w:rPr>
                <w:noProof/>
                <w:spacing w:val="-6"/>
                <w:lang w:val="sk-SK"/>
              </w:rPr>
              <w:t>I) vytvárajú sa hlavné kultúrne plány pre mestá</w:t>
            </w:r>
            <w:r w:rsidR="00AB26B3" w:rsidRPr="00AB26B3">
              <w:rPr>
                <w:noProof/>
                <w:spacing w:val="-6"/>
                <w:lang w:val="sk-SK"/>
              </w:rPr>
              <w:t xml:space="preserve"> v </w:t>
            </w:r>
            <w:r w:rsidRPr="00AB26B3">
              <w:rPr>
                <w:noProof/>
                <w:spacing w:val="-6"/>
                <w:lang w:val="sk-SK"/>
              </w:rPr>
              <w:t>5 regiónoch; II) sa vykonávajú intervencie</w:t>
            </w:r>
            <w:r w:rsidR="00AB26B3" w:rsidRPr="00AB26B3">
              <w:rPr>
                <w:noProof/>
                <w:spacing w:val="-6"/>
                <w:lang w:val="sk-SK"/>
              </w:rPr>
              <w:t xml:space="preserve"> v </w:t>
            </w:r>
            <w:r w:rsidRPr="00AB26B3">
              <w:rPr>
                <w:noProof/>
                <w:spacing w:val="-6"/>
                <w:lang w:val="sk-SK"/>
              </w:rPr>
              <w:t>oblasti infraštruktúry</w:t>
            </w:r>
            <w:r w:rsidR="00AB26B3" w:rsidRPr="00AB26B3">
              <w:rPr>
                <w:noProof/>
                <w:spacing w:val="-6"/>
                <w:lang w:val="sk-SK"/>
              </w:rPr>
              <w:t xml:space="preserve"> v </w:t>
            </w:r>
            <w:r w:rsidRPr="00AB26B3">
              <w:rPr>
                <w:noProof/>
                <w:spacing w:val="-6"/>
                <w:lang w:val="sk-SK"/>
              </w:rPr>
              <w:t>11 regiónoch vrátane intervencií</w:t>
            </w:r>
            <w:r w:rsidR="00AB26B3" w:rsidRPr="00AB26B3">
              <w:rPr>
                <w:noProof/>
                <w:spacing w:val="-6"/>
                <w:lang w:val="sk-SK"/>
              </w:rPr>
              <w:t xml:space="preserve"> v </w:t>
            </w:r>
            <w:r w:rsidRPr="00AB26B3">
              <w:rPr>
                <w:noProof/>
                <w:spacing w:val="-6"/>
                <w:lang w:val="sk-SK"/>
              </w:rPr>
              <w:t>oblasti digitálnej infraštruktúry</w:t>
            </w:r>
            <w:r w:rsidR="00AB26B3" w:rsidRPr="00AB26B3">
              <w:rPr>
                <w:noProof/>
                <w:spacing w:val="-6"/>
                <w:lang w:val="sk-SK"/>
              </w:rPr>
              <w:t xml:space="preserve"> v </w:t>
            </w:r>
            <w:r w:rsidRPr="00AB26B3">
              <w:rPr>
                <w:noProof/>
                <w:spacing w:val="-6"/>
                <w:lang w:val="sk-SK"/>
              </w:rPr>
              <w:t>5</w:t>
            </w:r>
            <w:r w:rsidR="00AB26B3" w:rsidRPr="00AB26B3">
              <w:rPr>
                <w:noProof/>
                <w:spacing w:val="-6"/>
                <w:lang w:val="sk-SK"/>
              </w:rPr>
              <w:t xml:space="preserve"> z </w:t>
            </w:r>
            <w:r w:rsidRPr="00AB26B3">
              <w:rPr>
                <w:noProof/>
                <w:spacing w:val="-6"/>
                <w:lang w:val="sk-SK"/>
              </w:rPr>
              <w:t>nich; III) vytvorí sa národná remeselná stratégia pre všetky regióny; IV) investície do produkcie vybraných gréckych filmov; v) vytvára sa digitálny materiál</w:t>
            </w:r>
            <w:r w:rsidR="00AB26B3" w:rsidRPr="00AB26B3">
              <w:rPr>
                <w:noProof/>
                <w:spacing w:val="-6"/>
                <w:lang w:val="sk-SK"/>
              </w:rPr>
              <w:t xml:space="preserve"> a </w:t>
            </w:r>
            <w:r w:rsidRPr="00AB26B3">
              <w:rPr>
                <w:noProof/>
                <w:spacing w:val="-6"/>
                <w:lang w:val="sk-SK"/>
              </w:rPr>
              <w:t>súčasná grécka kultúrna platforma je dostupná online.</w:t>
            </w:r>
          </w:p>
        </w:tc>
      </w:tr>
      <w:tr w:rsidR="00302FC1" w:rsidRPr="00AB26B3" w14:paraId="2EDDF061" w14:textId="77777777">
        <w:trPr>
          <w:trHeight w:val="313"/>
          <w:jc w:val="center"/>
        </w:trPr>
        <w:tc>
          <w:tcPr>
            <w:tcW w:w="542" w:type="dxa"/>
            <w:shd w:val="clear" w:color="auto" w:fill="C6EFCE"/>
            <w:noWrap/>
          </w:tcPr>
          <w:p w14:paraId="41D71B98" w14:textId="07C3E28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284</w:t>
            </w:r>
          </w:p>
        </w:tc>
        <w:tc>
          <w:tcPr>
            <w:tcW w:w="1992" w:type="dxa"/>
            <w:shd w:val="clear" w:color="auto" w:fill="C6EFCE"/>
            <w:noWrap/>
          </w:tcPr>
          <w:p w14:paraId="744A69D6" w14:textId="3CCFA2A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16536_modernizácia infraštruktúry, obnova vybavenia</w:t>
            </w:r>
            <w:r w:rsidR="00AB26B3" w:rsidRPr="00AB26B3">
              <w:rPr>
                <w:noProof/>
                <w:spacing w:val="-6"/>
                <w:lang w:val="sk-SK"/>
              </w:rPr>
              <w:t xml:space="preserve"> a </w:t>
            </w:r>
            <w:r w:rsidRPr="00AB26B3">
              <w:rPr>
                <w:noProof/>
                <w:spacing w:val="-6"/>
                <w:lang w:val="sk-SK"/>
              </w:rPr>
              <w:t>zvýšenie kvality služieb poskytovaných HOCRED Stores – bývalé ARF Stores (on-spotové</w:t>
            </w:r>
            <w:r w:rsidR="00AB26B3" w:rsidRPr="00AB26B3">
              <w:rPr>
                <w:noProof/>
                <w:spacing w:val="-6"/>
                <w:lang w:val="sk-SK"/>
              </w:rPr>
              <w:t xml:space="preserve"> a </w:t>
            </w:r>
            <w:r w:rsidRPr="00AB26B3">
              <w:rPr>
                <w:noProof/>
                <w:spacing w:val="-6"/>
                <w:lang w:val="sk-SK"/>
              </w:rPr>
              <w:t>elektronické)</w:t>
            </w:r>
          </w:p>
        </w:tc>
        <w:tc>
          <w:tcPr>
            <w:tcW w:w="1125" w:type="dxa"/>
            <w:shd w:val="clear" w:color="auto" w:fill="C6EFCE"/>
            <w:noWrap/>
          </w:tcPr>
          <w:p w14:paraId="65CB2BD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16" w:type="dxa"/>
            <w:shd w:val="clear" w:color="auto" w:fill="C6EFCE"/>
            <w:noWrap/>
          </w:tcPr>
          <w:p w14:paraId="3E5E46CD" w14:textId="09EC4A4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Modernizácia Helénskej organizácie pre rozvoj kultúrnych zdrojov (HOCRED) </w:t>
            </w:r>
          </w:p>
        </w:tc>
        <w:tc>
          <w:tcPr>
            <w:tcW w:w="1549" w:type="dxa"/>
            <w:shd w:val="clear" w:color="auto" w:fill="C6EFCE"/>
            <w:noWrap/>
          </w:tcPr>
          <w:p w14:paraId="41CF02EF" w14:textId="0D17FDA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Modernizácia operácií Helénskej organizácie pre rozvoj kultúrnych zdrojov (HOCRED) </w:t>
            </w:r>
          </w:p>
        </w:tc>
        <w:tc>
          <w:tcPr>
            <w:tcW w:w="1397" w:type="dxa"/>
            <w:shd w:val="clear" w:color="auto" w:fill="C6EFCE"/>
            <w:noWrap/>
          </w:tcPr>
          <w:p w14:paraId="3DB06A3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33E755D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4CD5B44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3D7131E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3A9524C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50" w:type="dxa"/>
            <w:shd w:val="clear" w:color="auto" w:fill="C6EFCE"/>
            <w:noWrap/>
          </w:tcPr>
          <w:p w14:paraId="1CB94AC0" w14:textId="2D034DDE" w:rsidR="00AB26B3" w:rsidRPr="00AB26B3" w:rsidRDefault="00D64F26">
            <w:pPr>
              <w:pStyle w:val="P68B1DB1-Normal15"/>
              <w:spacing w:after="0" w:line="240" w:lineRule="auto"/>
              <w:rPr>
                <w:noProof/>
                <w:color w:val="006100"/>
                <w:spacing w:val="-6"/>
                <w:lang w:val="sk-SK"/>
              </w:rPr>
            </w:pPr>
            <w:r w:rsidRPr="00AB26B3">
              <w:rPr>
                <w:noProof/>
                <w:color w:val="006100"/>
                <w:spacing w:val="-6"/>
                <w:lang w:val="sk-SK"/>
              </w:rPr>
              <w:t>Modernizácia operácií Helénskej organizácie pre rozvoj kultúrnych zdrojov (HOCRED): obnova zameraná na energetickú efektívnosť, výstavba</w:t>
            </w:r>
            <w:r w:rsidR="00AB26B3" w:rsidRPr="00AB26B3">
              <w:rPr>
                <w:noProof/>
                <w:color w:val="006100"/>
                <w:spacing w:val="-6"/>
                <w:lang w:val="sk-SK"/>
              </w:rPr>
              <w:t xml:space="preserve"> a </w:t>
            </w:r>
            <w:r w:rsidRPr="00AB26B3">
              <w:rPr>
                <w:noProof/>
                <w:color w:val="006100"/>
                <w:spacing w:val="-6"/>
                <w:lang w:val="sk-SK"/>
              </w:rPr>
              <w:t>modernizácia infraštruktúry</w:t>
            </w:r>
            <w:r w:rsidR="00AB26B3" w:rsidRPr="00AB26B3">
              <w:rPr>
                <w:noProof/>
                <w:color w:val="006100"/>
                <w:spacing w:val="-6"/>
                <w:lang w:val="sk-SK"/>
              </w:rPr>
              <w:t xml:space="preserve"> a </w:t>
            </w:r>
            <w:r w:rsidRPr="00AB26B3">
              <w:rPr>
                <w:noProof/>
                <w:color w:val="006100"/>
                <w:spacing w:val="-6"/>
                <w:lang w:val="sk-SK"/>
              </w:rPr>
              <w:t>vybavenia pre fyzické</w:t>
            </w:r>
            <w:r w:rsidR="00AB26B3" w:rsidRPr="00AB26B3">
              <w:rPr>
                <w:noProof/>
                <w:color w:val="006100"/>
                <w:spacing w:val="-6"/>
                <w:lang w:val="sk-SK"/>
              </w:rPr>
              <w:t xml:space="preserve"> a </w:t>
            </w:r>
            <w:r w:rsidRPr="00AB26B3">
              <w:rPr>
                <w:noProof/>
                <w:color w:val="006100"/>
                <w:spacing w:val="-6"/>
                <w:lang w:val="sk-SK"/>
              </w:rPr>
              <w:t>online predajne</w:t>
            </w:r>
            <w:r w:rsidR="00AB26B3" w:rsidRPr="00AB26B3">
              <w:rPr>
                <w:noProof/>
                <w:color w:val="006100"/>
                <w:spacing w:val="-6"/>
                <w:lang w:val="sk-SK"/>
              </w:rPr>
              <w:t xml:space="preserve"> a </w:t>
            </w:r>
            <w:r w:rsidRPr="00AB26B3">
              <w:rPr>
                <w:noProof/>
                <w:color w:val="006100"/>
                <w:spacing w:val="-6"/>
                <w:lang w:val="sk-SK"/>
              </w:rPr>
              <w:t>nadobudnutie priemyselného komplexu, ktorý sa má používať na bývanie zariadení HOCRED</w:t>
            </w:r>
            <w:r w:rsidR="00AB26B3" w:rsidRPr="00AB26B3">
              <w:rPr>
                <w:noProof/>
                <w:color w:val="006100"/>
                <w:spacing w:val="-6"/>
                <w:lang w:val="sk-SK"/>
              </w:rPr>
              <w:t>.</w:t>
            </w:r>
          </w:p>
          <w:p w14:paraId="1A00E1AA" w14:textId="1130EB23"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79EEF6BA" w14:textId="77777777">
        <w:trPr>
          <w:trHeight w:val="313"/>
          <w:jc w:val="center"/>
        </w:trPr>
        <w:tc>
          <w:tcPr>
            <w:tcW w:w="542" w:type="dxa"/>
            <w:shd w:val="clear" w:color="auto" w:fill="C6EFCE"/>
            <w:noWrap/>
          </w:tcPr>
          <w:p w14:paraId="135B86D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285</w:t>
            </w:r>
          </w:p>
        </w:tc>
        <w:tc>
          <w:tcPr>
            <w:tcW w:w="1992" w:type="dxa"/>
            <w:shd w:val="clear" w:color="auto" w:fill="C6EFCE"/>
            <w:noWrap/>
          </w:tcPr>
          <w:p w14:paraId="3951AD05" w14:textId="0DDBE70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16725_Zlepšovanie vysokoškolského umeleckého vzdelávania</w:t>
            </w:r>
          </w:p>
        </w:tc>
        <w:tc>
          <w:tcPr>
            <w:tcW w:w="1125" w:type="dxa"/>
            <w:shd w:val="clear" w:color="auto" w:fill="C6EFCE"/>
            <w:noWrap/>
          </w:tcPr>
          <w:p w14:paraId="0D675F6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16" w:type="dxa"/>
            <w:shd w:val="clear" w:color="auto" w:fill="C6EFCE"/>
            <w:noWrap/>
          </w:tcPr>
          <w:p w14:paraId="51C3A9F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Modernizácia vysokoškolského umeleckého vzdelávania</w:t>
            </w:r>
          </w:p>
        </w:tc>
        <w:tc>
          <w:tcPr>
            <w:tcW w:w="1549" w:type="dxa"/>
            <w:shd w:val="clear" w:color="auto" w:fill="C6EFCE"/>
            <w:noWrap/>
          </w:tcPr>
          <w:p w14:paraId="5A5B4CE1" w14:textId="31019A6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aktov, modernizácia budov</w:t>
            </w:r>
            <w:r w:rsidR="00AB26B3" w:rsidRPr="00AB26B3">
              <w:rPr>
                <w:noProof/>
                <w:spacing w:val="-6"/>
                <w:lang w:val="sk-SK"/>
              </w:rPr>
              <w:t xml:space="preserve"> a </w:t>
            </w:r>
            <w:r w:rsidRPr="00AB26B3">
              <w:rPr>
                <w:noProof/>
                <w:spacing w:val="-6"/>
                <w:lang w:val="sk-SK"/>
              </w:rPr>
              <w:t xml:space="preserve">renovácia inštitúcií </w:t>
            </w:r>
          </w:p>
        </w:tc>
        <w:tc>
          <w:tcPr>
            <w:tcW w:w="1397" w:type="dxa"/>
            <w:shd w:val="clear" w:color="auto" w:fill="C6EFCE"/>
            <w:noWrap/>
          </w:tcPr>
          <w:p w14:paraId="7BA134C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72724C0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25DB4FB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698E92C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1DA1879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50" w:type="dxa"/>
            <w:shd w:val="clear" w:color="auto" w:fill="C6EFCE"/>
            <w:noWrap/>
          </w:tcPr>
          <w:p w14:paraId="58DBF855" w14:textId="59F69ADB" w:rsidR="00302FC1" w:rsidRPr="00AB26B3" w:rsidRDefault="00D64F26">
            <w:pPr>
              <w:pStyle w:val="P68B1DB1-Normal12"/>
              <w:spacing w:after="0" w:line="240" w:lineRule="auto"/>
              <w:rPr>
                <w:rFonts w:eastAsiaTheme="minorEastAsia"/>
                <w:noProof/>
                <w:spacing w:val="-6"/>
                <w:lang w:val="sk-SK"/>
              </w:rPr>
            </w:pPr>
            <w:r w:rsidRPr="00AB26B3">
              <w:rPr>
                <w:noProof/>
                <w:spacing w:val="-6"/>
                <w:lang w:val="sk-SK"/>
              </w:rPr>
              <w:t>Nadobudnutie účinnosti právnych aktov na a) zriadenie univerzity scénického umenia</w:t>
            </w:r>
            <w:r w:rsidR="00AB26B3" w:rsidRPr="00AB26B3">
              <w:rPr>
                <w:noProof/>
                <w:spacing w:val="-6"/>
                <w:lang w:val="sk-SK"/>
              </w:rPr>
              <w:t xml:space="preserve"> a </w:t>
            </w:r>
            <w:r w:rsidRPr="00AB26B3">
              <w:rPr>
                <w:noProof/>
                <w:spacing w:val="-6"/>
                <w:lang w:val="sk-SK"/>
              </w:rPr>
              <w:t>b) preskúmanie</w:t>
            </w:r>
            <w:r w:rsidR="00AB26B3" w:rsidRPr="00AB26B3">
              <w:rPr>
                <w:noProof/>
                <w:spacing w:val="-6"/>
                <w:lang w:val="sk-SK"/>
              </w:rPr>
              <w:t xml:space="preserve"> a </w:t>
            </w:r>
            <w:r w:rsidRPr="00AB26B3">
              <w:rPr>
                <w:noProof/>
                <w:spacing w:val="-6"/>
                <w:lang w:val="sk-SK"/>
              </w:rPr>
              <w:t>aktualizáciu učebných osnov tejto univerzity</w:t>
            </w:r>
          </w:p>
          <w:p w14:paraId="09D2C979" w14:textId="77777777" w:rsidR="00302FC1" w:rsidRPr="00AB26B3" w:rsidRDefault="00302FC1">
            <w:pPr>
              <w:spacing w:after="0" w:line="240" w:lineRule="auto"/>
              <w:rPr>
                <w:rFonts w:ascii="Times New Roman" w:eastAsiaTheme="minorEastAsia" w:hAnsi="Times New Roman" w:cs="Times New Roman"/>
                <w:noProof/>
                <w:color w:val="006100"/>
                <w:spacing w:val="-6"/>
                <w:sz w:val="18"/>
                <w:szCs w:val="18"/>
                <w:lang w:val="sk-SK"/>
              </w:rPr>
            </w:pPr>
          </w:p>
          <w:p w14:paraId="312DE6C0" w14:textId="5D4BC25C" w:rsidR="00AB26B3" w:rsidRPr="00AB26B3" w:rsidRDefault="00D64F26">
            <w:pPr>
              <w:pStyle w:val="P68B1DB1-Normal12"/>
              <w:spacing w:after="0" w:line="240" w:lineRule="auto"/>
              <w:rPr>
                <w:noProof/>
                <w:spacing w:val="-6"/>
                <w:lang w:val="sk-SK"/>
              </w:rPr>
            </w:pPr>
            <w:r w:rsidRPr="00AB26B3">
              <w:rPr>
                <w:noProof/>
                <w:spacing w:val="-6"/>
                <w:lang w:val="sk-SK"/>
              </w:rPr>
              <w:t>Modernizácia budovy Národnej školy tanca</w:t>
            </w:r>
            <w:r w:rsidR="00AB26B3" w:rsidRPr="00AB26B3">
              <w:rPr>
                <w:noProof/>
                <w:spacing w:val="-6"/>
                <w:lang w:val="sk-SK"/>
              </w:rPr>
              <w:t xml:space="preserve"> a </w:t>
            </w:r>
            <w:r w:rsidRPr="00AB26B3">
              <w:rPr>
                <w:noProof/>
                <w:spacing w:val="-6"/>
                <w:lang w:val="sk-SK"/>
              </w:rPr>
              <w:t>štátneho konzervatória</w:t>
            </w:r>
            <w:r w:rsidR="00AB26B3" w:rsidRPr="00AB26B3">
              <w:rPr>
                <w:noProof/>
                <w:spacing w:val="-6"/>
                <w:lang w:val="sk-SK"/>
              </w:rPr>
              <w:t xml:space="preserve"> v </w:t>
            </w:r>
            <w:r w:rsidRPr="00AB26B3">
              <w:rPr>
                <w:noProof/>
                <w:spacing w:val="-6"/>
                <w:lang w:val="sk-SK"/>
              </w:rPr>
              <w:t>Solúne</w:t>
            </w:r>
            <w:r w:rsidR="00AB26B3" w:rsidRPr="00AB26B3">
              <w:rPr>
                <w:noProof/>
                <w:spacing w:val="-6"/>
                <w:lang w:val="sk-SK"/>
              </w:rPr>
              <w:t>.</w:t>
            </w:r>
          </w:p>
          <w:p w14:paraId="52B73E4F" w14:textId="0B756199" w:rsidR="00302FC1" w:rsidRPr="00AB26B3" w:rsidRDefault="00302FC1">
            <w:pPr>
              <w:spacing w:after="0" w:line="240" w:lineRule="auto"/>
              <w:rPr>
                <w:rFonts w:ascii="Times New Roman" w:eastAsiaTheme="minorEastAsia" w:hAnsi="Times New Roman" w:cs="Times New Roman"/>
                <w:noProof/>
                <w:color w:val="006100"/>
                <w:spacing w:val="-6"/>
                <w:sz w:val="18"/>
                <w:szCs w:val="18"/>
                <w:lang w:val="sk-SK"/>
              </w:rPr>
            </w:pPr>
          </w:p>
          <w:p w14:paraId="5ADE3DBB" w14:textId="3FECA12D" w:rsidR="00302FC1" w:rsidRPr="00AB26B3" w:rsidRDefault="00D64F26">
            <w:pPr>
              <w:pStyle w:val="P68B1DB1-Normal12"/>
              <w:spacing w:after="0" w:line="240" w:lineRule="auto"/>
              <w:rPr>
                <w:rFonts w:eastAsiaTheme="minorEastAsia"/>
                <w:noProof/>
                <w:spacing w:val="-6"/>
                <w:lang w:val="sk-SK"/>
              </w:rPr>
            </w:pPr>
            <w:r w:rsidRPr="00AB26B3">
              <w:rPr>
                <w:noProof/>
                <w:spacing w:val="-6"/>
                <w:lang w:val="sk-SK"/>
              </w:rPr>
              <w:t>Renovácia významných štátnych umeleckých vzdelávacích inštitúcií (Drama School of the National Theatre, State Theatre of Northern Greece, Higher School of Marble Crafts of Tinos)</w:t>
            </w:r>
          </w:p>
          <w:p w14:paraId="1AF31164"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r>
      <w:tr w:rsidR="00302FC1" w:rsidRPr="00AB26B3" w14:paraId="6E0EFC1B" w14:textId="77777777">
        <w:trPr>
          <w:trHeight w:val="313"/>
          <w:jc w:val="center"/>
        </w:trPr>
        <w:tc>
          <w:tcPr>
            <w:tcW w:w="542" w:type="dxa"/>
            <w:shd w:val="clear" w:color="auto" w:fill="C6EFCE"/>
            <w:noWrap/>
          </w:tcPr>
          <w:p w14:paraId="5F7C2FC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287</w:t>
            </w:r>
          </w:p>
        </w:tc>
        <w:tc>
          <w:tcPr>
            <w:tcW w:w="1992" w:type="dxa"/>
            <w:shd w:val="clear" w:color="auto" w:fill="C6EFCE"/>
            <w:noWrap/>
          </w:tcPr>
          <w:p w14:paraId="3A411EC9" w14:textId="563DD2E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16486_Múzeum podmorských starožitností</w:t>
            </w:r>
          </w:p>
        </w:tc>
        <w:tc>
          <w:tcPr>
            <w:tcW w:w="1125" w:type="dxa"/>
            <w:shd w:val="clear" w:color="auto" w:fill="C6EFCE"/>
            <w:noWrap/>
          </w:tcPr>
          <w:p w14:paraId="6F46E1C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16" w:type="dxa"/>
            <w:shd w:val="clear" w:color="auto" w:fill="C6EFCE"/>
            <w:noWrap/>
          </w:tcPr>
          <w:p w14:paraId="0D508A8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Múzeum podmorských starožitností</w:t>
            </w:r>
          </w:p>
        </w:tc>
        <w:tc>
          <w:tcPr>
            <w:tcW w:w="1549" w:type="dxa"/>
            <w:shd w:val="clear" w:color="auto" w:fill="C6EFCE"/>
            <w:noWrap/>
          </w:tcPr>
          <w:p w14:paraId="65E0156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prác</w:t>
            </w:r>
          </w:p>
        </w:tc>
        <w:tc>
          <w:tcPr>
            <w:tcW w:w="1397" w:type="dxa"/>
            <w:shd w:val="clear" w:color="auto" w:fill="C6EFCE"/>
            <w:noWrap/>
          </w:tcPr>
          <w:p w14:paraId="60A28DA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5721FD9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4E0A583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7DE7A9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3B4FF45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50" w:type="dxa"/>
            <w:shd w:val="clear" w:color="auto" w:fill="C6EFCE"/>
            <w:noWrap/>
          </w:tcPr>
          <w:p w14:paraId="055E4F0F" w14:textId="77777777" w:rsidR="00302FC1" w:rsidRPr="00AB26B3" w:rsidRDefault="00D64F26">
            <w:pPr>
              <w:pStyle w:val="P68B1DB1-Normal12"/>
              <w:spacing w:after="0" w:line="240" w:lineRule="auto"/>
              <w:rPr>
                <w:noProof/>
                <w:spacing w:val="-6"/>
                <w:lang w:val="sk-SK"/>
              </w:rPr>
            </w:pPr>
            <w:r w:rsidRPr="00AB26B3">
              <w:rPr>
                <w:noProof/>
                <w:spacing w:val="-6"/>
                <w:lang w:val="sk-SK"/>
              </w:rPr>
              <w:t>Realizácia stavebných prác na ploche 25912 metrov štvorcových.</w:t>
            </w:r>
          </w:p>
          <w:p w14:paraId="0E0B999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3110E092" w14:textId="77777777">
        <w:trPr>
          <w:trHeight w:val="313"/>
          <w:jc w:val="center"/>
        </w:trPr>
        <w:tc>
          <w:tcPr>
            <w:tcW w:w="542" w:type="dxa"/>
            <w:shd w:val="clear" w:color="auto" w:fill="C6EFCE"/>
            <w:noWrap/>
          </w:tcPr>
          <w:p w14:paraId="4FEA8CF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288</w:t>
            </w:r>
          </w:p>
        </w:tc>
        <w:tc>
          <w:tcPr>
            <w:tcW w:w="1992" w:type="dxa"/>
            <w:shd w:val="clear" w:color="auto" w:fill="C6EFCE"/>
            <w:noWrap/>
          </w:tcPr>
          <w:p w14:paraId="742FEFC5" w14:textId="0B66D6F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16485_Kultúrne trasy na typických archeologických náleziskách</w:t>
            </w:r>
            <w:r w:rsidR="00AB26B3" w:rsidRPr="00AB26B3">
              <w:rPr>
                <w:noProof/>
                <w:spacing w:val="-6"/>
                <w:lang w:val="sk-SK"/>
              </w:rPr>
              <w:t xml:space="preserve"> a </w:t>
            </w:r>
            <w:r w:rsidRPr="00AB26B3">
              <w:rPr>
                <w:noProof/>
                <w:spacing w:val="-6"/>
                <w:lang w:val="sk-SK"/>
              </w:rPr>
              <w:t>pamiatkach</w:t>
            </w:r>
          </w:p>
        </w:tc>
        <w:tc>
          <w:tcPr>
            <w:tcW w:w="1125" w:type="dxa"/>
            <w:shd w:val="clear" w:color="auto" w:fill="C6EFCE"/>
            <w:noWrap/>
          </w:tcPr>
          <w:p w14:paraId="6E0E504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16" w:type="dxa"/>
            <w:shd w:val="clear" w:color="auto" w:fill="C6EFCE"/>
            <w:noWrap/>
          </w:tcPr>
          <w:p w14:paraId="362B7E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Kultúrne trasy na emblematických archeologických lokalitách</w:t>
            </w:r>
          </w:p>
        </w:tc>
        <w:tc>
          <w:tcPr>
            <w:tcW w:w="1549" w:type="dxa"/>
            <w:shd w:val="clear" w:color="auto" w:fill="C6EFCE"/>
            <w:noWrap/>
          </w:tcPr>
          <w:p w14:paraId="3D8DB2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Vytvorenie kultúrnych trás </w:t>
            </w:r>
          </w:p>
        </w:tc>
        <w:tc>
          <w:tcPr>
            <w:tcW w:w="1397" w:type="dxa"/>
            <w:shd w:val="clear" w:color="auto" w:fill="C6EFCE"/>
            <w:noWrap/>
          </w:tcPr>
          <w:p w14:paraId="000E2C3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3AC2042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402545E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70F75CD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5CB1D7E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50" w:type="dxa"/>
            <w:shd w:val="clear" w:color="auto" w:fill="C6EFCE"/>
            <w:noWrap/>
          </w:tcPr>
          <w:p w14:paraId="2DB5C344" w14:textId="3DEB988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Kultúrne trasy: vytvára sa päť geograficky rozšírených kultúrnych trás</w:t>
            </w:r>
            <w:r w:rsidR="00AB26B3" w:rsidRPr="00AB26B3">
              <w:rPr>
                <w:noProof/>
                <w:spacing w:val="-6"/>
                <w:lang w:val="sk-SK"/>
              </w:rPr>
              <w:t xml:space="preserve"> s </w:t>
            </w:r>
            <w:r w:rsidRPr="00AB26B3">
              <w:rPr>
                <w:noProof/>
                <w:spacing w:val="-6"/>
                <w:lang w:val="sk-SK"/>
              </w:rPr>
              <w:t>tematickými príbehmi</w:t>
            </w:r>
            <w:r w:rsidR="00AB26B3" w:rsidRPr="00AB26B3">
              <w:rPr>
                <w:noProof/>
                <w:spacing w:val="-6"/>
                <w:lang w:val="sk-SK"/>
              </w:rPr>
              <w:t xml:space="preserve"> z </w:t>
            </w:r>
            <w:r w:rsidRPr="00AB26B3">
              <w:rPr>
                <w:noProof/>
                <w:spacing w:val="-6"/>
                <w:lang w:val="sk-SK"/>
              </w:rPr>
              <w:t>gréckej histórie.</w:t>
            </w:r>
          </w:p>
        </w:tc>
      </w:tr>
      <w:tr w:rsidR="00302FC1" w:rsidRPr="00AB26B3" w14:paraId="59E07598" w14:textId="77777777">
        <w:trPr>
          <w:trHeight w:val="313"/>
          <w:jc w:val="center"/>
        </w:trPr>
        <w:tc>
          <w:tcPr>
            <w:tcW w:w="542" w:type="dxa"/>
            <w:shd w:val="clear" w:color="auto" w:fill="C6EFCE"/>
            <w:noWrap/>
          </w:tcPr>
          <w:p w14:paraId="6F8404D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289</w:t>
            </w:r>
          </w:p>
        </w:tc>
        <w:tc>
          <w:tcPr>
            <w:tcW w:w="1992" w:type="dxa"/>
            <w:shd w:val="clear" w:color="auto" w:fill="C6EFCE"/>
            <w:noWrap/>
          </w:tcPr>
          <w:p w14:paraId="36BAE16F" w14:textId="159D4FF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16735_Využívanie „umení na predpis“, podpora sociálnej súdržnosti</w:t>
            </w:r>
            <w:r w:rsidR="00AB26B3" w:rsidRPr="00AB26B3">
              <w:rPr>
                <w:noProof/>
                <w:spacing w:val="-6"/>
                <w:lang w:val="sk-SK"/>
              </w:rPr>
              <w:t xml:space="preserve"> a </w:t>
            </w:r>
            <w:r w:rsidRPr="00AB26B3">
              <w:rPr>
                <w:noProof/>
                <w:spacing w:val="-6"/>
                <w:lang w:val="sk-SK"/>
              </w:rPr>
              <w:t>využívanie striebornej ekonomiky</w:t>
            </w:r>
          </w:p>
        </w:tc>
        <w:tc>
          <w:tcPr>
            <w:tcW w:w="1125" w:type="dxa"/>
            <w:shd w:val="clear" w:color="auto" w:fill="C6EFCE"/>
            <w:noWrap/>
          </w:tcPr>
          <w:p w14:paraId="3A6728A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16" w:type="dxa"/>
            <w:shd w:val="clear" w:color="auto" w:fill="C6EFCE"/>
            <w:noWrap/>
          </w:tcPr>
          <w:p w14:paraId="22906E62" w14:textId="5BA54BE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Využívanie „umení na lekársky predpis“, podpora sociálnej súdržnosti</w:t>
            </w:r>
            <w:r w:rsidR="00AB26B3" w:rsidRPr="00AB26B3">
              <w:rPr>
                <w:noProof/>
                <w:spacing w:val="-6"/>
                <w:lang w:val="sk-SK"/>
              </w:rPr>
              <w:t xml:space="preserve"> a </w:t>
            </w:r>
            <w:r w:rsidRPr="00AB26B3">
              <w:rPr>
                <w:noProof/>
                <w:spacing w:val="-6"/>
                <w:lang w:val="sk-SK"/>
              </w:rPr>
              <w:t xml:space="preserve">využívanie striebornej ekonomiky </w:t>
            </w:r>
          </w:p>
        </w:tc>
        <w:tc>
          <w:tcPr>
            <w:tcW w:w="1549" w:type="dxa"/>
            <w:shd w:val="clear" w:color="auto" w:fill="C6EFCE"/>
            <w:noWrap/>
          </w:tcPr>
          <w:p w14:paraId="19E770E8" w14:textId="605440DD" w:rsidR="00302FC1" w:rsidRPr="00AB26B3" w:rsidRDefault="00D64F26">
            <w:pPr>
              <w:pStyle w:val="P68B1DB1-Normal12"/>
              <w:spacing w:after="0" w:line="240" w:lineRule="auto"/>
              <w:rPr>
                <w:noProof/>
                <w:spacing w:val="-6"/>
                <w:lang w:val="sk-SK"/>
              </w:rPr>
            </w:pPr>
            <w:r w:rsidRPr="00AB26B3">
              <w:rPr>
                <w:noProof/>
                <w:spacing w:val="-6"/>
                <w:lang w:val="sk-SK"/>
              </w:rPr>
              <w:t>Vykonávanie prác na infraštruktúre, vykonávanie programu umenia</w:t>
            </w:r>
            <w:r w:rsidR="00AB26B3" w:rsidRPr="00AB26B3">
              <w:rPr>
                <w:noProof/>
                <w:spacing w:val="-6"/>
                <w:lang w:val="sk-SK"/>
              </w:rPr>
              <w:t xml:space="preserve"> o </w:t>
            </w:r>
            <w:r w:rsidRPr="00AB26B3">
              <w:rPr>
                <w:noProof/>
                <w:spacing w:val="-6"/>
                <w:lang w:val="sk-SK"/>
              </w:rPr>
              <w:t>predpisovaní liekov</w:t>
            </w:r>
            <w:r w:rsidR="00AB26B3" w:rsidRPr="00AB26B3">
              <w:rPr>
                <w:noProof/>
                <w:spacing w:val="-6"/>
                <w:lang w:val="sk-SK"/>
              </w:rPr>
              <w:t xml:space="preserve"> a </w:t>
            </w:r>
            <w:r w:rsidRPr="00AB26B3">
              <w:rPr>
                <w:noProof/>
                <w:spacing w:val="-6"/>
                <w:lang w:val="sk-SK"/>
              </w:rPr>
              <w:t>poskytovanie seminárov</w:t>
            </w:r>
          </w:p>
        </w:tc>
        <w:tc>
          <w:tcPr>
            <w:tcW w:w="1397" w:type="dxa"/>
            <w:shd w:val="clear" w:color="auto" w:fill="C6EFCE"/>
            <w:noWrap/>
          </w:tcPr>
          <w:p w14:paraId="5EE33CC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4EA0CAC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0991397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23569B5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4C9338C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50" w:type="dxa"/>
            <w:shd w:val="clear" w:color="auto" w:fill="C6EFCE"/>
            <w:noWrap/>
          </w:tcPr>
          <w:p w14:paraId="46F5AC51" w14:textId="48E3833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Vykonávajú sa práce na infraštruktúre na zlepšenie fyzického prístupu</w:t>
            </w:r>
            <w:r w:rsidR="00AB26B3" w:rsidRPr="00AB26B3">
              <w:rPr>
                <w:noProof/>
                <w:spacing w:val="-6"/>
                <w:lang w:val="sk-SK"/>
              </w:rPr>
              <w:t xml:space="preserve"> a </w:t>
            </w:r>
            <w:r w:rsidRPr="00AB26B3">
              <w:rPr>
                <w:noProof/>
                <w:spacing w:val="-6"/>
                <w:lang w:val="sk-SK"/>
              </w:rPr>
              <w:t>načúvacích</w:t>
            </w:r>
            <w:r w:rsidR="00AB26B3" w:rsidRPr="00AB26B3">
              <w:rPr>
                <w:noProof/>
                <w:spacing w:val="-6"/>
                <w:lang w:val="sk-SK"/>
              </w:rPr>
              <w:t xml:space="preserve"> a </w:t>
            </w:r>
            <w:r w:rsidRPr="00AB26B3">
              <w:rPr>
                <w:noProof/>
                <w:spacing w:val="-6"/>
                <w:lang w:val="sk-SK"/>
              </w:rPr>
              <w:t>zrakových pomôcok pre kultúrne priestory; Realizuje sa program umenia</w:t>
            </w:r>
            <w:r w:rsidR="00AB26B3" w:rsidRPr="00AB26B3">
              <w:rPr>
                <w:noProof/>
                <w:spacing w:val="-6"/>
                <w:lang w:val="sk-SK"/>
              </w:rPr>
              <w:t xml:space="preserve"> o </w:t>
            </w:r>
            <w:r w:rsidRPr="00AB26B3">
              <w:rPr>
                <w:noProof/>
                <w:spacing w:val="-6"/>
                <w:lang w:val="sk-SK"/>
              </w:rPr>
              <w:t>predpisovaní liekov, poskytuje sa 100 seminárov.</w:t>
            </w:r>
          </w:p>
        </w:tc>
      </w:tr>
      <w:tr w:rsidR="00302FC1" w:rsidRPr="00AB26B3" w14:paraId="21917D88" w14:textId="77777777">
        <w:trPr>
          <w:trHeight w:val="313"/>
          <w:jc w:val="center"/>
        </w:trPr>
        <w:tc>
          <w:tcPr>
            <w:tcW w:w="542" w:type="dxa"/>
            <w:shd w:val="clear" w:color="auto" w:fill="C6EFCE"/>
            <w:noWrap/>
          </w:tcPr>
          <w:p w14:paraId="130C1DB7" w14:textId="77777777" w:rsidR="00302FC1" w:rsidRPr="00AB26B3" w:rsidRDefault="00D64F26">
            <w:pPr>
              <w:pStyle w:val="P68B1DB1-Normal12"/>
              <w:spacing w:after="0" w:line="240" w:lineRule="auto"/>
              <w:rPr>
                <w:rFonts w:eastAsia="Times New Roman"/>
                <w:noProof/>
                <w:spacing w:val="-6"/>
                <w:lang w:val="sk-SK"/>
              </w:rPr>
            </w:pPr>
            <w:bookmarkStart w:id="5" w:name="_Hlk204359757"/>
            <w:r w:rsidRPr="00AB26B3">
              <w:rPr>
                <w:noProof/>
                <w:spacing w:val="-6"/>
                <w:lang w:val="sk-SK"/>
              </w:rPr>
              <w:t>290</w:t>
            </w:r>
          </w:p>
        </w:tc>
        <w:tc>
          <w:tcPr>
            <w:tcW w:w="1992" w:type="dxa"/>
            <w:shd w:val="clear" w:color="auto" w:fill="C6EFCE"/>
            <w:noWrap/>
          </w:tcPr>
          <w:p w14:paraId="52DCB29F" w14:textId="11CBA45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16433_Ochrana kultúrnych pamiatok</w:t>
            </w:r>
            <w:r w:rsidR="00AB26B3" w:rsidRPr="00AB26B3">
              <w:rPr>
                <w:noProof/>
                <w:spacing w:val="-6"/>
                <w:lang w:val="sk-SK"/>
              </w:rPr>
              <w:t xml:space="preserve"> a </w:t>
            </w:r>
            <w:r w:rsidRPr="00AB26B3">
              <w:rPr>
                <w:noProof/>
                <w:spacing w:val="-6"/>
                <w:lang w:val="sk-SK"/>
              </w:rPr>
              <w:t>archeologických nálezísk pred zmenou klímy</w:t>
            </w:r>
          </w:p>
        </w:tc>
        <w:tc>
          <w:tcPr>
            <w:tcW w:w="1125" w:type="dxa"/>
            <w:shd w:val="clear" w:color="auto" w:fill="C6EFCE"/>
            <w:noWrap/>
          </w:tcPr>
          <w:p w14:paraId="77BD5FF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Míľnik </w:t>
            </w:r>
          </w:p>
        </w:tc>
        <w:tc>
          <w:tcPr>
            <w:tcW w:w="1316" w:type="dxa"/>
            <w:shd w:val="clear" w:color="auto" w:fill="C6EFCE"/>
            <w:noWrap/>
          </w:tcPr>
          <w:p w14:paraId="3718722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Ochrana kultúrnych pamiatok pred zmenou klímy</w:t>
            </w:r>
          </w:p>
        </w:tc>
        <w:tc>
          <w:tcPr>
            <w:tcW w:w="1549" w:type="dxa"/>
            <w:shd w:val="clear" w:color="auto" w:fill="C6EFCE"/>
            <w:noWrap/>
          </w:tcPr>
          <w:p w14:paraId="3FDF5AB1" w14:textId="791AD77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prác</w:t>
            </w:r>
            <w:r w:rsidR="00AB26B3" w:rsidRPr="00AB26B3">
              <w:rPr>
                <w:noProof/>
                <w:spacing w:val="-6"/>
                <w:lang w:val="sk-SK"/>
              </w:rPr>
              <w:t xml:space="preserve"> a </w:t>
            </w:r>
            <w:r w:rsidRPr="00AB26B3">
              <w:rPr>
                <w:noProof/>
                <w:spacing w:val="-6"/>
                <w:lang w:val="sk-SK"/>
              </w:rPr>
              <w:t>plnenie plánov adaptácie na zmenu klímy</w:t>
            </w:r>
          </w:p>
        </w:tc>
        <w:tc>
          <w:tcPr>
            <w:tcW w:w="1397" w:type="dxa"/>
            <w:shd w:val="clear" w:color="auto" w:fill="C6EFCE"/>
            <w:noWrap/>
          </w:tcPr>
          <w:p w14:paraId="76A7180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0352D68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1BFD0C9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55D856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676F912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50" w:type="dxa"/>
            <w:shd w:val="clear" w:color="auto" w:fill="C6EFCE"/>
            <w:noWrap/>
          </w:tcPr>
          <w:p w14:paraId="05B79EEB" w14:textId="77777777" w:rsidR="00AB26B3" w:rsidRPr="00AB26B3" w:rsidRDefault="00D64F26">
            <w:pPr>
              <w:pStyle w:val="P68B1DB1-ListParagraph19"/>
              <w:numPr>
                <w:ilvl w:val="0"/>
                <w:numId w:val="90"/>
              </w:numPr>
              <w:spacing w:after="0" w:line="240" w:lineRule="auto"/>
              <w:rPr>
                <w:noProof/>
                <w:spacing w:val="-6"/>
                <w:lang w:val="sk-SK"/>
              </w:rPr>
            </w:pPr>
            <w:r w:rsidRPr="00AB26B3">
              <w:rPr>
                <w:noProof/>
                <w:spacing w:val="-6"/>
                <w:lang w:val="sk-SK"/>
              </w:rPr>
              <w:t>Vykonávajú sa práce na kultúrnych pamiatkach</w:t>
            </w:r>
            <w:r w:rsidR="00AB26B3" w:rsidRPr="00AB26B3">
              <w:rPr>
                <w:noProof/>
                <w:spacing w:val="-6"/>
                <w:lang w:val="sk-SK"/>
              </w:rPr>
              <w:t>;</w:t>
            </w:r>
          </w:p>
          <w:p w14:paraId="068CED3C" w14:textId="77777777" w:rsidR="00AB26B3" w:rsidRPr="00AB26B3" w:rsidRDefault="00D64F26">
            <w:pPr>
              <w:pStyle w:val="P68B1DB1-ListParagraph19"/>
              <w:numPr>
                <w:ilvl w:val="0"/>
                <w:numId w:val="90"/>
              </w:numPr>
              <w:spacing w:after="0" w:line="240" w:lineRule="auto"/>
              <w:rPr>
                <w:noProof/>
                <w:spacing w:val="-6"/>
                <w:lang w:val="sk-SK"/>
              </w:rPr>
            </w:pPr>
            <w:r w:rsidRPr="00AB26B3">
              <w:rPr>
                <w:noProof/>
                <w:spacing w:val="-6"/>
                <w:lang w:val="sk-SK"/>
              </w:rPr>
              <w:t>Realizácia plánov adaptácie na zmenu klímy pre lokality kultúrneho dedičstva</w:t>
            </w:r>
            <w:r w:rsidR="00AB26B3" w:rsidRPr="00AB26B3">
              <w:rPr>
                <w:noProof/>
                <w:spacing w:val="-6"/>
                <w:lang w:val="sk-SK"/>
              </w:rPr>
              <w:t>;</w:t>
            </w:r>
          </w:p>
          <w:p w14:paraId="60FE9470" w14:textId="6B045187" w:rsidR="00302FC1" w:rsidRPr="00AB26B3" w:rsidRDefault="00D64F26">
            <w:pPr>
              <w:pStyle w:val="P68B1DB1-ListParagraph19"/>
              <w:numPr>
                <w:ilvl w:val="0"/>
                <w:numId w:val="90"/>
              </w:numPr>
              <w:spacing w:after="0" w:line="240" w:lineRule="auto"/>
              <w:rPr>
                <w:rFonts w:eastAsia="Times New Roman"/>
                <w:noProof/>
                <w:spacing w:val="-6"/>
                <w:lang w:val="sk-SK"/>
              </w:rPr>
            </w:pPr>
            <w:r w:rsidRPr="00AB26B3">
              <w:rPr>
                <w:noProof/>
                <w:spacing w:val="-6"/>
                <w:lang w:val="sk-SK"/>
              </w:rPr>
              <w:t>Vykonávanie priestorových</w:t>
            </w:r>
            <w:r w:rsidR="00AB26B3" w:rsidRPr="00AB26B3">
              <w:rPr>
                <w:noProof/>
                <w:spacing w:val="-6"/>
                <w:lang w:val="sk-SK"/>
              </w:rPr>
              <w:t xml:space="preserve"> a </w:t>
            </w:r>
            <w:r w:rsidRPr="00AB26B3">
              <w:rPr>
                <w:noProof/>
                <w:spacing w:val="-6"/>
                <w:lang w:val="sk-SK"/>
              </w:rPr>
              <w:t>časových posúdení klimatických rizík</w:t>
            </w:r>
          </w:p>
        </w:tc>
      </w:tr>
      <w:tr w:rsidR="00302FC1" w:rsidRPr="00AB26B3" w14:paraId="2BA9669F" w14:textId="77777777">
        <w:trPr>
          <w:trHeight w:val="313"/>
          <w:jc w:val="center"/>
        </w:trPr>
        <w:tc>
          <w:tcPr>
            <w:tcW w:w="542" w:type="dxa"/>
            <w:shd w:val="clear" w:color="auto" w:fill="C6EFCE"/>
            <w:noWrap/>
          </w:tcPr>
          <w:p w14:paraId="6589930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291</w:t>
            </w:r>
          </w:p>
        </w:tc>
        <w:tc>
          <w:tcPr>
            <w:tcW w:w="1992" w:type="dxa"/>
            <w:shd w:val="clear" w:color="auto" w:fill="C6EFCE"/>
            <w:noWrap/>
          </w:tcPr>
          <w:p w14:paraId="5FE6E27C" w14:textId="060219E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16435 _Obnova – Ochrana – Zlepšenie pamiatok Akropolis</w:t>
            </w:r>
          </w:p>
        </w:tc>
        <w:tc>
          <w:tcPr>
            <w:tcW w:w="1125" w:type="dxa"/>
            <w:shd w:val="clear" w:color="auto" w:fill="C6EFCE"/>
            <w:noWrap/>
          </w:tcPr>
          <w:p w14:paraId="378B9A3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p w14:paraId="01A7404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316" w:type="dxa"/>
            <w:shd w:val="clear" w:color="auto" w:fill="C6EFCE"/>
            <w:noWrap/>
          </w:tcPr>
          <w:p w14:paraId="08592AD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Obnova – ochrana – posilnenie akropolu</w:t>
            </w:r>
          </w:p>
        </w:tc>
        <w:tc>
          <w:tcPr>
            <w:tcW w:w="1549" w:type="dxa"/>
            <w:shd w:val="clear" w:color="auto" w:fill="C6EFCE"/>
            <w:noWrap/>
          </w:tcPr>
          <w:p w14:paraId="5FCD9EDF" w14:textId="00E5369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Vykonávanie reštauračných prác</w:t>
            </w:r>
            <w:r w:rsidR="00AB26B3" w:rsidRPr="00AB26B3">
              <w:rPr>
                <w:noProof/>
                <w:spacing w:val="-6"/>
                <w:lang w:val="sk-SK"/>
              </w:rPr>
              <w:t xml:space="preserve"> a </w:t>
            </w:r>
            <w:r w:rsidRPr="00AB26B3">
              <w:rPr>
                <w:noProof/>
                <w:spacing w:val="-6"/>
                <w:lang w:val="sk-SK"/>
              </w:rPr>
              <w:t xml:space="preserve">prác na prístupnosti pre návštevníkov </w:t>
            </w:r>
          </w:p>
        </w:tc>
        <w:tc>
          <w:tcPr>
            <w:tcW w:w="1397" w:type="dxa"/>
            <w:shd w:val="clear" w:color="auto" w:fill="C6EFCE"/>
            <w:noWrap/>
          </w:tcPr>
          <w:p w14:paraId="6E54C6C2" w14:textId="77777777" w:rsidR="00302FC1" w:rsidRPr="00AB26B3" w:rsidRDefault="00302FC1">
            <w:pPr>
              <w:pStyle w:val="ListParagraph"/>
              <w:jc w:val="both"/>
              <w:rPr>
                <w:rFonts w:ascii="Times New Roman" w:eastAsia="Times New Roman" w:hAnsi="Times New Roman" w:cs="Times New Roman"/>
                <w:noProof/>
                <w:color w:val="006100"/>
                <w:spacing w:val="-6"/>
                <w:sz w:val="18"/>
                <w:szCs w:val="18"/>
                <w:lang w:val="sk-SK"/>
              </w:rPr>
            </w:pPr>
          </w:p>
        </w:tc>
        <w:tc>
          <w:tcPr>
            <w:tcW w:w="1058" w:type="dxa"/>
            <w:shd w:val="clear" w:color="auto" w:fill="C6EFCE"/>
            <w:noWrap/>
          </w:tcPr>
          <w:p w14:paraId="4559FEA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shd w:val="clear" w:color="auto" w:fill="C6EFCE"/>
            <w:noWrap/>
          </w:tcPr>
          <w:p w14:paraId="288B486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shd w:val="clear" w:color="auto" w:fill="C6EFCE"/>
            <w:noWrap/>
          </w:tcPr>
          <w:p w14:paraId="0264607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51" w:type="dxa"/>
            <w:shd w:val="clear" w:color="auto" w:fill="C6EFCE"/>
            <w:noWrap/>
          </w:tcPr>
          <w:p w14:paraId="5FD4B9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950" w:type="dxa"/>
            <w:shd w:val="clear" w:color="auto" w:fill="C6EFCE"/>
            <w:noWrap/>
          </w:tcPr>
          <w:p w14:paraId="7EDE27CA" w14:textId="04244539" w:rsidR="00302FC1" w:rsidRPr="00AB26B3" w:rsidRDefault="00D64F26">
            <w:pPr>
              <w:pStyle w:val="P68B1DB1-Normal12"/>
              <w:spacing w:after="0" w:line="240" w:lineRule="auto"/>
              <w:rPr>
                <w:noProof/>
                <w:spacing w:val="-6"/>
                <w:lang w:val="sk-SK"/>
              </w:rPr>
            </w:pPr>
            <w:r w:rsidRPr="00AB26B3">
              <w:rPr>
                <w:noProof/>
                <w:spacing w:val="-6"/>
                <w:lang w:val="sk-SK"/>
              </w:rPr>
              <w:t>Pamiatky Akropoly sa obnovujú</w:t>
            </w:r>
            <w:r w:rsidR="00AB26B3" w:rsidRPr="00AB26B3">
              <w:rPr>
                <w:noProof/>
                <w:spacing w:val="-6"/>
                <w:lang w:val="sk-SK"/>
              </w:rPr>
              <w:t xml:space="preserve"> s </w:t>
            </w:r>
            <w:r w:rsidRPr="00AB26B3">
              <w:rPr>
                <w:noProof/>
                <w:spacing w:val="-6"/>
                <w:lang w:val="sk-SK"/>
              </w:rPr>
              <w:t>cieľom chrániť ich pred zmenou klímy vrátane reštauračných prác na Partenóne, múroch</w:t>
            </w:r>
            <w:r w:rsidR="00AB26B3" w:rsidRPr="00AB26B3">
              <w:rPr>
                <w:noProof/>
                <w:spacing w:val="-6"/>
                <w:lang w:val="sk-SK"/>
              </w:rPr>
              <w:t xml:space="preserve"> a </w:t>
            </w:r>
            <w:r w:rsidRPr="00AB26B3">
              <w:rPr>
                <w:noProof/>
                <w:spacing w:val="-6"/>
                <w:lang w:val="sk-SK"/>
              </w:rPr>
              <w:t>prác na prístupnosti pre návštevníkov.</w:t>
            </w:r>
          </w:p>
        </w:tc>
      </w:tr>
      <w:bookmarkEnd w:id="5"/>
    </w:tbl>
    <w:p w14:paraId="1CD2AD84" w14:textId="77777777" w:rsidR="00302FC1" w:rsidRPr="00AB26B3" w:rsidRDefault="00302FC1">
      <w:pPr>
        <w:spacing w:before="120" w:after="0" w:line="240" w:lineRule="auto"/>
        <w:jc w:val="both"/>
        <w:rPr>
          <w:rFonts w:ascii="Times New Roman" w:hAnsi="Times New Roman" w:cs="Times New Roman"/>
          <w:noProof/>
          <w:spacing w:val="-6"/>
          <w:sz w:val="24"/>
          <w:lang w:val="sk-SK"/>
        </w:rPr>
        <w:sectPr w:rsidR="00302FC1" w:rsidRPr="00AB26B3" w:rsidSect="00315FC0">
          <w:headerReference w:type="default" r:id="rId286"/>
          <w:footerReference w:type="default" r:id="rId287"/>
          <w:pgSz w:w="16839" w:h="11907" w:orient="landscape"/>
          <w:pgMar w:top="720" w:right="720" w:bottom="720" w:left="720" w:header="709" w:footer="500" w:gutter="0"/>
          <w:cols w:space="720"/>
          <w:docGrid w:linePitch="360"/>
        </w:sectPr>
      </w:pPr>
    </w:p>
    <w:p w14:paraId="09FAC759" w14:textId="40CB4440"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26: Cestovný ruch</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lodná doprava</w:t>
      </w:r>
    </w:p>
    <w:p w14:paraId="74BE4F7C" w14:textId="0BDEAEAD"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Rozvoj cestovného ruchu (zahŕňa podprojekt Modernizácia intervencií</w:t>
      </w:r>
      <w:r w:rsidR="00AB26B3" w:rsidRPr="00AB26B3">
        <w:rPr>
          <w:noProof/>
          <w:spacing w:val="-6"/>
          <w:lang w:val="sk-SK"/>
        </w:rPr>
        <w:t xml:space="preserve"> v </w:t>
      </w:r>
      <w:r w:rsidRPr="00AB26B3">
        <w:rPr>
          <w:noProof/>
          <w:spacing w:val="-6"/>
          <w:lang w:val="sk-SK"/>
        </w:rPr>
        <w:t>turistických prístavoch) (ID: 16931)</w:t>
      </w:r>
    </w:p>
    <w:p w14:paraId="43FC440E" w14:textId="75D1FD9E"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Rekvalifikácia</w:t>
      </w:r>
      <w:r w:rsidR="00AB26B3" w:rsidRPr="00AB26B3">
        <w:rPr>
          <w:noProof/>
          <w:spacing w:val="-6"/>
          <w:lang w:val="sk-SK"/>
        </w:rPr>
        <w:t xml:space="preserve"> a </w:t>
      </w:r>
      <w:r w:rsidRPr="00AB26B3">
        <w:rPr>
          <w:noProof/>
          <w:spacing w:val="-6"/>
          <w:lang w:val="sk-SK"/>
        </w:rPr>
        <w:t>zvyšovanie úrovne zručností</w:t>
      </w:r>
      <w:r w:rsidR="00AB26B3" w:rsidRPr="00AB26B3">
        <w:rPr>
          <w:noProof/>
          <w:spacing w:val="-6"/>
          <w:lang w:val="sk-SK"/>
        </w:rPr>
        <w:t xml:space="preserve"> v </w:t>
      </w:r>
      <w:r w:rsidRPr="00AB26B3">
        <w:rPr>
          <w:noProof/>
          <w:spacing w:val="-6"/>
          <w:lang w:val="sk-SK"/>
        </w:rPr>
        <w:t>cestovnom ruchu (ID: 16921)</w:t>
      </w:r>
    </w:p>
    <w:p w14:paraId="3FCB983D" w14:textId="77777777"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Modernizácia intervencií pre regionálne prístavy (ID: 16975)</w:t>
      </w:r>
    </w:p>
    <w:p w14:paraId="04E18364" w14:textId="4FA32A1A" w:rsidR="00302FC1" w:rsidRPr="00AB26B3" w:rsidRDefault="00D64F26">
      <w:pPr>
        <w:pStyle w:val="P68B1DB1-Normal5"/>
        <w:numPr>
          <w:ilvl w:val="0"/>
          <w:numId w:val="74"/>
        </w:numPr>
        <w:spacing w:before="120" w:after="0" w:line="240" w:lineRule="auto"/>
        <w:jc w:val="both"/>
        <w:rPr>
          <w:rFonts w:cs="Times New Roman"/>
          <w:noProof/>
          <w:spacing w:val="-6"/>
          <w:lang w:val="sk-SK"/>
        </w:rPr>
      </w:pPr>
      <w:r w:rsidRPr="00AB26B3">
        <w:rPr>
          <w:noProof/>
          <w:spacing w:val="-6"/>
          <w:lang w:val="sk-SK"/>
        </w:rPr>
        <w:t>Hlavný plán obnovy gréckej flotily osobnej lodnej dopravy (ID: 16944)</w:t>
      </w:r>
    </w:p>
    <w:tbl>
      <w:tblPr>
        <w:tblW w:w="1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500"/>
        <w:gridCol w:w="1230"/>
        <w:gridCol w:w="1628"/>
        <w:gridCol w:w="1909"/>
        <w:gridCol w:w="1741"/>
        <w:gridCol w:w="909"/>
        <w:gridCol w:w="713"/>
        <w:gridCol w:w="1119"/>
        <w:gridCol w:w="662"/>
        <w:gridCol w:w="3536"/>
      </w:tblGrid>
      <w:tr w:rsidR="00302FC1" w:rsidRPr="00AB26B3" w14:paraId="4BB1296E" w14:textId="77777777">
        <w:trPr>
          <w:trHeight w:val="594"/>
          <w:tblHeader/>
          <w:jc w:val="center"/>
        </w:trPr>
        <w:tc>
          <w:tcPr>
            <w:tcW w:w="583" w:type="dxa"/>
            <w:vMerge w:val="restart"/>
            <w:shd w:val="clear" w:color="auto" w:fill="BDD7EE"/>
            <w:vAlign w:val="center"/>
            <w:hideMark/>
          </w:tcPr>
          <w:p w14:paraId="5A7A3E7D" w14:textId="17F6DAFF"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 xml:space="preserve">A nasl. </w:t>
            </w:r>
            <w:r w:rsidRPr="00AB26B3">
              <w:rPr>
                <w:noProof/>
                <w:spacing w:val="-6"/>
                <w:lang w:val="sk-SK"/>
              </w:rPr>
              <w:br/>
              <w:t>Nie.</w:t>
            </w:r>
          </w:p>
        </w:tc>
        <w:tc>
          <w:tcPr>
            <w:tcW w:w="2500" w:type="dxa"/>
            <w:vMerge w:val="restart"/>
            <w:shd w:val="clear" w:color="auto" w:fill="BDD7EE"/>
            <w:vAlign w:val="center"/>
            <w:hideMark/>
          </w:tcPr>
          <w:p w14:paraId="1EBC185D"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Súvisiace opatrenie (reforma alebo investícia)</w:t>
            </w:r>
          </w:p>
        </w:tc>
        <w:tc>
          <w:tcPr>
            <w:tcW w:w="1230" w:type="dxa"/>
            <w:vMerge w:val="restart"/>
            <w:shd w:val="clear" w:color="auto" w:fill="BDD7EE"/>
            <w:vAlign w:val="center"/>
            <w:hideMark/>
          </w:tcPr>
          <w:p w14:paraId="30FF5EEF"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Míľnik/cieľ</w:t>
            </w:r>
          </w:p>
        </w:tc>
        <w:tc>
          <w:tcPr>
            <w:tcW w:w="1628" w:type="dxa"/>
            <w:vMerge w:val="restart"/>
            <w:shd w:val="clear" w:color="auto" w:fill="BDD7EE"/>
            <w:vAlign w:val="center"/>
            <w:hideMark/>
          </w:tcPr>
          <w:p w14:paraId="4FE9C4AD"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Názov</w:t>
            </w:r>
          </w:p>
        </w:tc>
        <w:tc>
          <w:tcPr>
            <w:tcW w:w="1909" w:type="dxa"/>
            <w:vMerge w:val="restart"/>
            <w:shd w:val="clear" w:color="auto" w:fill="BDD7EE"/>
            <w:vAlign w:val="center"/>
            <w:hideMark/>
          </w:tcPr>
          <w:p w14:paraId="562AF01F" w14:textId="4AF63772"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Kvalitatívne ukazovatele (pre míľniky)</w:t>
            </w:r>
          </w:p>
        </w:tc>
        <w:tc>
          <w:tcPr>
            <w:tcW w:w="3311" w:type="dxa"/>
            <w:gridSpan w:val="3"/>
            <w:shd w:val="clear" w:color="auto" w:fill="BDD7EE"/>
            <w:vAlign w:val="center"/>
            <w:hideMark/>
          </w:tcPr>
          <w:p w14:paraId="484AB5D8"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Kvantitatívne ukazovatele (pre ciele)</w:t>
            </w:r>
          </w:p>
        </w:tc>
        <w:tc>
          <w:tcPr>
            <w:tcW w:w="1648" w:type="dxa"/>
            <w:gridSpan w:val="2"/>
            <w:shd w:val="clear" w:color="auto" w:fill="BDD7EE"/>
            <w:vAlign w:val="center"/>
            <w:hideMark/>
          </w:tcPr>
          <w:p w14:paraId="752EFE7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Orientačný harmonogram dokončenia </w:t>
            </w:r>
          </w:p>
        </w:tc>
        <w:tc>
          <w:tcPr>
            <w:tcW w:w="3536" w:type="dxa"/>
            <w:vMerge w:val="restart"/>
            <w:shd w:val="clear" w:color="auto" w:fill="BDD7EE"/>
            <w:vAlign w:val="center"/>
            <w:hideMark/>
          </w:tcPr>
          <w:p w14:paraId="26E57473" w14:textId="332FA1E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2F81EA8A" w14:textId="77777777">
        <w:trPr>
          <w:trHeight w:val="508"/>
          <w:tblHeader/>
          <w:jc w:val="center"/>
        </w:trPr>
        <w:tc>
          <w:tcPr>
            <w:tcW w:w="583" w:type="dxa"/>
            <w:vMerge/>
            <w:vAlign w:val="center"/>
            <w:hideMark/>
          </w:tcPr>
          <w:p w14:paraId="668F500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500" w:type="dxa"/>
            <w:vMerge/>
            <w:vAlign w:val="center"/>
            <w:hideMark/>
          </w:tcPr>
          <w:p w14:paraId="22FD178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30" w:type="dxa"/>
            <w:vMerge/>
            <w:vAlign w:val="center"/>
            <w:hideMark/>
          </w:tcPr>
          <w:p w14:paraId="627D1FE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28" w:type="dxa"/>
            <w:vMerge/>
            <w:vAlign w:val="center"/>
            <w:hideMark/>
          </w:tcPr>
          <w:p w14:paraId="753D32F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909" w:type="dxa"/>
            <w:vMerge/>
            <w:vAlign w:val="center"/>
            <w:hideMark/>
          </w:tcPr>
          <w:p w14:paraId="47D9E07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741" w:type="dxa"/>
            <w:shd w:val="clear" w:color="auto" w:fill="BDD7EE"/>
            <w:vAlign w:val="center"/>
            <w:hideMark/>
          </w:tcPr>
          <w:p w14:paraId="0C85E777"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857" w:type="dxa"/>
            <w:shd w:val="clear" w:color="auto" w:fill="BDD7EE"/>
            <w:vAlign w:val="center"/>
            <w:hideMark/>
          </w:tcPr>
          <w:p w14:paraId="080D81B9"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713" w:type="dxa"/>
            <w:shd w:val="clear" w:color="auto" w:fill="BDD7EE"/>
            <w:vAlign w:val="center"/>
            <w:hideMark/>
          </w:tcPr>
          <w:p w14:paraId="0936403F"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986" w:type="dxa"/>
            <w:shd w:val="clear" w:color="auto" w:fill="BDD7EE"/>
            <w:vAlign w:val="center"/>
            <w:hideMark/>
          </w:tcPr>
          <w:p w14:paraId="014B608C"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662" w:type="dxa"/>
            <w:shd w:val="clear" w:color="auto" w:fill="BDD7EE"/>
            <w:vAlign w:val="center"/>
            <w:hideMark/>
          </w:tcPr>
          <w:p w14:paraId="43C37C0D"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3536" w:type="dxa"/>
            <w:vMerge/>
            <w:vAlign w:val="center"/>
            <w:hideMark/>
          </w:tcPr>
          <w:p w14:paraId="3D7AEA7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1EAF52F2" w14:textId="77777777">
        <w:trPr>
          <w:trHeight w:val="313"/>
          <w:jc w:val="center"/>
        </w:trPr>
        <w:tc>
          <w:tcPr>
            <w:tcW w:w="583" w:type="dxa"/>
            <w:shd w:val="clear" w:color="auto" w:fill="C6EFCE"/>
            <w:noWrap/>
          </w:tcPr>
          <w:p w14:paraId="260F8E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292</w:t>
            </w:r>
          </w:p>
        </w:tc>
        <w:tc>
          <w:tcPr>
            <w:tcW w:w="2500" w:type="dxa"/>
            <w:shd w:val="clear" w:color="auto" w:fill="C6EFCE"/>
            <w:noWrap/>
          </w:tcPr>
          <w:p w14:paraId="3DC82025" w14:textId="7CC5512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16931_Rozvoj cestovného ruchu</w:t>
            </w:r>
          </w:p>
        </w:tc>
        <w:tc>
          <w:tcPr>
            <w:tcW w:w="1230" w:type="dxa"/>
            <w:shd w:val="clear" w:color="auto" w:fill="C6EFCE"/>
            <w:noWrap/>
          </w:tcPr>
          <w:p w14:paraId="41860C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p w14:paraId="4E99606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628" w:type="dxa"/>
            <w:shd w:val="clear" w:color="auto" w:fill="C6EFCE"/>
            <w:noWrap/>
          </w:tcPr>
          <w:p w14:paraId="6D148FE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Rozvoj cestovného ruchu: reformy týkajúce sa turistických prístavov</w:t>
            </w:r>
          </w:p>
        </w:tc>
        <w:tc>
          <w:tcPr>
            <w:tcW w:w="1909" w:type="dxa"/>
            <w:shd w:val="clear" w:color="auto" w:fill="C6EFCE"/>
            <w:noWrap/>
          </w:tcPr>
          <w:p w14:paraId="48E1A979" w14:textId="1D90C38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1. Nadobudnutie účinnosti zmien zákona </w:t>
            </w:r>
            <w:r w:rsidR="00AB26B3" w:rsidRPr="00AB26B3">
              <w:rPr>
                <w:noProof/>
                <w:spacing w:val="-6"/>
                <w:lang w:val="sk-SK"/>
              </w:rPr>
              <w:t>č. </w:t>
            </w:r>
            <w:r w:rsidRPr="00AB26B3">
              <w:rPr>
                <w:noProof/>
                <w:spacing w:val="-6"/>
                <w:lang w:val="sk-SK"/>
              </w:rPr>
              <w:t>2160/1993</w:t>
            </w:r>
            <w:r w:rsidR="00AB26B3" w:rsidRPr="00AB26B3">
              <w:rPr>
                <w:noProof/>
                <w:spacing w:val="-6"/>
                <w:lang w:val="sk-SK"/>
              </w:rPr>
              <w:t xml:space="preserve"> o </w:t>
            </w:r>
            <w:r w:rsidRPr="00AB26B3">
              <w:rPr>
                <w:noProof/>
                <w:spacing w:val="-6"/>
                <w:lang w:val="sk-SK"/>
              </w:rPr>
              <w:t>turistických prístavoch.</w:t>
            </w:r>
          </w:p>
          <w:p w14:paraId="142F59E8" w14:textId="6E3363A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2. Nadobudnutie účinnosti zmien zákonov </w:t>
            </w:r>
            <w:r w:rsidR="00AB26B3" w:rsidRPr="00AB26B3">
              <w:rPr>
                <w:noProof/>
                <w:spacing w:val="-6"/>
                <w:lang w:val="sk-SK"/>
              </w:rPr>
              <w:t>č. </w:t>
            </w:r>
            <w:r w:rsidRPr="00AB26B3">
              <w:rPr>
                <w:noProof/>
                <w:spacing w:val="-6"/>
                <w:lang w:val="sk-SK"/>
              </w:rPr>
              <w:t>4179/2013</w:t>
            </w:r>
            <w:r w:rsidR="00AB26B3" w:rsidRPr="00AB26B3">
              <w:rPr>
                <w:noProof/>
                <w:spacing w:val="-6"/>
                <w:lang w:val="sk-SK"/>
              </w:rPr>
              <w:t xml:space="preserve"> a </w:t>
            </w:r>
            <w:r w:rsidRPr="00AB26B3">
              <w:rPr>
                <w:noProof/>
                <w:spacing w:val="-6"/>
                <w:lang w:val="sk-SK"/>
              </w:rPr>
              <w:t>4276/2014 týkajúcich sa lyžiarskych stredísk.</w:t>
            </w:r>
          </w:p>
          <w:p w14:paraId="7798CFA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Správa osvedčujúca zriadenie Úradu pre riadenie projektov.</w:t>
            </w:r>
          </w:p>
        </w:tc>
        <w:tc>
          <w:tcPr>
            <w:tcW w:w="1741" w:type="dxa"/>
            <w:shd w:val="clear" w:color="auto" w:fill="C6EFCE"/>
            <w:noWrap/>
          </w:tcPr>
          <w:p w14:paraId="3C641B1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6770AD0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shd w:val="clear" w:color="auto" w:fill="C6EFCE"/>
            <w:noWrap/>
          </w:tcPr>
          <w:p w14:paraId="68A9E32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6" w:type="dxa"/>
            <w:shd w:val="clear" w:color="auto" w:fill="C6EFCE"/>
            <w:noWrap/>
          </w:tcPr>
          <w:p w14:paraId="587CC05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62" w:type="dxa"/>
            <w:shd w:val="clear" w:color="auto" w:fill="C6EFCE"/>
            <w:noWrap/>
          </w:tcPr>
          <w:p w14:paraId="44EC7E2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3536" w:type="dxa"/>
            <w:shd w:val="clear" w:color="auto" w:fill="C6EFCE"/>
            <w:noWrap/>
          </w:tcPr>
          <w:p w14:paraId="3FB0C496" w14:textId="01214416" w:rsidR="00302FC1" w:rsidRPr="00AB26B3" w:rsidRDefault="00D64F26">
            <w:pPr>
              <w:pStyle w:val="P68B1DB1-Normal12"/>
              <w:spacing w:after="0" w:line="240" w:lineRule="auto"/>
              <w:rPr>
                <w:noProof/>
                <w:spacing w:val="-6"/>
                <w:lang w:val="sk-SK"/>
              </w:rPr>
            </w:pPr>
            <w:r w:rsidRPr="00AB26B3">
              <w:rPr>
                <w:noProof/>
                <w:spacing w:val="-6"/>
                <w:lang w:val="sk-SK"/>
              </w:rPr>
              <w:t>(1) Rozvoj cestovného ruchu: Nadobudnutie účinnosti právnych predpisov na reformu právneho rámca pre zákon</w:t>
            </w:r>
            <w:r w:rsidR="00AB26B3" w:rsidRPr="00AB26B3">
              <w:rPr>
                <w:noProof/>
                <w:spacing w:val="-6"/>
                <w:lang w:val="sk-SK"/>
              </w:rPr>
              <w:t xml:space="preserve"> o </w:t>
            </w:r>
            <w:r w:rsidRPr="00AB26B3">
              <w:rPr>
                <w:noProof/>
                <w:spacing w:val="-6"/>
                <w:lang w:val="sk-SK"/>
              </w:rPr>
              <w:t>turistických prístavoch</w:t>
            </w:r>
            <w:r w:rsidR="00AB26B3" w:rsidRPr="00AB26B3">
              <w:rPr>
                <w:noProof/>
                <w:spacing w:val="-6"/>
                <w:lang w:val="sk-SK"/>
              </w:rPr>
              <w:t xml:space="preserve"> s </w:t>
            </w:r>
            <w:r w:rsidRPr="00AB26B3">
              <w:rPr>
                <w:noProof/>
                <w:spacing w:val="-6"/>
                <w:lang w:val="sk-SK"/>
              </w:rPr>
              <w:t>cieľom podporiť nové investície vrátane zmeny ustanovení týkajúcich sa udeľovania licencií na inštaláciu</w:t>
            </w:r>
            <w:r w:rsidR="00AB26B3" w:rsidRPr="00AB26B3">
              <w:rPr>
                <w:noProof/>
                <w:spacing w:val="-6"/>
                <w:lang w:val="sk-SK"/>
              </w:rPr>
              <w:t xml:space="preserve"> a </w:t>
            </w:r>
            <w:r w:rsidRPr="00AB26B3">
              <w:rPr>
                <w:noProof/>
                <w:spacing w:val="-6"/>
                <w:lang w:val="sk-SK"/>
              </w:rPr>
              <w:t>prevádzku</w:t>
            </w:r>
            <w:r w:rsidR="00AB26B3" w:rsidRPr="00AB26B3">
              <w:rPr>
                <w:noProof/>
                <w:spacing w:val="-6"/>
                <w:lang w:val="sk-SK"/>
              </w:rPr>
              <w:t xml:space="preserve"> v </w:t>
            </w:r>
            <w:r w:rsidRPr="00AB26B3">
              <w:rPr>
                <w:noProof/>
                <w:spacing w:val="-6"/>
                <w:lang w:val="sk-SK"/>
              </w:rPr>
              <w:t xml:space="preserve">súlade so zákonom </w:t>
            </w:r>
            <w:r w:rsidR="00AB26B3" w:rsidRPr="00AB26B3">
              <w:rPr>
                <w:noProof/>
                <w:spacing w:val="-6"/>
                <w:lang w:val="sk-SK"/>
              </w:rPr>
              <w:t>č. </w:t>
            </w:r>
            <w:r w:rsidRPr="00AB26B3">
              <w:rPr>
                <w:noProof/>
                <w:spacing w:val="-6"/>
                <w:lang w:val="sk-SK"/>
              </w:rPr>
              <w:t>4442/2016</w:t>
            </w:r>
            <w:r w:rsidR="00AB26B3" w:rsidRPr="00AB26B3">
              <w:rPr>
                <w:noProof/>
                <w:spacing w:val="-6"/>
                <w:lang w:val="sk-SK"/>
              </w:rPr>
              <w:t xml:space="preserve"> o </w:t>
            </w:r>
            <w:r w:rsidRPr="00AB26B3">
              <w:rPr>
                <w:noProof/>
                <w:spacing w:val="-6"/>
                <w:lang w:val="sk-SK"/>
              </w:rPr>
              <w:t>investičných licenciách.</w:t>
            </w:r>
          </w:p>
          <w:p w14:paraId="3FE1F4F8" w14:textId="7F20687F" w:rsidR="00AB26B3" w:rsidRPr="00AB26B3" w:rsidRDefault="00D64F26">
            <w:pPr>
              <w:pStyle w:val="P68B1DB1-Normal15"/>
              <w:spacing w:after="0" w:line="240" w:lineRule="auto"/>
              <w:rPr>
                <w:noProof/>
                <w:color w:val="006100"/>
                <w:spacing w:val="-6"/>
                <w:lang w:val="sk-SK"/>
              </w:rPr>
            </w:pPr>
            <w:r w:rsidRPr="00AB26B3">
              <w:rPr>
                <w:noProof/>
                <w:color w:val="006100"/>
                <w:spacing w:val="-6"/>
                <w:lang w:val="sk-SK"/>
              </w:rPr>
              <w:t>(2) Rozvoj cestovného ruchu: Nadobudnutie účinnosti právnych predpisov na reformu právneho rámca pre lyžiarske strediská</w:t>
            </w:r>
            <w:r w:rsidR="00AB26B3" w:rsidRPr="00AB26B3">
              <w:rPr>
                <w:noProof/>
                <w:color w:val="006100"/>
                <w:spacing w:val="-6"/>
                <w:lang w:val="sk-SK"/>
              </w:rPr>
              <w:t xml:space="preserve"> s </w:t>
            </w:r>
            <w:r w:rsidRPr="00AB26B3">
              <w:rPr>
                <w:noProof/>
                <w:color w:val="006100"/>
                <w:spacing w:val="-6"/>
                <w:lang w:val="sk-SK"/>
              </w:rPr>
              <w:t>cieľom podporiť nové investície vrátane zmeny ustanovení týkajúcich sa udeľovania licencií na inštaláciu</w:t>
            </w:r>
            <w:r w:rsidR="00AB26B3" w:rsidRPr="00AB26B3">
              <w:rPr>
                <w:noProof/>
                <w:color w:val="006100"/>
                <w:spacing w:val="-6"/>
                <w:lang w:val="sk-SK"/>
              </w:rPr>
              <w:t xml:space="preserve"> a </w:t>
            </w:r>
            <w:r w:rsidRPr="00AB26B3">
              <w:rPr>
                <w:noProof/>
                <w:color w:val="006100"/>
                <w:spacing w:val="-6"/>
                <w:lang w:val="sk-SK"/>
              </w:rPr>
              <w:t>prevádzku</w:t>
            </w:r>
            <w:r w:rsidR="00AB26B3" w:rsidRPr="00AB26B3">
              <w:rPr>
                <w:noProof/>
                <w:color w:val="006100"/>
                <w:spacing w:val="-6"/>
                <w:lang w:val="sk-SK"/>
              </w:rPr>
              <w:t xml:space="preserve"> v </w:t>
            </w:r>
            <w:r w:rsidRPr="00AB26B3">
              <w:rPr>
                <w:noProof/>
                <w:color w:val="006100"/>
                <w:spacing w:val="-6"/>
                <w:lang w:val="sk-SK"/>
              </w:rPr>
              <w:t xml:space="preserve">súlade so zákonom </w:t>
            </w:r>
            <w:r w:rsidR="00AB26B3" w:rsidRPr="00AB26B3">
              <w:rPr>
                <w:noProof/>
                <w:color w:val="006100"/>
                <w:spacing w:val="-6"/>
                <w:lang w:val="sk-SK"/>
              </w:rPr>
              <w:t>č. </w:t>
            </w:r>
            <w:r w:rsidRPr="00AB26B3">
              <w:rPr>
                <w:noProof/>
                <w:color w:val="006100"/>
                <w:spacing w:val="-6"/>
                <w:lang w:val="sk-SK"/>
              </w:rPr>
              <w:t>4442/2016</w:t>
            </w:r>
            <w:r w:rsidR="00AB26B3" w:rsidRPr="00AB26B3">
              <w:rPr>
                <w:noProof/>
                <w:color w:val="006100"/>
                <w:spacing w:val="-6"/>
                <w:lang w:val="sk-SK"/>
              </w:rPr>
              <w:t xml:space="preserve"> o </w:t>
            </w:r>
            <w:r w:rsidRPr="00AB26B3">
              <w:rPr>
                <w:noProof/>
                <w:color w:val="006100"/>
                <w:spacing w:val="-6"/>
                <w:lang w:val="sk-SK"/>
              </w:rPr>
              <w:t>investičných licenciách</w:t>
            </w:r>
            <w:r w:rsidR="00AB26B3" w:rsidRPr="00AB26B3">
              <w:rPr>
                <w:noProof/>
                <w:color w:val="006100"/>
                <w:spacing w:val="-6"/>
                <w:lang w:val="sk-SK"/>
              </w:rPr>
              <w:t>.</w:t>
            </w:r>
          </w:p>
          <w:p w14:paraId="7094FCB3" w14:textId="48FA281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Rozvoj cestovného ruchu: Zriadenie kancelárie projektového riadenia pre dohľad nad investíciami do modernizácie turistických prístavov.</w:t>
            </w:r>
          </w:p>
        </w:tc>
      </w:tr>
      <w:tr w:rsidR="00302FC1" w:rsidRPr="00AB26B3" w14:paraId="3A0155DD" w14:textId="77777777">
        <w:trPr>
          <w:trHeight w:val="313"/>
          <w:jc w:val="center"/>
        </w:trPr>
        <w:tc>
          <w:tcPr>
            <w:tcW w:w="583" w:type="dxa"/>
            <w:shd w:val="clear" w:color="auto" w:fill="C6EFCE"/>
            <w:noWrap/>
          </w:tcPr>
          <w:p w14:paraId="470DC16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294</w:t>
            </w:r>
          </w:p>
        </w:tc>
        <w:tc>
          <w:tcPr>
            <w:tcW w:w="2500" w:type="dxa"/>
            <w:shd w:val="clear" w:color="auto" w:fill="C6EFCE"/>
            <w:noWrap/>
          </w:tcPr>
          <w:p w14:paraId="75C0EAFF" w14:textId="316CD4B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16944_Master plan for the renewal of the Greek passenger shipping fleet (Hlavný plán obnovy gréckej flotily osobnej lodnej dopravy)</w:t>
            </w:r>
          </w:p>
        </w:tc>
        <w:tc>
          <w:tcPr>
            <w:tcW w:w="1230" w:type="dxa"/>
            <w:shd w:val="clear" w:color="auto" w:fill="C6EFCE"/>
            <w:noWrap/>
          </w:tcPr>
          <w:p w14:paraId="0504386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28" w:type="dxa"/>
            <w:shd w:val="clear" w:color="auto" w:fill="C6EFCE"/>
            <w:noWrap/>
          </w:tcPr>
          <w:p w14:paraId="0DF422A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Hlavný plán obnovy gréckej flotily osobnej lodnej dopravy</w:t>
            </w:r>
          </w:p>
        </w:tc>
        <w:tc>
          <w:tcPr>
            <w:tcW w:w="1909" w:type="dxa"/>
            <w:shd w:val="clear" w:color="auto" w:fill="C6EFCE"/>
            <w:noWrap/>
          </w:tcPr>
          <w:p w14:paraId="69E14D35" w14:textId="77777777" w:rsidR="00302FC1" w:rsidRPr="00AB26B3" w:rsidRDefault="00D64F26">
            <w:pPr>
              <w:pStyle w:val="P68B1DB1-Normal12"/>
              <w:spacing w:after="0" w:line="240" w:lineRule="auto"/>
              <w:rPr>
                <w:noProof/>
                <w:spacing w:val="-6"/>
                <w:lang w:val="sk-SK"/>
              </w:rPr>
            </w:pPr>
            <w:r w:rsidRPr="00AB26B3">
              <w:rPr>
                <w:noProof/>
                <w:spacing w:val="-6"/>
                <w:lang w:val="sk-SK"/>
              </w:rPr>
              <w:t>Uverejnený hlavný plán obnovy gréckej flotily osobnej lodnej dopravy</w:t>
            </w:r>
          </w:p>
          <w:p w14:paraId="035BD87A"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tc>
        <w:tc>
          <w:tcPr>
            <w:tcW w:w="1741" w:type="dxa"/>
            <w:shd w:val="clear" w:color="auto" w:fill="C6EFCE"/>
            <w:noWrap/>
          </w:tcPr>
          <w:p w14:paraId="758C7B3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95FBDF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shd w:val="clear" w:color="auto" w:fill="C6EFCE"/>
            <w:noWrap/>
          </w:tcPr>
          <w:p w14:paraId="5908074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6" w:type="dxa"/>
            <w:shd w:val="clear" w:color="auto" w:fill="C6EFCE"/>
            <w:noWrap/>
          </w:tcPr>
          <w:p w14:paraId="240CC28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62" w:type="dxa"/>
            <w:shd w:val="clear" w:color="auto" w:fill="C6EFCE"/>
            <w:noWrap/>
          </w:tcPr>
          <w:p w14:paraId="188F9FA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536" w:type="dxa"/>
            <w:shd w:val="clear" w:color="auto" w:fill="C6EFCE"/>
            <w:noWrap/>
          </w:tcPr>
          <w:p w14:paraId="58ED28C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hlavného plánu obnovy gréckej flotily osobnej lodnej dopravy.</w:t>
            </w:r>
          </w:p>
          <w:p w14:paraId="1D433DD5" w14:textId="6DBF4CA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Hlavný plán vychádza zo štúdie</w:t>
            </w:r>
            <w:r w:rsidR="00AB26B3" w:rsidRPr="00AB26B3">
              <w:rPr>
                <w:noProof/>
                <w:spacing w:val="-6"/>
                <w:lang w:val="sk-SK"/>
              </w:rPr>
              <w:t xml:space="preserve"> a </w:t>
            </w:r>
            <w:r w:rsidRPr="00AB26B3">
              <w:rPr>
                <w:noProof/>
                <w:spacing w:val="-6"/>
                <w:lang w:val="sk-SK"/>
              </w:rPr>
              <w:t>zahŕňa mechanizmus financovania postupnej obnovy flotily osobnej lodnej dopravy</w:t>
            </w:r>
            <w:r w:rsidR="00AB26B3" w:rsidRPr="00AB26B3">
              <w:rPr>
                <w:noProof/>
                <w:spacing w:val="-6"/>
                <w:lang w:val="sk-SK"/>
              </w:rPr>
              <w:t xml:space="preserve"> v </w:t>
            </w:r>
            <w:r w:rsidRPr="00AB26B3">
              <w:rPr>
                <w:noProof/>
                <w:spacing w:val="-6"/>
                <w:lang w:val="sk-SK"/>
              </w:rPr>
              <w:t>krajine.</w:t>
            </w:r>
            <w:r w:rsidR="00AB26B3" w:rsidRPr="00AB26B3">
              <w:rPr>
                <w:noProof/>
                <w:spacing w:val="-6"/>
                <w:lang w:val="sk-SK"/>
              </w:rPr>
              <w:t xml:space="preserve"> V </w:t>
            </w:r>
            <w:r w:rsidRPr="00AB26B3">
              <w:rPr>
                <w:noProof/>
                <w:spacing w:val="-6"/>
                <w:lang w:val="sk-SK"/>
              </w:rPr>
              <w:t>štúdii sa uvedú: modernizácia potrieb plavidiel; časový horizont investície; finančné potreby prevádzkovateľov</w:t>
            </w:r>
            <w:r w:rsidR="00AB26B3" w:rsidRPr="00AB26B3">
              <w:rPr>
                <w:noProof/>
                <w:spacing w:val="-6"/>
                <w:lang w:val="sk-SK"/>
              </w:rPr>
              <w:t xml:space="preserve"> a </w:t>
            </w:r>
            <w:r w:rsidRPr="00AB26B3">
              <w:rPr>
                <w:noProof/>
                <w:spacing w:val="-6"/>
                <w:lang w:val="sk-SK"/>
              </w:rPr>
              <w:t>potenciálne príjmy; obnova infraštruktúry, ktorá by sa mala uskutočniť</w:t>
            </w:r>
            <w:r w:rsidR="00AB26B3" w:rsidRPr="00AB26B3">
              <w:rPr>
                <w:noProof/>
                <w:spacing w:val="-6"/>
                <w:lang w:val="sk-SK"/>
              </w:rPr>
              <w:t xml:space="preserve"> v </w:t>
            </w:r>
            <w:r w:rsidRPr="00AB26B3">
              <w:rPr>
                <w:noProof/>
                <w:spacing w:val="-6"/>
                <w:lang w:val="sk-SK"/>
              </w:rPr>
              <w:t>prístavoch</w:t>
            </w:r>
            <w:r w:rsidR="00AB26B3" w:rsidRPr="00AB26B3">
              <w:rPr>
                <w:noProof/>
                <w:spacing w:val="-6"/>
                <w:lang w:val="sk-SK"/>
              </w:rPr>
              <w:t xml:space="preserve"> s </w:t>
            </w:r>
            <w:r w:rsidRPr="00AB26B3">
              <w:rPr>
                <w:noProof/>
                <w:spacing w:val="-6"/>
                <w:lang w:val="sk-SK"/>
              </w:rPr>
              <w:t>cieľom podporiť prevádzku nových plavidiel,</w:t>
            </w:r>
            <w:r w:rsidR="00AB26B3" w:rsidRPr="00AB26B3">
              <w:rPr>
                <w:noProof/>
                <w:spacing w:val="-6"/>
                <w:lang w:val="sk-SK"/>
              </w:rPr>
              <w:t xml:space="preserve"> a </w:t>
            </w:r>
            <w:r w:rsidRPr="00AB26B3">
              <w:rPr>
                <w:noProof/>
                <w:spacing w:val="-6"/>
                <w:lang w:val="sk-SK"/>
              </w:rPr>
              <w:t>v) mechanizmus financovania na uľahčenie prístupu prevádzkovateľov</w:t>
            </w:r>
            <w:r w:rsidR="00AB26B3" w:rsidRPr="00AB26B3">
              <w:rPr>
                <w:noProof/>
                <w:spacing w:val="-6"/>
                <w:lang w:val="sk-SK"/>
              </w:rPr>
              <w:t xml:space="preserve"> k </w:t>
            </w:r>
            <w:r w:rsidRPr="00AB26B3">
              <w:rPr>
                <w:noProof/>
                <w:spacing w:val="-6"/>
                <w:lang w:val="sk-SK"/>
              </w:rPr>
              <w:t>financovaniu.</w:t>
            </w:r>
          </w:p>
          <w:p w14:paraId="37A7C36F" w14:textId="77777777" w:rsidR="00302FC1" w:rsidRPr="00AB26B3" w:rsidRDefault="00D64F26">
            <w:pPr>
              <w:pStyle w:val="P68B1DB1-Normal12"/>
              <w:spacing w:after="0" w:line="240" w:lineRule="auto"/>
              <w:rPr>
                <w:noProof/>
                <w:spacing w:val="-6"/>
                <w:lang w:val="sk-SK"/>
              </w:rPr>
            </w:pPr>
            <w:r w:rsidRPr="00AB26B3">
              <w:rPr>
                <w:noProof/>
                <w:spacing w:val="-6"/>
                <w:lang w:val="sk-SK"/>
              </w:rPr>
              <w:t>Poskytne sa aj zhrnutie konzultačného procesu so zainteresovanými stranami, ktorý sa uskutočnil pred uverejnením hlavného plánu.</w:t>
            </w:r>
          </w:p>
        </w:tc>
      </w:tr>
      <w:tr w:rsidR="00302FC1" w:rsidRPr="00AB26B3" w14:paraId="0C65D556" w14:textId="77777777">
        <w:trPr>
          <w:trHeight w:val="313"/>
          <w:jc w:val="center"/>
        </w:trPr>
        <w:tc>
          <w:tcPr>
            <w:tcW w:w="583" w:type="dxa"/>
            <w:shd w:val="clear" w:color="auto" w:fill="C6EFCE"/>
            <w:noWrap/>
          </w:tcPr>
          <w:p w14:paraId="6047BF4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295</w:t>
            </w:r>
          </w:p>
        </w:tc>
        <w:tc>
          <w:tcPr>
            <w:tcW w:w="2500" w:type="dxa"/>
            <w:shd w:val="clear" w:color="auto" w:fill="C6EFCE"/>
            <w:noWrap/>
          </w:tcPr>
          <w:p w14:paraId="3B81BEEA" w14:textId="460EEB8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16931_Rozvoj cestovného ruchu</w:t>
            </w:r>
          </w:p>
        </w:tc>
        <w:tc>
          <w:tcPr>
            <w:tcW w:w="1230" w:type="dxa"/>
            <w:shd w:val="clear" w:color="auto" w:fill="C6EFCE"/>
            <w:noWrap/>
          </w:tcPr>
          <w:p w14:paraId="7B85F2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28" w:type="dxa"/>
            <w:shd w:val="clear" w:color="auto" w:fill="C6EFCE"/>
            <w:noWrap/>
          </w:tcPr>
          <w:p w14:paraId="5CBD6345" w14:textId="565CF8B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Rozvoj cestovného ruchu: Uverejnenie rozhodnutí</w:t>
            </w:r>
            <w:r w:rsidR="00AB26B3" w:rsidRPr="00AB26B3">
              <w:rPr>
                <w:noProof/>
                <w:spacing w:val="-6"/>
                <w:lang w:val="sk-SK"/>
              </w:rPr>
              <w:t xml:space="preserve"> o </w:t>
            </w:r>
            <w:r w:rsidRPr="00AB26B3">
              <w:rPr>
                <w:noProof/>
                <w:spacing w:val="-6"/>
                <w:lang w:val="sk-SK"/>
              </w:rPr>
              <w:t>schválení turistických prístavov</w:t>
            </w:r>
          </w:p>
        </w:tc>
        <w:tc>
          <w:tcPr>
            <w:tcW w:w="1909" w:type="dxa"/>
            <w:shd w:val="clear" w:color="auto" w:fill="C6EFCE"/>
            <w:noWrap/>
          </w:tcPr>
          <w:p w14:paraId="68963398" w14:textId="04AFD30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Rozhodnutia</w:t>
            </w:r>
            <w:r w:rsidR="00AB26B3" w:rsidRPr="00AB26B3">
              <w:rPr>
                <w:noProof/>
                <w:spacing w:val="-6"/>
                <w:lang w:val="sk-SK"/>
              </w:rPr>
              <w:t xml:space="preserve"> o </w:t>
            </w:r>
            <w:r w:rsidRPr="00AB26B3">
              <w:rPr>
                <w:noProof/>
                <w:spacing w:val="-6"/>
                <w:lang w:val="sk-SK"/>
              </w:rPr>
              <w:t xml:space="preserve">schválení </w:t>
            </w:r>
          </w:p>
        </w:tc>
        <w:tc>
          <w:tcPr>
            <w:tcW w:w="1741" w:type="dxa"/>
            <w:shd w:val="clear" w:color="auto" w:fill="C6EFCE"/>
            <w:noWrap/>
          </w:tcPr>
          <w:p w14:paraId="65462CC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5030B0F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shd w:val="clear" w:color="auto" w:fill="C6EFCE"/>
            <w:noWrap/>
          </w:tcPr>
          <w:p w14:paraId="770222C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6" w:type="dxa"/>
            <w:shd w:val="clear" w:color="auto" w:fill="C6EFCE"/>
            <w:noWrap/>
          </w:tcPr>
          <w:p w14:paraId="27FC78A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62" w:type="dxa"/>
            <w:shd w:val="clear" w:color="auto" w:fill="C6EFCE"/>
            <w:noWrap/>
          </w:tcPr>
          <w:p w14:paraId="1BAE0C4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536" w:type="dxa"/>
            <w:shd w:val="clear" w:color="auto" w:fill="C6EFCE"/>
            <w:noWrap/>
          </w:tcPr>
          <w:p w14:paraId="7F1965DD" w14:textId="3ECCD84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rozhodnutí</w:t>
            </w:r>
            <w:r w:rsidR="00AB26B3" w:rsidRPr="00AB26B3">
              <w:rPr>
                <w:noProof/>
                <w:spacing w:val="-6"/>
                <w:lang w:val="sk-SK"/>
              </w:rPr>
              <w:t xml:space="preserve"> o </w:t>
            </w:r>
            <w:r w:rsidRPr="00AB26B3">
              <w:rPr>
                <w:noProof/>
                <w:spacing w:val="-6"/>
                <w:lang w:val="sk-SK"/>
              </w:rPr>
              <w:t>schválení pre vybraných príjemcov</w:t>
            </w:r>
            <w:r w:rsidR="00AB26B3" w:rsidRPr="00AB26B3">
              <w:rPr>
                <w:noProof/>
                <w:spacing w:val="-6"/>
                <w:lang w:val="sk-SK"/>
              </w:rPr>
              <w:t xml:space="preserve"> s </w:t>
            </w:r>
            <w:r w:rsidRPr="00AB26B3">
              <w:rPr>
                <w:noProof/>
                <w:spacing w:val="-6"/>
                <w:lang w:val="sk-SK"/>
              </w:rPr>
              <w:t>cieľom modernizovať infraštruktúru turistických prístavov</w:t>
            </w:r>
            <w:r w:rsidR="00AB26B3" w:rsidRPr="00AB26B3">
              <w:rPr>
                <w:noProof/>
                <w:spacing w:val="-6"/>
                <w:lang w:val="sk-SK"/>
              </w:rPr>
              <w:t xml:space="preserve"> a </w:t>
            </w:r>
            <w:r w:rsidRPr="00AB26B3">
              <w:rPr>
                <w:noProof/>
                <w:spacing w:val="-6"/>
                <w:lang w:val="sk-SK"/>
              </w:rPr>
              <w:t xml:space="preserve">zlepšiť okrem iného ich energetickú efektívnosť. </w:t>
            </w:r>
          </w:p>
        </w:tc>
      </w:tr>
      <w:tr w:rsidR="00302FC1" w:rsidRPr="00AB26B3" w14:paraId="7A166553" w14:textId="77777777">
        <w:trPr>
          <w:trHeight w:val="313"/>
          <w:jc w:val="center"/>
        </w:trPr>
        <w:tc>
          <w:tcPr>
            <w:tcW w:w="583" w:type="dxa"/>
            <w:shd w:val="clear" w:color="auto" w:fill="C6EFCE"/>
            <w:noWrap/>
          </w:tcPr>
          <w:p w14:paraId="39B5F61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296</w:t>
            </w:r>
          </w:p>
        </w:tc>
        <w:tc>
          <w:tcPr>
            <w:tcW w:w="2500" w:type="dxa"/>
            <w:shd w:val="clear" w:color="auto" w:fill="C6EFCE"/>
            <w:noWrap/>
          </w:tcPr>
          <w:p w14:paraId="14ADE25D" w14:textId="0043710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16921_Rekvalifikácia</w:t>
            </w:r>
            <w:r w:rsidR="00AB26B3" w:rsidRPr="00AB26B3">
              <w:rPr>
                <w:noProof/>
                <w:spacing w:val="-6"/>
                <w:lang w:val="sk-SK"/>
              </w:rPr>
              <w:t xml:space="preserve"> a </w:t>
            </w:r>
            <w:r w:rsidRPr="00AB26B3">
              <w:rPr>
                <w:noProof/>
                <w:spacing w:val="-6"/>
                <w:lang w:val="sk-SK"/>
              </w:rPr>
              <w:t>zvyšovanie úrovne zručností</w:t>
            </w:r>
            <w:r w:rsidR="00AB26B3" w:rsidRPr="00AB26B3">
              <w:rPr>
                <w:noProof/>
                <w:spacing w:val="-6"/>
                <w:lang w:val="sk-SK"/>
              </w:rPr>
              <w:t xml:space="preserve"> v </w:t>
            </w:r>
            <w:r w:rsidRPr="00AB26B3">
              <w:rPr>
                <w:noProof/>
                <w:spacing w:val="-6"/>
                <w:lang w:val="sk-SK"/>
              </w:rPr>
              <w:t>cestovnom ruchu</w:t>
            </w:r>
          </w:p>
        </w:tc>
        <w:tc>
          <w:tcPr>
            <w:tcW w:w="1230" w:type="dxa"/>
            <w:shd w:val="clear" w:color="auto" w:fill="C6EFCE"/>
            <w:noWrap/>
          </w:tcPr>
          <w:p w14:paraId="6DD1CAB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28" w:type="dxa"/>
            <w:shd w:val="clear" w:color="auto" w:fill="C6EFCE"/>
            <w:noWrap/>
          </w:tcPr>
          <w:p w14:paraId="75BC11F2" w14:textId="6355AEC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Rekvalifikácia</w:t>
            </w:r>
            <w:r w:rsidR="00AB26B3" w:rsidRPr="00AB26B3">
              <w:rPr>
                <w:noProof/>
                <w:spacing w:val="-6"/>
                <w:lang w:val="sk-SK"/>
              </w:rPr>
              <w:t xml:space="preserve"> a </w:t>
            </w:r>
            <w:r w:rsidRPr="00AB26B3">
              <w:rPr>
                <w:noProof/>
                <w:spacing w:val="-6"/>
                <w:lang w:val="sk-SK"/>
              </w:rPr>
              <w:t>zvyšovanie úrovne zručností</w:t>
            </w:r>
            <w:r w:rsidR="00AB26B3" w:rsidRPr="00AB26B3">
              <w:rPr>
                <w:noProof/>
                <w:spacing w:val="-6"/>
                <w:lang w:val="sk-SK"/>
              </w:rPr>
              <w:t xml:space="preserve"> v </w:t>
            </w:r>
            <w:r w:rsidRPr="00AB26B3">
              <w:rPr>
                <w:noProof/>
                <w:spacing w:val="-6"/>
                <w:lang w:val="sk-SK"/>
              </w:rPr>
              <w:t>cestovnom ruchu (správa</w:t>
            </w:r>
            <w:r w:rsidR="00AB26B3" w:rsidRPr="00AB26B3">
              <w:rPr>
                <w:noProof/>
                <w:spacing w:val="-6"/>
                <w:lang w:val="sk-SK"/>
              </w:rPr>
              <w:t xml:space="preserve"> o </w:t>
            </w:r>
            <w:r w:rsidRPr="00AB26B3">
              <w:rPr>
                <w:noProof/>
                <w:spacing w:val="-6"/>
                <w:lang w:val="sk-SK"/>
              </w:rPr>
              <w:t>odbornej príprave)</w:t>
            </w:r>
          </w:p>
        </w:tc>
        <w:tc>
          <w:tcPr>
            <w:tcW w:w="1909" w:type="dxa"/>
            <w:shd w:val="clear" w:color="auto" w:fill="C6EFCE"/>
            <w:noWrap/>
          </w:tcPr>
          <w:p w14:paraId="4B096A26" w14:textId="09EBCAD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Správa ministerstva so štatistickou prílohou</w:t>
            </w:r>
            <w:r w:rsidR="00AB26B3" w:rsidRPr="00AB26B3">
              <w:rPr>
                <w:noProof/>
                <w:spacing w:val="-6"/>
                <w:lang w:val="sk-SK"/>
              </w:rPr>
              <w:t xml:space="preserve"> o </w:t>
            </w:r>
            <w:r w:rsidRPr="00AB26B3">
              <w:rPr>
                <w:noProof/>
                <w:spacing w:val="-6"/>
                <w:lang w:val="sk-SK"/>
              </w:rPr>
              <w:t>ukončených kurzoch</w:t>
            </w:r>
            <w:r w:rsidR="00AB26B3" w:rsidRPr="00AB26B3">
              <w:rPr>
                <w:noProof/>
                <w:spacing w:val="-6"/>
                <w:lang w:val="sk-SK"/>
              </w:rPr>
              <w:t xml:space="preserve"> a </w:t>
            </w:r>
            <w:r w:rsidRPr="00AB26B3">
              <w:rPr>
                <w:noProof/>
                <w:spacing w:val="-6"/>
                <w:lang w:val="sk-SK"/>
              </w:rPr>
              <w:t>osvedčeniach</w:t>
            </w:r>
          </w:p>
        </w:tc>
        <w:tc>
          <w:tcPr>
            <w:tcW w:w="1741" w:type="dxa"/>
            <w:shd w:val="clear" w:color="auto" w:fill="C6EFCE"/>
            <w:noWrap/>
          </w:tcPr>
          <w:p w14:paraId="433A09B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494CB5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shd w:val="clear" w:color="auto" w:fill="C6EFCE"/>
            <w:noWrap/>
          </w:tcPr>
          <w:p w14:paraId="7B49921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6" w:type="dxa"/>
            <w:shd w:val="clear" w:color="auto" w:fill="C6EFCE"/>
            <w:noWrap/>
          </w:tcPr>
          <w:p w14:paraId="50771D4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62" w:type="dxa"/>
            <w:shd w:val="clear" w:color="auto" w:fill="C6EFCE"/>
            <w:noWrap/>
          </w:tcPr>
          <w:p w14:paraId="04AB163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536" w:type="dxa"/>
            <w:shd w:val="clear" w:color="auto" w:fill="C6EFCE"/>
            <w:noWrap/>
          </w:tcPr>
          <w:p w14:paraId="32802BA0" w14:textId="5AEEE2A3" w:rsidR="00302FC1" w:rsidRPr="00AB26B3" w:rsidRDefault="00D64F26">
            <w:pPr>
              <w:pStyle w:val="P68B1DB1-Normal12"/>
              <w:spacing w:after="0" w:line="240" w:lineRule="auto"/>
              <w:rPr>
                <w:noProof/>
                <w:spacing w:val="-6"/>
                <w:lang w:val="sk-SK"/>
              </w:rPr>
            </w:pPr>
            <w:r w:rsidRPr="00AB26B3">
              <w:rPr>
                <w:noProof/>
                <w:spacing w:val="-6"/>
                <w:lang w:val="sk-SK"/>
              </w:rPr>
              <w:t>Správa ministerstva so štatistickou prílohou</w:t>
            </w:r>
            <w:r w:rsidR="00AB26B3" w:rsidRPr="00AB26B3">
              <w:rPr>
                <w:noProof/>
                <w:spacing w:val="-6"/>
                <w:lang w:val="sk-SK"/>
              </w:rPr>
              <w:t xml:space="preserve"> o </w:t>
            </w:r>
            <w:r w:rsidRPr="00AB26B3">
              <w:rPr>
                <w:noProof/>
                <w:spacing w:val="-6"/>
                <w:lang w:val="sk-SK"/>
              </w:rPr>
              <w:t>ukončených kurzoch,</w:t>
            </w:r>
            <w:r w:rsidR="00AB26B3" w:rsidRPr="00AB26B3">
              <w:rPr>
                <w:noProof/>
                <w:spacing w:val="-6"/>
                <w:lang w:val="sk-SK"/>
              </w:rPr>
              <w:t xml:space="preserve"> v </w:t>
            </w:r>
            <w:r w:rsidRPr="00AB26B3">
              <w:rPr>
                <w:noProof/>
                <w:spacing w:val="-6"/>
                <w:lang w:val="sk-SK"/>
              </w:rPr>
              <w:t>ktorej sa overuje, že najmenej 18000 účastníkov úspešne ukončilo školenia</w:t>
            </w:r>
          </w:p>
        </w:tc>
      </w:tr>
      <w:tr w:rsidR="00302FC1" w:rsidRPr="00AB26B3" w14:paraId="0EE7903C" w14:textId="77777777">
        <w:trPr>
          <w:trHeight w:val="313"/>
          <w:jc w:val="center"/>
        </w:trPr>
        <w:tc>
          <w:tcPr>
            <w:tcW w:w="583" w:type="dxa"/>
            <w:shd w:val="clear" w:color="auto" w:fill="C6EFCE"/>
            <w:noWrap/>
          </w:tcPr>
          <w:p w14:paraId="483A16F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297</w:t>
            </w:r>
          </w:p>
        </w:tc>
        <w:tc>
          <w:tcPr>
            <w:tcW w:w="2500" w:type="dxa"/>
            <w:shd w:val="clear" w:color="auto" w:fill="C6EFCE"/>
            <w:noWrap/>
          </w:tcPr>
          <w:p w14:paraId="778EE3B4" w14:textId="22368C3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16931_Rozvoj cestovného ruchu</w:t>
            </w:r>
          </w:p>
        </w:tc>
        <w:tc>
          <w:tcPr>
            <w:tcW w:w="1230" w:type="dxa"/>
            <w:shd w:val="clear" w:color="auto" w:fill="C6EFCE"/>
            <w:noWrap/>
          </w:tcPr>
          <w:p w14:paraId="3FC26D8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28" w:type="dxa"/>
            <w:shd w:val="clear" w:color="auto" w:fill="C6EFCE"/>
            <w:noWrap/>
          </w:tcPr>
          <w:p w14:paraId="20F06E58" w14:textId="6330A95D" w:rsidR="00302FC1" w:rsidRPr="00AB26B3" w:rsidRDefault="00D64F26">
            <w:pPr>
              <w:pStyle w:val="P68B1DB1-Normal12"/>
              <w:spacing w:after="0" w:line="240" w:lineRule="auto"/>
              <w:rPr>
                <w:noProof/>
                <w:spacing w:val="-6"/>
                <w:lang w:val="sk-SK"/>
              </w:rPr>
            </w:pPr>
            <w:r w:rsidRPr="00AB26B3">
              <w:rPr>
                <w:noProof/>
                <w:spacing w:val="-6"/>
                <w:lang w:val="sk-SK"/>
              </w:rPr>
              <w:t>Projekty</w:t>
            </w:r>
            <w:r w:rsidR="00AB26B3" w:rsidRPr="00AB26B3">
              <w:rPr>
                <w:noProof/>
                <w:spacing w:val="-6"/>
                <w:lang w:val="sk-SK"/>
              </w:rPr>
              <w:t xml:space="preserve"> v </w:t>
            </w:r>
            <w:r w:rsidRPr="00AB26B3">
              <w:rPr>
                <w:noProof/>
                <w:spacing w:val="-6"/>
                <w:lang w:val="sk-SK"/>
              </w:rPr>
              <w:t xml:space="preserve">oblasti cestovného ruchu  </w:t>
            </w:r>
          </w:p>
        </w:tc>
        <w:tc>
          <w:tcPr>
            <w:tcW w:w="1909" w:type="dxa"/>
            <w:shd w:val="clear" w:color="auto" w:fill="C6EFCE"/>
            <w:noWrap/>
          </w:tcPr>
          <w:p w14:paraId="42C5F671" w14:textId="5D4DCDD4" w:rsidR="00302FC1" w:rsidRPr="00AB26B3" w:rsidRDefault="00D64F26">
            <w:pPr>
              <w:pStyle w:val="P68B1DB1-Normal12"/>
              <w:spacing w:after="0" w:line="240" w:lineRule="auto"/>
              <w:rPr>
                <w:noProof/>
                <w:spacing w:val="-6"/>
                <w:lang w:val="sk-SK"/>
              </w:rPr>
            </w:pPr>
            <w:r w:rsidRPr="00AB26B3">
              <w:rPr>
                <w:noProof/>
                <w:spacing w:val="-6"/>
                <w:lang w:val="sk-SK"/>
              </w:rPr>
              <w:t>Realizácia prác</w:t>
            </w:r>
            <w:r w:rsidR="00AB26B3" w:rsidRPr="00AB26B3">
              <w:rPr>
                <w:noProof/>
                <w:spacing w:val="-6"/>
                <w:lang w:val="sk-SK"/>
              </w:rPr>
              <w:t xml:space="preserve"> a </w:t>
            </w:r>
            <w:r w:rsidRPr="00AB26B3">
              <w:rPr>
                <w:noProof/>
                <w:spacing w:val="-6"/>
                <w:lang w:val="sk-SK"/>
              </w:rPr>
              <w:t>vytvorenie miestnych úradov pre riadenie destinácií</w:t>
            </w:r>
            <w:r w:rsidR="00AB26B3" w:rsidRPr="00AB26B3">
              <w:rPr>
                <w:noProof/>
                <w:spacing w:val="-6"/>
                <w:lang w:val="sk-SK"/>
              </w:rPr>
              <w:t xml:space="preserve"> a </w:t>
            </w:r>
            <w:r w:rsidRPr="00AB26B3">
              <w:rPr>
                <w:noProof/>
                <w:spacing w:val="-6"/>
                <w:lang w:val="sk-SK"/>
              </w:rPr>
              <w:t>stredísk pre monitorovanie udržateľného cestovného ruchu</w:t>
            </w:r>
          </w:p>
        </w:tc>
        <w:tc>
          <w:tcPr>
            <w:tcW w:w="1741" w:type="dxa"/>
            <w:shd w:val="clear" w:color="auto" w:fill="C6EFCE"/>
            <w:noWrap/>
          </w:tcPr>
          <w:p w14:paraId="3F8C2A0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F35851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shd w:val="clear" w:color="auto" w:fill="C6EFCE"/>
            <w:noWrap/>
          </w:tcPr>
          <w:p w14:paraId="433EC94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6" w:type="dxa"/>
            <w:shd w:val="clear" w:color="auto" w:fill="C6EFCE"/>
            <w:noWrap/>
          </w:tcPr>
          <w:p w14:paraId="5ABD46A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62" w:type="dxa"/>
            <w:shd w:val="clear" w:color="auto" w:fill="C6EFCE"/>
            <w:noWrap/>
          </w:tcPr>
          <w:p w14:paraId="2A4C003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536" w:type="dxa"/>
            <w:shd w:val="clear" w:color="auto" w:fill="C6EFCE"/>
            <w:noWrap/>
          </w:tcPr>
          <w:p w14:paraId="40B0CA0B" w14:textId="2817EC27" w:rsidR="00302FC1" w:rsidRPr="00AB26B3" w:rsidRDefault="00D64F26">
            <w:pPr>
              <w:pStyle w:val="P68B1DB1-Normal49"/>
              <w:spacing w:after="0" w:line="240" w:lineRule="auto"/>
              <w:rPr>
                <w:rFonts w:ascii="Times New Roman" w:hAnsi="Times New Roman" w:cs="Times New Roman"/>
                <w:noProof/>
                <w:color w:val="006100"/>
                <w:spacing w:val="-6"/>
                <w:lang w:val="sk-SK"/>
              </w:rPr>
            </w:pPr>
            <w:r w:rsidRPr="00AB26B3">
              <w:rPr>
                <w:rFonts w:ascii="Times New Roman" w:hAnsi="Times New Roman"/>
                <w:noProof/>
                <w:spacing w:val="-6"/>
                <w:lang w:val="sk-SK"/>
              </w:rPr>
              <w:t xml:space="preserve">— </w:t>
            </w:r>
            <w:r w:rsidRPr="00AB26B3">
              <w:rPr>
                <w:rFonts w:ascii="Times New Roman" w:hAnsi="Times New Roman" w:cs="Times New Roman"/>
                <w:noProof/>
                <w:color w:val="006100"/>
                <w:spacing w:val="-6"/>
                <w:lang w:val="sk-SK"/>
              </w:rPr>
              <w:t>Ekologický rozvoj: vytvoriť miestne úrady pre riadenie destinácií</w:t>
            </w:r>
            <w:r w:rsidR="00AB26B3" w:rsidRPr="00AB26B3">
              <w:rPr>
                <w:rFonts w:ascii="Times New Roman" w:hAnsi="Times New Roman" w:cs="Times New Roman"/>
                <w:noProof/>
                <w:color w:val="006100"/>
                <w:spacing w:val="-6"/>
                <w:lang w:val="sk-SK"/>
              </w:rPr>
              <w:t xml:space="preserve"> a </w:t>
            </w:r>
            <w:r w:rsidRPr="00AB26B3">
              <w:rPr>
                <w:rFonts w:ascii="Times New Roman" w:hAnsi="Times New Roman" w:cs="Times New Roman"/>
                <w:noProof/>
                <w:color w:val="006100"/>
                <w:spacing w:val="-6"/>
                <w:lang w:val="sk-SK"/>
              </w:rPr>
              <w:t>strediská pre monitorovanie udržateľného cestovného ruchu; modernizácia 4 lyžiarskych centier zahŕňajúca energeticky efektívnu obnovu verejnej</w:t>
            </w:r>
            <w:r w:rsidR="00AB26B3" w:rsidRPr="00AB26B3">
              <w:rPr>
                <w:rFonts w:ascii="Times New Roman" w:hAnsi="Times New Roman" w:cs="Times New Roman"/>
                <w:noProof/>
                <w:color w:val="006100"/>
                <w:spacing w:val="-6"/>
                <w:lang w:val="sk-SK"/>
              </w:rPr>
              <w:t xml:space="preserve"> a </w:t>
            </w:r>
            <w:r w:rsidRPr="00AB26B3">
              <w:rPr>
                <w:rFonts w:ascii="Times New Roman" w:hAnsi="Times New Roman" w:cs="Times New Roman"/>
                <w:noProof/>
                <w:color w:val="006100"/>
                <w:spacing w:val="-6"/>
                <w:lang w:val="sk-SK"/>
              </w:rPr>
              <w:t>súkromnej infraštruktúry/vybavenia a/alebo inštaláciu kapacity nových obnoviteľných zdrojov energie; renovovať alebo vybudovať termálne zariadenia cestovného ruchu.</w:t>
            </w:r>
          </w:p>
          <w:p w14:paraId="5943EB3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1DA2F040" w14:textId="0C061A2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Modrý rozvoj: modernizovať infraštruktúru 18 turistických prístavov, inštalovať infraštruktúru</w:t>
            </w:r>
            <w:r w:rsidR="00AB26B3" w:rsidRPr="00AB26B3">
              <w:rPr>
                <w:noProof/>
                <w:spacing w:val="-6"/>
                <w:lang w:val="sk-SK"/>
              </w:rPr>
              <w:t xml:space="preserve"> a </w:t>
            </w:r>
            <w:r w:rsidRPr="00AB26B3">
              <w:rPr>
                <w:noProof/>
                <w:spacing w:val="-6"/>
                <w:lang w:val="sk-SK"/>
              </w:rPr>
              <w:t>zariadenia na zabezpečenie prístupnosti pláží pre starších ľudí</w:t>
            </w:r>
            <w:r w:rsidR="00AB26B3" w:rsidRPr="00AB26B3">
              <w:rPr>
                <w:noProof/>
                <w:spacing w:val="-6"/>
                <w:lang w:val="sk-SK"/>
              </w:rPr>
              <w:t xml:space="preserve"> a </w:t>
            </w:r>
            <w:r w:rsidRPr="00AB26B3">
              <w:rPr>
                <w:noProof/>
                <w:spacing w:val="-6"/>
                <w:lang w:val="sk-SK"/>
              </w:rPr>
              <w:t>osoby so zdravotným postihnutím</w:t>
            </w:r>
            <w:r w:rsidR="00AB26B3" w:rsidRPr="00AB26B3">
              <w:rPr>
                <w:noProof/>
                <w:spacing w:val="-6"/>
                <w:lang w:val="sk-SK"/>
              </w:rPr>
              <w:t xml:space="preserve"> a </w:t>
            </w:r>
            <w:r w:rsidRPr="00AB26B3">
              <w:rPr>
                <w:noProof/>
                <w:spacing w:val="-6"/>
                <w:lang w:val="sk-SK"/>
              </w:rPr>
              <w:t>renovovať alebo vybudovať infraštruktúru alebo získať vybavenie na potápačské činnosti.</w:t>
            </w:r>
          </w:p>
        </w:tc>
      </w:tr>
      <w:tr w:rsidR="00302FC1" w:rsidRPr="00AB26B3" w14:paraId="3E62EDCE" w14:textId="77777777">
        <w:trPr>
          <w:trHeight w:val="313"/>
          <w:jc w:val="center"/>
        </w:trPr>
        <w:tc>
          <w:tcPr>
            <w:tcW w:w="583" w:type="dxa"/>
            <w:shd w:val="clear" w:color="auto" w:fill="C6EFCE"/>
            <w:noWrap/>
          </w:tcPr>
          <w:p w14:paraId="6494FE2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298</w:t>
            </w:r>
          </w:p>
        </w:tc>
        <w:tc>
          <w:tcPr>
            <w:tcW w:w="2500" w:type="dxa"/>
            <w:shd w:val="clear" w:color="auto" w:fill="C6EFCE"/>
            <w:noWrap/>
          </w:tcPr>
          <w:p w14:paraId="42E5F189" w14:textId="7472C71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16975_Modernizácia intervencií pre regionálne prístavy</w:t>
            </w:r>
          </w:p>
        </w:tc>
        <w:tc>
          <w:tcPr>
            <w:tcW w:w="1230" w:type="dxa"/>
            <w:shd w:val="clear" w:color="auto" w:fill="C6EFCE"/>
            <w:noWrap/>
          </w:tcPr>
          <w:p w14:paraId="0A6FDB6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28" w:type="dxa"/>
            <w:shd w:val="clear" w:color="auto" w:fill="C6EFCE"/>
            <w:noWrap/>
          </w:tcPr>
          <w:p w14:paraId="0041C975" w14:textId="56F6B08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Výstavba infraštruktúrnych prác</w:t>
            </w:r>
            <w:r w:rsidR="00AB26B3" w:rsidRPr="00AB26B3">
              <w:rPr>
                <w:noProof/>
                <w:spacing w:val="-6"/>
                <w:lang w:val="sk-SK"/>
              </w:rPr>
              <w:t xml:space="preserve"> v </w:t>
            </w:r>
            <w:r w:rsidRPr="00AB26B3">
              <w:rPr>
                <w:noProof/>
                <w:spacing w:val="-6"/>
                <w:lang w:val="sk-SK"/>
              </w:rPr>
              <w:t>prístavoch</w:t>
            </w:r>
          </w:p>
        </w:tc>
        <w:tc>
          <w:tcPr>
            <w:tcW w:w="1909" w:type="dxa"/>
            <w:shd w:val="clear" w:color="auto" w:fill="C6EFCE"/>
            <w:noWrap/>
          </w:tcPr>
          <w:p w14:paraId="76DA2D58" w14:textId="116481FB" w:rsidR="00302FC1" w:rsidRPr="00AB26B3" w:rsidRDefault="00D64F26">
            <w:pPr>
              <w:pStyle w:val="P68B1DB1-Normal28"/>
              <w:spacing w:after="0" w:line="240" w:lineRule="auto"/>
              <w:rPr>
                <w:noProof/>
                <w:spacing w:val="-6"/>
                <w:lang w:val="sk-SK"/>
              </w:rPr>
            </w:pPr>
            <w:r w:rsidRPr="00AB26B3">
              <w:rPr>
                <w:noProof/>
                <w:spacing w:val="-6"/>
                <w:lang w:val="sk-SK"/>
              </w:rPr>
              <w:t>Výstavba infraštruktúry</w:t>
            </w:r>
            <w:r w:rsidR="00AB26B3" w:rsidRPr="00AB26B3">
              <w:rPr>
                <w:noProof/>
                <w:spacing w:val="-6"/>
                <w:lang w:val="sk-SK"/>
              </w:rPr>
              <w:t xml:space="preserve"> v </w:t>
            </w:r>
            <w:r w:rsidRPr="00AB26B3">
              <w:rPr>
                <w:noProof/>
                <w:spacing w:val="-6"/>
                <w:lang w:val="sk-SK"/>
              </w:rPr>
              <w:t>prístavoch</w:t>
            </w:r>
          </w:p>
        </w:tc>
        <w:tc>
          <w:tcPr>
            <w:tcW w:w="1741" w:type="dxa"/>
            <w:shd w:val="clear" w:color="auto" w:fill="C6EFCE"/>
            <w:noWrap/>
          </w:tcPr>
          <w:p w14:paraId="2B0A90B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4F5F8FF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shd w:val="clear" w:color="auto" w:fill="C6EFCE"/>
            <w:noWrap/>
          </w:tcPr>
          <w:p w14:paraId="20236A8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6" w:type="dxa"/>
            <w:shd w:val="clear" w:color="auto" w:fill="C6EFCE"/>
            <w:noWrap/>
          </w:tcPr>
          <w:p w14:paraId="09BB58F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62" w:type="dxa"/>
            <w:shd w:val="clear" w:color="auto" w:fill="C6EFCE"/>
            <w:noWrap/>
          </w:tcPr>
          <w:p w14:paraId="73501ED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536" w:type="dxa"/>
            <w:shd w:val="clear" w:color="auto" w:fill="C6EFCE"/>
            <w:noWrap/>
          </w:tcPr>
          <w:p w14:paraId="63BB2F23" w14:textId="0D23ABCA" w:rsidR="00302FC1" w:rsidRPr="00AB26B3" w:rsidRDefault="00D64F26">
            <w:pPr>
              <w:pStyle w:val="P68B1DB1-Normal15"/>
              <w:spacing w:after="0" w:line="240" w:lineRule="auto"/>
              <w:rPr>
                <w:noProof/>
                <w:spacing w:val="-6"/>
                <w:lang w:val="sk-SK"/>
              </w:rPr>
            </w:pPr>
            <w:r w:rsidRPr="00AB26B3">
              <w:rPr>
                <w:noProof/>
                <w:color w:val="006100"/>
                <w:spacing w:val="-6"/>
                <w:lang w:val="sk-SK"/>
              </w:rPr>
              <w:t>Výstavba infraštruktúrnych prác</w:t>
            </w:r>
            <w:r w:rsidR="00AB26B3" w:rsidRPr="00AB26B3">
              <w:rPr>
                <w:noProof/>
                <w:color w:val="006100"/>
                <w:spacing w:val="-6"/>
                <w:lang w:val="sk-SK"/>
              </w:rPr>
              <w:t xml:space="preserve"> v </w:t>
            </w:r>
            <w:r w:rsidRPr="00AB26B3">
              <w:rPr>
                <w:noProof/>
                <w:spacing w:val="-6"/>
                <w:lang w:val="sk-SK"/>
              </w:rPr>
              <w:t xml:space="preserve">13 </w:t>
            </w:r>
            <w:r w:rsidRPr="00AB26B3">
              <w:rPr>
                <w:noProof/>
                <w:color w:val="006100"/>
                <w:spacing w:val="-6"/>
                <w:lang w:val="sk-SK"/>
              </w:rPr>
              <w:t>prístavoch, ako je obnova prístavných hrádzí, zlomy vĺn, inštalácia plávajúcich prístavných hrádzí, oprava prístavných hrádzí</w:t>
            </w:r>
            <w:r w:rsidR="00AB26B3" w:rsidRPr="00AB26B3">
              <w:rPr>
                <w:noProof/>
                <w:color w:val="006100"/>
                <w:spacing w:val="-6"/>
                <w:lang w:val="sk-SK"/>
              </w:rPr>
              <w:t xml:space="preserve"> v </w:t>
            </w:r>
            <w:r w:rsidRPr="00AB26B3">
              <w:rPr>
                <w:noProof/>
                <w:color w:val="006100"/>
                <w:spacing w:val="-6"/>
                <w:lang w:val="sk-SK"/>
              </w:rPr>
              <w:t>dôsledku problémov so sedimentáciou, výstavba servisných rámp, prístavných hrádzí</w:t>
            </w:r>
            <w:r w:rsidR="00AB26B3" w:rsidRPr="00AB26B3">
              <w:rPr>
                <w:noProof/>
                <w:color w:val="006100"/>
                <w:spacing w:val="-6"/>
                <w:lang w:val="sk-SK"/>
              </w:rPr>
              <w:t xml:space="preserve"> a </w:t>
            </w:r>
            <w:r w:rsidRPr="00AB26B3">
              <w:rPr>
                <w:noProof/>
                <w:color w:val="006100"/>
                <w:spacing w:val="-6"/>
                <w:lang w:val="sk-SK"/>
              </w:rPr>
              <w:t>prác na ochranu pobrežia alebo obnova prístavnej panvy po rozsiahlych záplavách.</w:t>
            </w:r>
          </w:p>
          <w:p w14:paraId="1F0C2B42" w14:textId="77777777" w:rsidR="00302FC1" w:rsidRPr="00AB26B3" w:rsidRDefault="00302FC1">
            <w:pPr>
              <w:spacing w:after="0" w:line="240" w:lineRule="auto"/>
              <w:rPr>
                <w:rFonts w:ascii="Times New Roman" w:eastAsiaTheme="minorEastAsia" w:hAnsi="Times New Roman" w:cs="Times New Roman"/>
                <w:noProof/>
                <w:color w:val="006100"/>
                <w:spacing w:val="-6"/>
                <w:sz w:val="18"/>
                <w:szCs w:val="18"/>
                <w:lang w:val="sk-SK"/>
              </w:rPr>
            </w:pPr>
          </w:p>
          <w:p w14:paraId="30E438C7" w14:textId="16869CD6" w:rsidR="00302FC1" w:rsidRPr="00AB26B3" w:rsidRDefault="00D64F26">
            <w:pPr>
              <w:pStyle w:val="P68B1DB1-Normal15"/>
              <w:spacing w:after="0"/>
              <w:rPr>
                <w:noProof/>
                <w:spacing w:val="-6"/>
                <w:lang w:val="sk-SK"/>
              </w:rPr>
            </w:pPr>
            <w:r w:rsidRPr="00AB26B3">
              <w:rPr>
                <w:noProof/>
                <w:color w:val="006100"/>
                <w:spacing w:val="-6"/>
                <w:lang w:val="sk-SK"/>
              </w:rPr>
              <w:t>Musia sa vykonať zmierňujúce</w:t>
            </w:r>
            <w:r w:rsidR="00AB26B3" w:rsidRPr="00AB26B3">
              <w:rPr>
                <w:noProof/>
                <w:color w:val="006100"/>
                <w:spacing w:val="-6"/>
                <w:lang w:val="sk-SK"/>
              </w:rPr>
              <w:t xml:space="preserve"> a </w:t>
            </w:r>
            <w:r w:rsidRPr="00AB26B3">
              <w:rPr>
                <w:noProof/>
                <w:color w:val="006100"/>
                <w:spacing w:val="-6"/>
                <w:lang w:val="sk-SK"/>
              </w:rPr>
              <w:t>kompenzačné opatrenia požadované</w:t>
            </w:r>
            <w:r w:rsidR="00AB26B3" w:rsidRPr="00AB26B3">
              <w:rPr>
                <w:noProof/>
                <w:color w:val="006100"/>
                <w:spacing w:val="-6"/>
                <w:lang w:val="sk-SK"/>
              </w:rPr>
              <w:t xml:space="preserve"> v </w:t>
            </w:r>
            <w:r w:rsidRPr="00AB26B3">
              <w:rPr>
                <w:noProof/>
                <w:color w:val="006100"/>
                <w:spacing w:val="-6"/>
                <w:lang w:val="sk-SK"/>
              </w:rPr>
              <w:t>rámci posudzovania vplyvov na životné prostredie podľa smernice 2011/92/EÚ.</w:t>
            </w:r>
            <w:r w:rsidRPr="00AB26B3">
              <w:rPr>
                <w:noProof/>
                <w:spacing w:val="-6"/>
                <w:lang w:val="sk-SK"/>
              </w:rPr>
              <w:t xml:space="preserve"> </w:t>
            </w:r>
          </w:p>
        </w:tc>
      </w:tr>
    </w:tbl>
    <w:p w14:paraId="7449C48F" w14:textId="77777777" w:rsidR="00302FC1" w:rsidRPr="00AB26B3" w:rsidRDefault="00302FC1">
      <w:pPr>
        <w:spacing w:before="120" w:after="0" w:line="240" w:lineRule="auto"/>
        <w:jc w:val="both"/>
        <w:rPr>
          <w:rFonts w:ascii="Times New Roman" w:hAnsi="Times New Roman" w:cs="Times New Roman"/>
          <w:noProof/>
          <w:spacing w:val="-6"/>
          <w:sz w:val="24"/>
          <w:lang w:val="sk-SK"/>
        </w:rPr>
      </w:pPr>
    </w:p>
    <w:p w14:paraId="4D06A227" w14:textId="77777777" w:rsidR="00302FC1" w:rsidRPr="00AB26B3" w:rsidRDefault="00302FC1">
      <w:pPr>
        <w:keepNext/>
        <w:keepLines/>
        <w:spacing w:before="40" w:after="0" w:line="240" w:lineRule="auto"/>
        <w:jc w:val="both"/>
        <w:outlineLvl w:val="4"/>
        <w:rPr>
          <w:rFonts w:ascii="Times New Roman" w:hAnsi="Times New Roman"/>
          <w:noProof/>
          <w:color w:val="365F91"/>
          <w:spacing w:val="-6"/>
          <w:sz w:val="24"/>
          <w:lang w:val="sk-SK"/>
        </w:rPr>
        <w:sectPr w:rsidR="00302FC1" w:rsidRPr="00AB26B3" w:rsidSect="00315FC0">
          <w:headerReference w:type="even" r:id="rId288"/>
          <w:headerReference w:type="default" r:id="rId289"/>
          <w:footerReference w:type="even" r:id="rId290"/>
          <w:footerReference w:type="default" r:id="rId291"/>
          <w:headerReference w:type="first" r:id="rId292"/>
          <w:footerReference w:type="first" r:id="rId293"/>
          <w:pgSz w:w="16839" w:h="11907" w:orient="landscape"/>
          <w:pgMar w:top="720" w:right="720" w:bottom="720" w:left="720" w:header="709" w:footer="217" w:gutter="0"/>
          <w:cols w:space="720"/>
          <w:docGrid w:linePitch="360"/>
        </w:sectPr>
      </w:pPr>
    </w:p>
    <w:p w14:paraId="128783EB" w14:textId="26D14A11"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27: Priemysel</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investície</w:t>
      </w:r>
    </w:p>
    <w:p w14:paraId="73DC885D" w14:textId="77777777" w:rsidR="00302FC1" w:rsidRPr="00AB26B3" w:rsidRDefault="00D64F26">
      <w:pPr>
        <w:pStyle w:val="P68B1DB1-Normal5"/>
        <w:numPr>
          <w:ilvl w:val="0"/>
          <w:numId w:val="73"/>
        </w:numPr>
        <w:spacing w:before="120" w:after="0" w:line="240" w:lineRule="auto"/>
        <w:jc w:val="both"/>
        <w:rPr>
          <w:rFonts w:cs="Times New Roman"/>
          <w:noProof/>
          <w:spacing w:val="-6"/>
          <w:lang w:val="sk-SK"/>
        </w:rPr>
      </w:pPr>
      <w:r w:rsidRPr="00AB26B3">
        <w:rPr>
          <w:noProof/>
          <w:spacing w:val="-6"/>
          <w:lang w:val="sk-SK"/>
        </w:rPr>
        <w:t>Zmena právneho rámca pre prilákanie strategických investícií (ID: 16593)</w:t>
      </w:r>
    </w:p>
    <w:p w14:paraId="6E684840" w14:textId="77777777" w:rsidR="00302FC1" w:rsidRPr="00AB26B3" w:rsidRDefault="00D64F26">
      <w:pPr>
        <w:pStyle w:val="P68B1DB1-Normal5"/>
        <w:numPr>
          <w:ilvl w:val="0"/>
          <w:numId w:val="73"/>
        </w:numPr>
        <w:spacing w:before="120" w:after="0" w:line="240" w:lineRule="auto"/>
        <w:jc w:val="both"/>
        <w:rPr>
          <w:rFonts w:cs="Times New Roman"/>
          <w:noProof/>
          <w:spacing w:val="-6"/>
          <w:lang w:val="sk-SK"/>
        </w:rPr>
      </w:pPr>
      <w:r w:rsidRPr="00AB26B3">
        <w:rPr>
          <w:noProof/>
          <w:spacing w:val="-6"/>
          <w:lang w:val="sk-SK"/>
        </w:rPr>
        <w:t>Priemyselné parky (ID: 16634)</w:t>
      </w:r>
    </w:p>
    <w:p w14:paraId="31A8B1D1" w14:textId="720945F7" w:rsidR="00302FC1" w:rsidRPr="00AB26B3" w:rsidRDefault="00D64F26">
      <w:pPr>
        <w:pStyle w:val="P68B1DB1-Normal7"/>
        <w:numPr>
          <w:ilvl w:val="0"/>
          <w:numId w:val="73"/>
        </w:numPr>
        <w:spacing w:before="120" w:after="120" w:line="240" w:lineRule="auto"/>
        <w:jc w:val="both"/>
        <w:rPr>
          <w:rFonts w:cs="Times New Roman"/>
          <w:noProof/>
          <w:spacing w:val="-6"/>
          <w:lang w:val="sk-SK"/>
        </w:rPr>
      </w:pPr>
      <w:r w:rsidRPr="00AB26B3">
        <w:rPr>
          <w:noProof/>
          <w:spacing w:val="-6"/>
          <w:lang w:val="sk-SK"/>
        </w:rPr>
        <w:t xml:space="preserve">Urýchlenie inteligentnej výroby (ID: 16721) </w:t>
      </w:r>
    </w:p>
    <w:tbl>
      <w:tblPr>
        <w:tblW w:w="15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2084"/>
        <w:gridCol w:w="1298"/>
        <w:gridCol w:w="1396"/>
        <w:gridCol w:w="1823"/>
        <w:gridCol w:w="866"/>
        <w:gridCol w:w="857"/>
        <w:gridCol w:w="691"/>
        <w:gridCol w:w="851"/>
        <w:gridCol w:w="709"/>
        <w:gridCol w:w="4308"/>
      </w:tblGrid>
      <w:tr w:rsidR="00302FC1" w:rsidRPr="00AB26B3" w14:paraId="6B87E653" w14:textId="77777777">
        <w:trPr>
          <w:trHeight w:val="839"/>
          <w:tblHeader/>
          <w:jc w:val="center"/>
        </w:trPr>
        <w:tc>
          <w:tcPr>
            <w:tcW w:w="619" w:type="dxa"/>
            <w:vMerge w:val="restart"/>
            <w:shd w:val="clear" w:color="auto" w:fill="BDD7EE"/>
            <w:vAlign w:val="center"/>
            <w:hideMark/>
          </w:tcPr>
          <w:p w14:paraId="2FBA6E6D" w14:textId="43118AAC"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 xml:space="preserve">A nasl. </w:t>
            </w:r>
            <w:r w:rsidRPr="00AB26B3">
              <w:rPr>
                <w:noProof/>
                <w:spacing w:val="-6"/>
                <w:lang w:val="sk-SK"/>
              </w:rPr>
              <w:br/>
              <w:t>Nie.</w:t>
            </w:r>
          </w:p>
        </w:tc>
        <w:tc>
          <w:tcPr>
            <w:tcW w:w="2084" w:type="dxa"/>
            <w:vMerge w:val="restart"/>
            <w:shd w:val="clear" w:color="auto" w:fill="BDD7EE"/>
            <w:vAlign w:val="center"/>
            <w:hideMark/>
          </w:tcPr>
          <w:p w14:paraId="1E2B1AB9"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Súvisiace opatrenie (reforma alebo investícia)</w:t>
            </w:r>
          </w:p>
        </w:tc>
        <w:tc>
          <w:tcPr>
            <w:tcW w:w="1298" w:type="dxa"/>
            <w:vMerge w:val="restart"/>
            <w:shd w:val="clear" w:color="auto" w:fill="BDD7EE"/>
            <w:vAlign w:val="center"/>
            <w:hideMark/>
          </w:tcPr>
          <w:p w14:paraId="76ACFDD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Míľnik/cieľ</w:t>
            </w:r>
          </w:p>
        </w:tc>
        <w:tc>
          <w:tcPr>
            <w:tcW w:w="1396" w:type="dxa"/>
            <w:vMerge w:val="restart"/>
            <w:shd w:val="clear" w:color="auto" w:fill="BDD7EE"/>
            <w:vAlign w:val="center"/>
            <w:hideMark/>
          </w:tcPr>
          <w:p w14:paraId="65937B72"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Názov</w:t>
            </w:r>
          </w:p>
        </w:tc>
        <w:tc>
          <w:tcPr>
            <w:tcW w:w="1823" w:type="dxa"/>
            <w:vMerge w:val="restart"/>
            <w:shd w:val="clear" w:color="auto" w:fill="BDD7EE"/>
            <w:vAlign w:val="center"/>
            <w:hideMark/>
          </w:tcPr>
          <w:p w14:paraId="65F3A9F1" w14:textId="1170B062"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Kvalitatívne ukazovatele (pre míľniky)</w:t>
            </w:r>
          </w:p>
        </w:tc>
        <w:tc>
          <w:tcPr>
            <w:tcW w:w="2414" w:type="dxa"/>
            <w:gridSpan w:val="3"/>
            <w:shd w:val="clear" w:color="auto" w:fill="BDD7EE"/>
            <w:vAlign w:val="center"/>
            <w:hideMark/>
          </w:tcPr>
          <w:p w14:paraId="4FCB611C" w14:textId="397AC84A"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Kvantitatívne ukazovatele (pre ciele)</w:t>
            </w:r>
          </w:p>
        </w:tc>
        <w:tc>
          <w:tcPr>
            <w:tcW w:w="1560" w:type="dxa"/>
            <w:gridSpan w:val="2"/>
            <w:shd w:val="clear" w:color="auto" w:fill="BDD7EE"/>
            <w:vAlign w:val="center"/>
            <w:hideMark/>
          </w:tcPr>
          <w:p w14:paraId="485951D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Orientačný harmonogram dokončenia </w:t>
            </w:r>
          </w:p>
        </w:tc>
        <w:tc>
          <w:tcPr>
            <w:tcW w:w="4308" w:type="dxa"/>
            <w:vMerge w:val="restart"/>
            <w:shd w:val="clear" w:color="auto" w:fill="BDD7EE"/>
            <w:vAlign w:val="center"/>
            <w:hideMark/>
          </w:tcPr>
          <w:p w14:paraId="25A5FA81" w14:textId="67A58DD6"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426FE711" w14:textId="77777777">
        <w:trPr>
          <w:trHeight w:val="456"/>
          <w:tblHeader/>
          <w:jc w:val="center"/>
        </w:trPr>
        <w:tc>
          <w:tcPr>
            <w:tcW w:w="619" w:type="dxa"/>
            <w:vMerge/>
            <w:vAlign w:val="center"/>
            <w:hideMark/>
          </w:tcPr>
          <w:p w14:paraId="579BF89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84" w:type="dxa"/>
            <w:vMerge/>
            <w:vAlign w:val="center"/>
            <w:hideMark/>
          </w:tcPr>
          <w:p w14:paraId="159C64D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98" w:type="dxa"/>
            <w:vMerge/>
            <w:vAlign w:val="center"/>
            <w:hideMark/>
          </w:tcPr>
          <w:p w14:paraId="2BD5577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96" w:type="dxa"/>
            <w:vMerge/>
            <w:vAlign w:val="center"/>
            <w:hideMark/>
          </w:tcPr>
          <w:p w14:paraId="3289FF8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823" w:type="dxa"/>
            <w:vMerge/>
            <w:vAlign w:val="center"/>
            <w:hideMark/>
          </w:tcPr>
          <w:p w14:paraId="731D6CFB"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866" w:type="dxa"/>
            <w:shd w:val="clear" w:color="auto" w:fill="BDD7EE"/>
            <w:vAlign w:val="center"/>
            <w:hideMark/>
          </w:tcPr>
          <w:p w14:paraId="4AEAD231"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857" w:type="dxa"/>
            <w:shd w:val="clear" w:color="auto" w:fill="BDD7EE"/>
            <w:vAlign w:val="center"/>
            <w:hideMark/>
          </w:tcPr>
          <w:p w14:paraId="2D8E8921"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691" w:type="dxa"/>
            <w:shd w:val="clear" w:color="auto" w:fill="BDD7EE"/>
            <w:vAlign w:val="center"/>
            <w:hideMark/>
          </w:tcPr>
          <w:p w14:paraId="502F7CF8"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851" w:type="dxa"/>
            <w:shd w:val="clear" w:color="auto" w:fill="BDD7EE"/>
            <w:vAlign w:val="center"/>
            <w:hideMark/>
          </w:tcPr>
          <w:p w14:paraId="48DA28F5"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709" w:type="dxa"/>
            <w:shd w:val="clear" w:color="auto" w:fill="BDD7EE"/>
            <w:vAlign w:val="center"/>
            <w:hideMark/>
          </w:tcPr>
          <w:p w14:paraId="74622A4C"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4308" w:type="dxa"/>
            <w:vMerge/>
            <w:vAlign w:val="center"/>
            <w:hideMark/>
          </w:tcPr>
          <w:p w14:paraId="74FDAA0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23574414" w14:textId="77777777">
        <w:trPr>
          <w:trHeight w:val="313"/>
          <w:jc w:val="center"/>
        </w:trPr>
        <w:tc>
          <w:tcPr>
            <w:tcW w:w="619" w:type="dxa"/>
            <w:shd w:val="clear" w:color="auto" w:fill="C6EFCE"/>
            <w:noWrap/>
          </w:tcPr>
          <w:p w14:paraId="5A00570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299</w:t>
            </w:r>
          </w:p>
        </w:tc>
        <w:tc>
          <w:tcPr>
            <w:tcW w:w="2084" w:type="dxa"/>
            <w:shd w:val="clear" w:color="auto" w:fill="C6EFCE"/>
            <w:noWrap/>
          </w:tcPr>
          <w:p w14:paraId="5A16CDC7" w14:textId="76C6879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16593_Zmena právneho rámca pre prilákanie strategických investícií</w:t>
            </w:r>
          </w:p>
        </w:tc>
        <w:tc>
          <w:tcPr>
            <w:tcW w:w="1298" w:type="dxa"/>
            <w:shd w:val="clear" w:color="auto" w:fill="C6EFCE"/>
            <w:noWrap/>
          </w:tcPr>
          <w:p w14:paraId="37E1344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tcPr>
          <w:p w14:paraId="559F00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Strategické investície – legislatívna reforma</w:t>
            </w:r>
          </w:p>
        </w:tc>
        <w:tc>
          <w:tcPr>
            <w:tcW w:w="1823" w:type="dxa"/>
            <w:shd w:val="clear" w:color="auto" w:fill="C6EFCE"/>
            <w:noWrap/>
          </w:tcPr>
          <w:p w14:paraId="4FF25C7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legislatívnych zmien</w:t>
            </w:r>
          </w:p>
        </w:tc>
        <w:tc>
          <w:tcPr>
            <w:tcW w:w="866" w:type="dxa"/>
            <w:shd w:val="clear" w:color="auto" w:fill="C6EFCE"/>
            <w:noWrap/>
          </w:tcPr>
          <w:p w14:paraId="1FD2CE3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53E3DF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1" w:type="dxa"/>
            <w:shd w:val="clear" w:color="auto" w:fill="C6EFCE"/>
            <w:noWrap/>
          </w:tcPr>
          <w:p w14:paraId="6FDD189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1004E7C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273C29B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308" w:type="dxa"/>
            <w:shd w:val="clear" w:color="auto" w:fill="C6EFCE"/>
            <w:noWrap/>
          </w:tcPr>
          <w:p w14:paraId="54EBF9C7" w14:textId="6C7FC01E" w:rsidR="00AB26B3" w:rsidRPr="00AB26B3" w:rsidRDefault="00D64F26">
            <w:pPr>
              <w:pStyle w:val="P68B1DB1-Normal12"/>
              <w:spacing w:after="0" w:line="240" w:lineRule="auto"/>
              <w:rPr>
                <w:noProof/>
                <w:spacing w:val="-6"/>
                <w:lang w:val="sk-SK"/>
              </w:rPr>
            </w:pPr>
            <w:r w:rsidRPr="00AB26B3">
              <w:rPr>
                <w:noProof/>
                <w:spacing w:val="-6"/>
                <w:lang w:val="sk-SK"/>
              </w:rPr>
              <w:t xml:space="preserve">Nadobudnutie účinnosti legislatívnych zmien na reformu legislatívneho rámca na prilákanie strategických investícií (zákon </w:t>
            </w:r>
            <w:r w:rsidR="00AB26B3" w:rsidRPr="00AB26B3">
              <w:rPr>
                <w:noProof/>
                <w:spacing w:val="-6"/>
                <w:lang w:val="sk-SK"/>
              </w:rPr>
              <w:t>č. </w:t>
            </w:r>
            <w:r w:rsidRPr="00AB26B3">
              <w:rPr>
                <w:noProof/>
                <w:spacing w:val="-6"/>
                <w:lang w:val="sk-SK"/>
              </w:rPr>
              <w:t>3894/2010</w:t>
            </w:r>
            <w:r w:rsidR="00AB26B3" w:rsidRPr="00AB26B3">
              <w:rPr>
                <w:noProof/>
                <w:spacing w:val="-6"/>
                <w:lang w:val="sk-SK"/>
              </w:rPr>
              <w:t xml:space="preserve"> a </w:t>
            </w:r>
            <w:r w:rsidRPr="00AB26B3">
              <w:rPr>
                <w:noProof/>
                <w:spacing w:val="-6"/>
                <w:lang w:val="sk-SK"/>
              </w:rPr>
              <w:t xml:space="preserve">zákon </w:t>
            </w:r>
            <w:r w:rsidR="00AB26B3" w:rsidRPr="00AB26B3">
              <w:rPr>
                <w:noProof/>
                <w:spacing w:val="-6"/>
                <w:lang w:val="sk-SK"/>
              </w:rPr>
              <w:t>č. </w:t>
            </w:r>
            <w:r w:rsidRPr="00AB26B3">
              <w:rPr>
                <w:noProof/>
                <w:spacing w:val="-6"/>
                <w:lang w:val="sk-SK"/>
              </w:rPr>
              <w:t>4608/2019),</w:t>
            </w:r>
            <w:r w:rsidR="00AB26B3" w:rsidRPr="00AB26B3">
              <w:rPr>
                <w:noProof/>
                <w:spacing w:val="-6"/>
                <w:lang w:val="sk-SK"/>
              </w:rPr>
              <w:t xml:space="preserve"> a </w:t>
            </w:r>
            <w:r w:rsidRPr="00AB26B3">
              <w:rPr>
                <w:noProof/>
                <w:spacing w:val="-6"/>
                <w:lang w:val="sk-SK"/>
              </w:rPr>
              <w:t>to aj prostredníctvom právnej kodifikácie</w:t>
            </w:r>
            <w:r w:rsidR="00AB26B3" w:rsidRPr="00AB26B3">
              <w:rPr>
                <w:noProof/>
                <w:spacing w:val="-6"/>
                <w:lang w:val="sk-SK"/>
              </w:rPr>
              <w:t xml:space="preserve"> s </w:t>
            </w:r>
            <w:r w:rsidRPr="00AB26B3">
              <w:rPr>
                <w:noProof/>
                <w:spacing w:val="-6"/>
                <w:lang w:val="sk-SK"/>
              </w:rPr>
              <w:t>cieľom vytvoriť jednotný</w:t>
            </w:r>
            <w:r w:rsidR="00AB26B3" w:rsidRPr="00AB26B3">
              <w:rPr>
                <w:noProof/>
                <w:spacing w:val="-6"/>
                <w:lang w:val="sk-SK"/>
              </w:rPr>
              <w:t xml:space="preserve"> a </w:t>
            </w:r>
            <w:r w:rsidRPr="00AB26B3">
              <w:rPr>
                <w:noProof/>
                <w:spacing w:val="-6"/>
                <w:lang w:val="sk-SK"/>
              </w:rPr>
              <w:t>súdržný rámec</w:t>
            </w:r>
            <w:r w:rsidR="00AB26B3" w:rsidRPr="00AB26B3">
              <w:rPr>
                <w:noProof/>
                <w:spacing w:val="-6"/>
                <w:lang w:val="sk-SK"/>
              </w:rPr>
              <w:t xml:space="preserve"> a </w:t>
            </w:r>
            <w:r w:rsidRPr="00AB26B3">
              <w:rPr>
                <w:noProof/>
                <w:spacing w:val="-6"/>
                <w:lang w:val="sk-SK"/>
              </w:rPr>
              <w:t>právnych zmien</w:t>
            </w:r>
            <w:r w:rsidR="00AB26B3" w:rsidRPr="00AB26B3">
              <w:rPr>
                <w:noProof/>
                <w:spacing w:val="-6"/>
                <w:lang w:val="sk-SK"/>
              </w:rPr>
              <w:t xml:space="preserve"> s </w:t>
            </w:r>
            <w:r w:rsidRPr="00AB26B3">
              <w:rPr>
                <w:noProof/>
                <w:spacing w:val="-6"/>
                <w:lang w:val="sk-SK"/>
              </w:rPr>
              <w:t>cieľom zaviesť novú kategóriu strategických investícií „Emblematické investície veľkého významu“</w:t>
            </w:r>
            <w:r w:rsidR="00AB26B3" w:rsidRPr="00AB26B3">
              <w:rPr>
                <w:noProof/>
                <w:spacing w:val="-6"/>
                <w:lang w:val="sk-SK"/>
              </w:rPr>
              <w:t>.</w:t>
            </w:r>
          </w:p>
          <w:p w14:paraId="62C56833" w14:textId="1F6DDE0A"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A3B573A" w14:textId="4BCD29C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Reformou rámca pre strategické investície sa zavedú aj ustanovenia, ktoré pomôžu urýchliť administratívny postup týkajúci sa schvaľovania</w:t>
            </w:r>
            <w:r w:rsidR="00AB26B3" w:rsidRPr="00AB26B3">
              <w:rPr>
                <w:noProof/>
                <w:spacing w:val="-6"/>
                <w:lang w:val="sk-SK"/>
              </w:rPr>
              <w:t xml:space="preserve"> a </w:t>
            </w:r>
            <w:r w:rsidRPr="00AB26B3">
              <w:rPr>
                <w:noProof/>
                <w:spacing w:val="-6"/>
                <w:lang w:val="sk-SK"/>
              </w:rPr>
              <w:t>udeľovania licencií na strategické investície (t. j. zlepšiť zrýchlený postup). Do zákona sa zavedú nové kategórie strategických investícií na základe kritérií vedúcich</w:t>
            </w:r>
            <w:r w:rsidR="00AB26B3" w:rsidRPr="00AB26B3">
              <w:rPr>
                <w:noProof/>
                <w:spacing w:val="-6"/>
                <w:lang w:val="sk-SK"/>
              </w:rPr>
              <w:t xml:space="preserve"> k </w:t>
            </w:r>
            <w:r w:rsidRPr="00AB26B3">
              <w:rPr>
                <w:noProof/>
                <w:spacing w:val="-6"/>
                <w:lang w:val="sk-SK"/>
              </w:rPr>
              <w:t>inovácii alebo šíreniu technológií, využívaniu obnoviteľných zdrojov energie</w:t>
            </w:r>
            <w:r w:rsidR="00AB26B3" w:rsidRPr="00AB26B3">
              <w:rPr>
                <w:noProof/>
                <w:spacing w:val="-6"/>
                <w:lang w:val="sk-SK"/>
              </w:rPr>
              <w:t xml:space="preserve"> a </w:t>
            </w:r>
            <w:r w:rsidRPr="00AB26B3">
              <w:rPr>
                <w:noProof/>
                <w:spacing w:val="-6"/>
                <w:lang w:val="sk-SK"/>
              </w:rPr>
              <w:t>prechodu na nízkouhlíkové hospodárstvo a/alebo</w:t>
            </w:r>
            <w:r w:rsidR="00AB26B3" w:rsidRPr="00AB26B3">
              <w:rPr>
                <w:noProof/>
                <w:spacing w:val="-6"/>
                <w:lang w:val="sk-SK"/>
              </w:rPr>
              <w:t xml:space="preserve"> k </w:t>
            </w:r>
            <w:r w:rsidRPr="00AB26B3">
              <w:rPr>
                <w:noProof/>
                <w:spacing w:val="-6"/>
                <w:lang w:val="sk-SK"/>
              </w:rPr>
              <w:t>významnej podpore konkurencieschopnosti gréckeho hospodárstva na medzinárodnej úrovni.</w:t>
            </w:r>
          </w:p>
          <w:p w14:paraId="618E18B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highlight w:val="yellow"/>
                <w:lang w:val="sk-SK"/>
              </w:rPr>
            </w:pPr>
          </w:p>
        </w:tc>
      </w:tr>
      <w:tr w:rsidR="00302FC1" w:rsidRPr="00AB26B3" w14:paraId="39D2C1C8" w14:textId="77777777">
        <w:trPr>
          <w:trHeight w:val="313"/>
          <w:jc w:val="center"/>
        </w:trPr>
        <w:tc>
          <w:tcPr>
            <w:tcW w:w="619" w:type="dxa"/>
            <w:shd w:val="clear" w:color="auto" w:fill="C6EFCE"/>
            <w:noWrap/>
          </w:tcPr>
          <w:p w14:paraId="65DB890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300</w:t>
            </w:r>
          </w:p>
        </w:tc>
        <w:tc>
          <w:tcPr>
            <w:tcW w:w="2084" w:type="dxa"/>
            <w:shd w:val="clear" w:color="auto" w:fill="C6EFCE"/>
            <w:noWrap/>
          </w:tcPr>
          <w:p w14:paraId="3225DD77" w14:textId="394A859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16721_Urýchlenie inteligentnej výroby</w:t>
            </w:r>
          </w:p>
        </w:tc>
        <w:tc>
          <w:tcPr>
            <w:tcW w:w="1298" w:type="dxa"/>
            <w:shd w:val="clear" w:color="auto" w:fill="C6EFCE"/>
            <w:noWrap/>
          </w:tcPr>
          <w:p w14:paraId="71ADEFF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tcPr>
          <w:p w14:paraId="38DC2A2E" w14:textId="419B246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výziev na predkladanie návrhov</w:t>
            </w:r>
            <w:r w:rsidR="00AB26B3" w:rsidRPr="00AB26B3">
              <w:rPr>
                <w:noProof/>
                <w:spacing w:val="-6"/>
                <w:lang w:val="sk-SK"/>
              </w:rPr>
              <w:t xml:space="preserve"> v </w:t>
            </w:r>
            <w:r w:rsidRPr="00AB26B3">
              <w:rPr>
                <w:noProof/>
                <w:spacing w:val="-6"/>
                <w:lang w:val="sk-SK"/>
              </w:rPr>
              <w:t>oblasti výroby</w:t>
            </w:r>
          </w:p>
        </w:tc>
        <w:tc>
          <w:tcPr>
            <w:tcW w:w="1823" w:type="dxa"/>
            <w:shd w:val="clear" w:color="auto" w:fill="C6EFCE"/>
            <w:noWrap/>
          </w:tcPr>
          <w:p w14:paraId="714AF0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Vyhlásenie výziev pre výrobné firmy </w:t>
            </w:r>
          </w:p>
        </w:tc>
        <w:tc>
          <w:tcPr>
            <w:tcW w:w="866" w:type="dxa"/>
            <w:shd w:val="clear" w:color="auto" w:fill="C6EFCE"/>
            <w:noWrap/>
          </w:tcPr>
          <w:p w14:paraId="630B0DC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3A1D0B7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1" w:type="dxa"/>
            <w:shd w:val="clear" w:color="auto" w:fill="C6EFCE"/>
            <w:noWrap/>
          </w:tcPr>
          <w:p w14:paraId="074DFBE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55C653D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348B476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308" w:type="dxa"/>
            <w:shd w:val="clear" w:color="auto" w:fill="C6EFCE"/>
            <w:noWrap/>
          </w:tcPr>
          <w:p w14:paraId="5E3F34A0" w14:textId="4830A25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všetkých súťažných výziev na predkladanie návrhov pre výrobný sektor</w:t>
            </w:r>
            <w:r w:rsidR="00AB26B3" w:rsidRPr="00AB26B3">
              <w:rPr>
                <w:noProof/>
                <w:spacing w:val="-6"/>
                <w:lang w:val="sk-SK"/>
              </w:rPr>
              <w:t xml:space="preserve"> v </w:t>
            </w:r>
            <w:r w:rsidRPr="00AB26B3">
              <w:rPr>
                <w:noProof/>
                <w:spacing w:val="-6"/>
                <w:lang w:val="sk-SK"/>
              </w:rPr>
              <w:t>oblasti investícií týkajúcich sa digitalizácie výrobných liniek, automatizácie</w:t>
            </w:r>
            <w:r w:rsidR="00AB26B3" w:rsidRPr="00AB26B3">
              <w:rPr>
                <w:noProof/>
                <w:spacing w:val="-6"/>
                <w:lang w:val="sk-SK"/>
              </w:rPr>
              <w:t xml:space="preserve"> a </w:t>
            </w:r>
            <w:r w:rsidRPr="00AB26B3">
              <w:rPr>
                <w:noProof/>
                <w:spacing w:val="-6"/>
                <w:lang w:val="sk-SK"/>
              </w:rPr>
              <w:t>prepojenia dodávateľských reťazcov, navrhovania</w:t>
            </w:r>
            <w:r w:rsidR="00AB26B3" w:rsidRPr="00AB26B3">
              <w:rPr>
                <w:noProof/>
                <w:spacing w:val="-6"/>
                <w:lang w:val="sk-SK"/>
              </w:rPr>
              <w:t xml:space="preserve"> a </w:t>
            </w:r>
            <w:r w:rsidRPr="00AB26B3">
              <w:rPr>
                <w:noProof/>
                <w:spacing w:val="-6"/>
                <w:lang w:val="sk-SK"/>
              </w:rPr>
              <w:t>výroby inteligentných výrobkov</w:t>
            </w:r>
            <w:r w:rsidR="00AB26B3" w:rsidRPr="00AB26B3">
              <w:rPr>
                <w:noProof/>
                <w:spacing w:val="-6"/>
                <w:lang w:val="sk-SK"/>
              </w:rPr>
              <w:t xml:space="preserve"> a </w:t>
            </w:r>
            <w:r w:rsidRPr="00AB26B3">
              <w:rPr>
                <w:noProof/>
                <w:spacing w:val="-6"/>
                <w:lang w:val="sk-SK"/>
              </w:rPr>
              <w:t>služieb, zavádzania inteligentných výrobných technológií</w:t>
            </w:r>
            <w:r w:rsidR="00AB26B3" w:rsidRPr="00AB26B3">
              <w:rPr>
                <w:noProof/>
                <w:spacing w:val="-6"/>
                <w:lang w:val="sk-SK"/>
              </w:rPr>
              <w:t xml:space="preserve"> v </w:t>
            </w:r>
            <w:r w:rsidRPr="00AB26B3">
              <w:rPr>
                <w:noProof/>
                <w:spacing w:val="-6"/>
                <w:lang w:val="sk-SK"/>
              </w:rPr>
              <w:t>ultravysokorýchlostných 5G sieťových mechanických, laboratórnych</w:t>
            </w:r>
            <w:r w:rsidR="00AB26B3" w:rsidRPr="00AB26B3">
              <w:rPr>
                <w:noProof/>
                <w:spacing w:val="-6"/>
                <w:lang w:val="sk-SK"/>
              </w:rPr>
              <w:t xml:space="preserve"> a </w:t>
            </w:r>
            <w:r w:rsidRPr="00AB26B3">
              <w:rPr>
                <w:noProof/>
                <w:spacing w:val="-6"/>
                <w:lang w:val="sk-SK"/>
              </w:rPr>
              <w:t>výrobných zariadeniach, zariadení na kontrolu kvality, IKT</w:t>
            </w:r>
            <w:r w:rsidR="00AB26B3" w:rsidRPr="00AB26B3">
              <w:rPr>
                <w:noProof/>
                <w:spacing w:val="-6"/>
                <w:lang w:val="sk-SK"/>
              </w:rPr>
              <w:t xml:space="preserve"> a </w:t>
            </w:r>
            <w:r w:rsidRPr="00AB26B3">
              <w:rPr>
                <w:noProof/>
                <w:spacing w:val="-6"/>
                <w:lang w:val="sk-SK"/>
              </w:rPr>
              <w:t>softvérových zariadení, softvérových licencií, cloudových licencií, implementačných služieb pre novú IT infraštruktúru</w:t>
            </w:r>
            <w:r w:rsidR="00AB26B3" w:rsidRPr="00AB26B3">
              <w:rPr>
                <w:noProof/>
                <w:spacing w:val="-6"/>
                <w:lang w:val="sk-SK"/>
              </w:rPr>
              <w:t xml:space="preserve"> a </w:t>
            </w:r>
            <w:r w:rsidRPr="00AB26B3">
              <w:rPr>
                <w:noProof/>
                <w:spacing w:val="-6"/>
                <w:lang w:val="sk-SK"/>
              </w:rPr>
              <w:t>S/W, bezpečnostných služieb IT, dizajnu výrobkov, duševného vlastníctva, patentových</w:t>
            </w:r>
            <w:r w:rsidR="00AB26B3" w:rsidRPr="00AB26B3">
              <w:rPr>
                <w:noProof/>
                <w:spacing w:val="-6"/>
                <w:lang w:val="sk-SK"/>
              </w:rPr>
              <w:t xml:space="preserve"> a </w:t>
            </w:r>
            <w:r w:rsidRPr="00AB26B3">
              <w:rPr>
                <w:noProof/>
                <w:spacing w:val="-6"/>
                <w:lang w:val="sk-SK"/>
              </w:rPr>
              <w:t>certifikačných nákladov</w:t>
            </w:r>
            <w:r w:rsidR="00AB26B3" w:rsidRPr="00AB26B3">
              <w:rPr>
                <w:noProof/>
                <w:spacing w:val="-6"/>
                <w:lang w:val="sk-SK"/>
              </w:rPr>
              <w:t xml:space="preserve"> s </w:t>
            </w:r>
            <w:r w:rsidRPr="00AB26B3">
              <w:rPr>
                <w:noProof/>
                <w:spacing w:val="-6"/>
                <w:lang w:val="sk-SK"/>
              </w:rPr>
              <w:t>referenčnými podmienkami vrátane kritérií oprávnenosti, ktorými sa zabezpečí, aby vybrané projekty boli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No No Significant Harm Technical Guidance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p>
        </w:tc>
      </w:tr>
      <w:tr w:rsidR="00302FC1" w:rsidRPr="00AB26B3" w14:paraId="44528B27" w14:textId="77777777">
        <w:trPr>
          <w:trHeight w:val="313"/>
          <w:jc w:val="center"/>
        </w:trPr>
        <w:tc>
          <w:tcPr>
            <w:tcW w:w="619" w:type="dxa"/>
            <w:shd w:val="clear" w:color="auto" w:fill="C6EFCE"/>
            <w:noWrap/>
          </w:tcPr>
          <w:p w14:paraId="6560DF7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301</w:t>
            </w:r>
          </w:p>
        </w:tc>
        <w:tc>
          <w:tcPr>
            <w:tcW w:w="2084" w:type="dxa"/>
            <w:shd w:val="clear" w:color="auto" w:fill="C6EFCE"/>
            <w:noWrap/>
          </w:tcPr>
          <w:p w14:paraId="5069887C" w14:textId="167D62B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16634_Nové priemyselné parky</w:t>
            </w:r>
          </w:p>
          <w:p w14:paraId="7BA5D5F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298" w:type="dxa"/>
            <w:shd w:val="clear" w:color="auto" w:fill="C6EFCE"/>
            <w:noWrap/>
          </w:tcPr>
          <w:p w14:paraId="240F15B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tcPr>
          <w:p w14:paraId="71BFE59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výziev na predkladanie návrhov na vytvorenie priemyselných parkov</w:t>
            </w:r>
          </w:p>
        </w:tc>
        <w:tc>
          <w:tcPr>
            <w:tcW w:w="1823" w:type="dxa"/>
            <w:shd w:val="clear" w:color="auto" w:fill="C6EFCE"/>
            <w:noWrap/>
          </w:tcPr>
          <w:p w14:paraId="69D6C3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Vyhlásenie výziev na predkladanie návrhov pre priemyselné parky </w:t>
            </w:r>
          </w:p>
        </w:tc>
        <w:tc>
          <w:tcPr>
            <w:tcW w:w="866" w:type="dxa"/>
            <w:shd w:val="clear" w:color="auto" w:fill="C6EFCE"/>
            <w:noWrap/>
          </w:tcPr>
          <w:p w14:paraId="6F10CE8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72CFD66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1" w:type="dxa"/>
            <w:shd w:val="clear" w:color="auto" w:fill="C6EFCE"/>
            <w:noWrap/>
          </w:tcPr>
          <w:p w14:paraId="2A61F53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0B09A5F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tcPr>
          <w:p w14:paraId="0C318E5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308" w:type="dxa"/>
            <w:shd w:val="clear" w:color="auto" w:fill="C6EFCE"/>
            <w:noWrap/>
          </w:tcPr>
          <w:p w14:paraId="642D5DC4" w14:textId="2D3CB19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všetkých súťažných výziev na predkladanie návrhov na rozvoj priemyselných parkov na investície do a) infraštruktúry na zriadenie parkov novej generácie (vrátane nadobudnutia pozemkov)</w:t>
            </w:r>
            <w:r w:rsidR="00AB26B3" w:rsidRPr="00AB26B3">
              <w:rPr>
                <w:noProof/>
                <w:spacing w:val="-6"/>
                <w:lang w:val="sk-SK"/>
              </w:rPr>
              <w:t xml:space="preserve"> s </w:t>
            </w:r>
            <w:r w:rsidRPr="00AB26B3">
              <w:rPr>
                <w:noProof/>
                <w:spacing w:val="-6"/>
                <w:lang w:val="sk-SK"/>
              </w:rPr>
              <w:t>osobitnými kritériami energetickej efektívnosti na výstavbu nových budov</w:t>
            </w:r>
            <w:r w:rsidR="00AB26B3" w:rsidRPr="00AB26B3">
              <w:rPr>
                <w:noProof/>
                <w:spacing w:val="-6"/>
                <w:lang w:val="sk-SK"/>
              </w:rPr>
              <w:t xml:space="preserve"> a </w:t>
            </w:r>
            <w:r w:rsidRPr="00AB26B3">
              <w:rPr>
                <w:noProof/>
                <w:spacing w:val="-6"/>
                <w:lang w:val="sk-SK"/>
              </w:rPr>
              <w:t>energetickej efektívnosti</w:t>
            </w:r>
            <w:r w:rsidR="00AB26B3" w:rsidRPr="00AB26B3">
              <w:rPr>
                <w:noProof/>
                <w:spacing w:val="-6"/>
                <w:lang w:val="sk-SK"/>
              </w:rPr>
              <w:t xml:space="preserve"> a </w:t>
            </w:r>
            <w:r w:rsidRPr="00AB26B3">
              <w:rPr>
                <w:noProof/>
                <w:spacing w:val="-6"/>
                <w:lang w:val="sk-SK"/>
              </w:rPr>
              <w:t>demonštračných projektov vo veľkých podnikoch</w:t>
            </w:r>
            <w:r w:rsidR="00AB26B3" w:rsidRPr="00AB26B3">
              <w:rPr>
                <w:noProof/>
                <w:spacing w:val="-6"/>
                <w:lang w:val="sk-SK"/>
              </w:rPr>
              <w:t xml:space="preserve"> a </w:t>
            </w:r>
            <w:r w:rsidRPr="00AB26B3">
              <w:rPr>
                <w:noProof/>
                <w:spacing w:val="-6"/>
                <w:lang w:val="sk-SK"/>
              </w:rPr>
              <w:t>podporných opatrení, b) infraštruktúry na digitálnu transformáciu</w:t>
            </w:r>
            <w:r w:rsidR="00AB26B3" w:rsidRPr="00AB26B3">
              <w:rPr>
                <w:noProof/>
                <w:spacing w:val="-6"/>
                <w:lang w:val="sk-SK"/>
              </w:rPr>
              <w:t xml:space="preserve"> a </w:t>
            </w:r>
            <w:r w:rsidRPr="00AB26B3">
              <w:rPr>
                <w:noProof/>
                <w:spacing w:val="-6"/>
                <w:lang w:val="sk-SK"/>
              </w:rPr>
              <w:t>vytvorenie inteligentných priemyselných oblastí, c) slnečnej energie</w:t>
            </w:r>
            <w:r w:rsidR="00AB26B3" w:rsidRPr="00AB26B3">
              <w:rPr>
                <w:noProof/>
                <w:spacing w:val="-6"/>
                <w:lang w:val="sk-SK"/>
              </w:rPr>
              <w:t xml:space="preserve"> z </w:t>
            </w:r>
            <w:r w:rsidRPr="00AB26B3">
              <w:rPr>
                <w:noProof/>
                <w:spacing w:val="-6"/>
                <w:lang w:val="sk-SK"/>
              </w:rPr>
              <w:t>obnoviteľných zdrojov, d) vodného hospodárstva</w:t>
            </w:r>
            <w:r w:rsidR="00AB26B3" w:rsidRPr="00AB26B3">
              <w:rPr>
                <w:noProof/>
                <w:spacing w:val="-6"/>
                <w:lang w:val="sk-SK"/>
              </w:rPr>
              <w:t xml:space="preserve"> a </w:t>
            </w:r>
            <w:r w:rsidRPr="00AB26B3">
              <w:rPr>
                <w:noProof/>
                <w:spacing w:val="-6"/>
                <w:lang w:val="sk-SK"/>
              </w:rPr>
              <w:t>ochrany vodných zdrojov [investície musia mať priemerný index úniku</w:t>
            </w:r>
            <w:r w:rsidR="00AB26B3" w:rsidRPr="00AB26B3">
              <w:rPr>
                <w:noProof/>
                <w:spacing w:val="-6"/>
                <w:lang w:val="sk-SK"/>
              </w:rPr>
              <w:t xml:space="preserve"> z </w:t>
            </w:r>
            <w:r w:rsidRPr="00AB26B3">
              <w:rPr>
                <w:noProof/>
                <w:spacing w:val="-6"/>
                <w:lang w:val="sk-SK"/>
              </w:rPr>
              <w:t>infraštruktúry (Infrastructure Leakage Index – ILI) vo výške &amp; = 1,5], e) systémov zberu</w:t>
            </w:r>
            <w:r w:rsidR="00AB26B3" w:rsidRPr="00AB26B3">
              <w:rPr>
                <w:noProof/>
                <w:spacing w:val="-6"/>
                <w:lang w:val="sk-SK"/>
              </w:rPr>
              <w:t xml:space="preserve"> a </w:t>
            </w:r>
            <w:r w:rsidRPr="00AB26B3">
              <w:rPr>
                <w:noProof/>
                <w:spacing w:val="-6"/>
                <w:lang w:val="sk-SK"/>
              </w:rPr>
              <w:t>čistenia odpadových vôd</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kritériami energetickej efektívnosti, f) elektromobility (rozvoj čerpacích sietí pre elektrické alebo vodíkové vozidlá alebo čerpacích miest pre biometán pre dopravu), g) projektov na obnovu priemyselných lokalít</w:t>
            </w:r>
            <w:r w:rsidR="00AB26B3" w:rsidRPr="00AB26B3">
              <w:rPr>
                <w:noProof/>
                <w:spacing w:val="-6"/>
                <w:lang w:val="sk-SK"/>
              </w:rPr>
              <w:t xml:space="preserve"> a </w:t>
            </w:r>
            <w:r w:rsidRPr="00AB26B3">
              <w:rPr>
                <w:noProof/>
                <w:spacing w:val="-6"/>
                <w:lang w:val="sk-SK"/>
              </w:rPr>
              <w:t>kontaminovaných pozemkov. Referenčný rámec vrátane kritérií oprávnenosti zabezpečí, aby vybrané projekty boli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Significant Harm Technical Guidance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p>
          <w:p w14:paraId="3B7305B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6AF0B55" w14:textId="2699036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Výstavba nových budov musí byť</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potrebou primárnej energie, ktorá je aspoň</w:t>
            </w:r>
            <w:r w:rsidR="00AB26B3" w:rsidRPr="00AB26B3">
              <w:rPr>
                <w:noProof/>
                <w:spacing w:val="-6"/>
                <w:lang w:val="sk-SK"/>
              </w:rPr>
              <w:t xml:space="preserve"> o </w:t>
            </w:r>
            <w:r w:rsidRPr="00AB26B3">
              <w:rPr>
                <w:noProof/>
                <w:spacing w:val="-6"/>
                <w:lang w:val="sk-SK"/>
              </w:rPr>
              <w:t>20</w:t>
            </w:r>
            <w:r w:rsidR="00AB26B3" w:rsidRPr="00AB26B3">
              <w:rPr>
                <w:noProof/>
                <w:spacing w:val="-6"/>
                <w:lang w:val="sk-SK"/>
              </w:rPr>
              <w:t> %</w:t>
            </w:r>
            <w:r w:rsidRPr="00AB26B3">
              <w:rPr>
                <w:noProof/>
                <w:spacing w:val="-6"/>
                <w:lang w:val="sk-SK"/>
              </w:rPr>
              <w:t xml:space="preserve"> nižšia ako požiadavka na budovy</w:t>
            </w:r>
            <w:r w:rsidR="00AB26B3" w:rsidRPr="00AB26B3">
              <w:rPr>
                <w:noProof/>
                <w:spacing w:val="-6"/>
                <w:lang w:val="sk-SK"/>
              </w:rPr>
              <w:t xml:space="preserve"> s </w:t>
            </w:r>
            <w:r w:rsidRPr="00AB26B3">
              <w:rPr>
                <w:noProof/>
                <w:spacing w:val="-6"/>
                <w:lang w:val="sk-SK"/>
              </w:rPr>
              <w:t>takmer nulovou spotrebou energie (budova</w:t>
            </w:r>
            <w:r w:rsidR="00AB26B3" w:rsidRPr="00AB26B3">
              <w:rPr>
                <w:noProof/>
                <w:spacing w:val="-6"/>
                <w:lang w:val="sk-SK"/>
              </w:rPr>
              <w:t xml:space="preserve"> s </w:t>
            </w:r>
            <w:r w:rsidRPr="00AB26B3">
              <w:rPr>
                <w:noProof/>
                <w:spacing w:val="-6"/>
                <w:lang w:val="sk-SK"/>
              </w:rPr>
              <w:t>takmer nulovou spotrebou energie, vnútroštátne smernice).</w:t>
            </w:r>
            <w:r w:rsidR="00AB26B3" w:rsidRPr="00AB26B3">
              <w:rPr>
                <w:noProof/>
                <w:spacing w:val="-6"/>
                <w:lang w:val="sk-SK"/>
              </w:rPr>
              <w:t xml:space="preserve"> V </w:t>
            </w:r>
            <w:r w:rsidRPr="00AB26B3">
              <w:rPr>
                <w:noProof/>
                <w:spacing w:val="-6"/>
                <w:lang w:val="sk-SK"/>
              </w:rPr>
              <w:t>prípade výstavby systémov odpadových vôd medzi koncovými bodmi musí mať opatrenie nulovú čistú spotrebu energie</w:t>
            </w:r>
            <w:r w:rsidR="00AB26B3" w:rsidRPr="00AB26B3">
              <w:rPr>
                <w:noProof/>
                <w:spacing w:val="-6"/>
                <w:lang w:val="sk-SK"/>
              </w:rPr>
              <w:t xml:space="preserve"> a v </w:t>
            </w:r>
            <w:r w:rsidRPr="00AB26B3">
              <w:rPr>
                <w:noProof/>
                <w:spacing w:val="-6"/>
                <w:lang w:val="sk-SK"/>
              </w:rPr>
              <w:t>prípade obnovy systémov odpadových vôd medzi koncovými bodmi musí opatrenie viesť</w:t>
            </w:r>
            <w:r w:rsidR="00AB26B3" w:rsidRPr="00AB26B3">
              <w:rPr>
                <w:noProof/>
                <w:spacing w:val="-6"/>
                <w:lang w:val="sk-SK"/>
              </w:rPr>
              <w:t xml:space="preserve"> k </w:t>
            </w:r>
            <w:r w:rsidRPr="00AB26B3">
              <w:rPr>
                <w:noProof/>
                <w:spacing w:val="-6"/>
                <w:lang w:val="sk-SK"/>
              </w:rPr>
              <w:t>zníženiu priemernej spotreby energie aspoň</w:t>
            </w:r>
            <w:r w:rsidR="00AB26B3" w:rsidRPr="00AB26B3">
              <w:rPr>
                <w:noProof/>
                <w:spacing w:val="-6"/>
                <w:lang w:val="sk-SK"/>
              </w:rPr>
              <w:t xml:space="preserve"> o </w:t>
            </w:r>
            <w:r w:rsidRPr="00AB26B3">
              <w:rPr>
                <w:noProof/>
                <w:spacing w:val="-6"/>
                <w:lang w:val="sk-SK"/>
              </w:rPr>
              <w:t>10</w:t>
            </w:r>
            <w:r w:rsidR="00AB26B3" w:rsidRPr="00AB26B3">
              <w:rPr>
                <w:noProof/>
                <w:spacing w:val="-6"/>
                <w:lang w:val="sk-SK"/>
              </w:rPr>
              <w:t> %</w:t>
            </w:r>
            <w:r w:rsidRPr="00AB26B3">
              <w:rPr>
                <w:noProof/>
                <w:spacing w:val="-6"/>
                <w:lang w:val="sk-SK"/>
              </w:rPr>
              <w:t xml:space="preserve"> (výlučne opatreniami energetickej efektívnosti,</w:t>
            </w:r>
            <w:r w:rsidR="00AB26B3" w:rsidRPr="00AB26B3">
              <w:rPr>
                <w:noProof/>
                <w:spacing w:val="-6"/>
                <w:lang w:val="sk-SK"/>
              </w:rPr>
              <w:t xml:space="preserve"> a </w:t>
            </w:r>
            <w:r w:rsidRPr="00AB26B3">
              <w:rPr>
                <w:noProof/>
                <w:spacing w:val="-6"/>
                <w:lang w:val="sk-SK"/>
              </w:rPr>
              <w:t>nie podstatnými zmenami alebo zmenami zaťaženia). Investície do elektromobility musia byť</w:t>
            </w:r>
            <w:r w:rsidR="00AB26B3" w:rsidRPr="00AB26B3">
              <w:rPr>
                <w:noProof/>
                <w:spacing w:val="-6"/>
                <w:lang w:val="sk-SK"/>
              </w:rPr>
              <w:t xml:space="preserve"> v </w:t>
            </w:r>
            <w:r w:rsidRPr="00AB26B3">
              <w:rPr>
                <w:noProof/>
                <w:spacing w:val="-6"/>
                <w:lang w:val="sk-SK"/>
              </w:rPr>
              <w:t>súlade so smernicou (EÚ) 2018/2001</w:t>
            </w:r>
            <w:r w:rsidR="00AB26B3" w:rsidRPr="00AB26B3">
              <w:rPr>
                <w:noProof/>
                <w:spacing w:val="-6"/>
                <w:lang w:val="sk-SK"/>
              </w:rPr>
              <w:t xml:space="preserve"> a </w:t>
            </w:r>
            <w:r w:rsidRPr="00AB26B3">
              <w:rPr>
                <w:noProof/>
                <w:spacing w:val="-6"/>
                <w:lang w:val="sk-SK"/>
              </w:rPr>
              <w:t>musia sa týkať alternatívnych palív pre dopravu.</w:t>
            </w:r>
          </w:p>
        </w:tc>
      </w:tr>
      <w:tr w:rsidR="00302FC1" w:rsidRPr="00AB26B3" w14:paraId="36C24488" w14:textId="77777777">
        <w:trPr>
          <w:trHeight w:val="313"/>
          <w:jc w:val="center"/>
        </w:trPr>
        <w:tc>
          <w:tcPr>
            <w:tcW w:w="619" w:type="dxa"/>
            <w:shd w:val="clear" w:color="auto" w:fill="C6EFCE"/>
            <w:noWrap/>
          </w:tcPr>
          <w:p w14:paraId="2DB137C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302</w:t>
            </w:r>
          </w:p>
        </w:tc>
        <w:tc>
          <w:tcPr>
            <w:tcW w:w="2084" w:type="dxa"/>
            <w:shd w:val="clear" w:color="auto" w:fill="C6EFCE"/>
            <w:noWrap/>
          </w:tcPr>
          <w:p w14:paraId="02B49FC3" w14:textId="18DC146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16634_Nové priemyselné parky</w:t>
            </w:r>
          </w:p>
        </w:tc>
        <w:tc>
          <w:tcPr>
            <w:tcW w:w="1298" w:type="dxa"/>
            <w:shd w:val="clear" w:color="auto" w:fill="C6EFCE"/>
            <w:noWrap/>
          </w:tcPr>
          <w:p w14:paraId="6661BB9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tcPr>
          <w:p w14:paraId="4E66F2E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Priemyselné parky – legislatívna reforma (primárne právo)</w:t>
            </w:r>
          </w:p>
        </w:tc>
        <w:tc>
          <w:tcPr>
            <w:tcW w:w="1823" w:type="dxa"/>
            <w:shd w:val="clear" w:color="auto" w:fill="C6EFCE"/>
            <w:noWrap/>
          </w:tcPr>
          <w:p w14:paraId="5E80ED8B" w14:textId="08E76B8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právnych predpisov</w:t>
            </w:r>
            <w:r w:rsidR="00AB26B3" w:rsidRPr="00AB26B3">
              <w:rPr>
                <w:noProof/>
                <w:spacing w:val="-6"/>
                <w:lang w:val="sk-SK"/>
              </w:rPr>
              <w:t xml:space="preserve"> v </w:t>
            </w:r>
            <w:r w:rsidRPr="00AB26B3">
              <w:rPr>
                <w:noProof/>
                <w:spacing w:val="-6"/>
                <w:lang w:val="sk-SK"/>
              </w:rPr>
              <w:t>úradnom vestníku</w:t>
            </w:r>
          </w:p>
        </w:tc>
        <w:tc>
          <w:tcPr>
            <w:tcW w:w="866" w:type="dxa"/>
            <w:shd w:val="clear" w:color="auto" w:fill="C6EFCE"/>
            <w:noWrap/>
          </w:tcPr>
          <w:p w14:paraId="1325C9B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2BB8FBC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1" w:type="dxa"/>
            <w:shd w:val="clear" w:color="auto" w:fill="C6EFCE"/>
            <w:noWrap/>
          </w:tcPr>
          <w:p w14:paraId="729FC9E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771156C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09" w:type="dxa"/>
            <w:shd w:val="clear" w:color="auto" w:fill="C6EFCE"/>
            <w:noWrap/>
          </w:tcPr>
          <w:p w14:paraId="6F3A91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308" w:type="dxa"/>
            <w:shd w:val="clear" w:color="auto" w:fill="C6EFCE"/>
            <w:noWrap/>
          </w:tcPr>
          <w:p w14:paraId="34F504B4" w14:textId="78E4189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Prijatie primárnych právnych predpisov na zlepšenie regulačného rámca pre priemyselné obchodné parky vrátane riešenia právnej neistoty, riešenia otázok riadenia</w:t>
            </w:r>
            <w:r w:rsidR="00AB26B3" w:rsidRPr="00AB26B3">
              <w:rPr>
                <w:noProof/>
                <w:spacing w:val="-6"/>
                <w:lang w:val="sk-SK"/>
              </w:rPr>
              <w:t xml:space="preserve"> a </w:t>
            </w:r>
            <w:r w:rsidRPr="00AB26B3">
              <w:rPr>
                <w:noProof/>
                <w:spacing w:val="-6"/>
                <w:lang w:val="sk-SK"/>
              </w:rPr>
              <w:t>poskytovania účinných stimulov na riešenie neformálnych priemyselných koncentrácií</w:t>
            </w:r>
          </w:p>
        </w:tc>
      </w:tr>
      <w:tr w:rsidR="00302FC1" w:rsidRPr="00AB26B3" w14:paraId="5819E283" w14:textId="77777777">
        <w:trPr>
          <w:trHeight w:val="313"/>
          <w:jc w:val="center"/>
        </w:trPr>
        <w:tc>
          <w:tcPr>
            <w:tcW w:w="619" w:type="dxa"/>
            <w:shd w:val="clear" w:color="auto" w:fill="C6EFCE"/>
            <w:noWrap/>
            <w:hideMark/>
          </w:tcPr>
          <w:p w14:paraId="55CBF8C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303</w:t>
            </w:r>
          </w:p>
        </w:tc>
        <w:tc>
          <w:tcPr>
            <w:tcW w:w="2084" w:type="dxa"/>
            <w:shd w:val="clear" w:color="auto" w:fill="C6EFCE"/>
            <w:noWrap/>
            <w:hideMark/>
          </w:tcPr>
          <w:p w14:paraId="0D132523" w14:textId="1942BAC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16593_Zmena právneho rámca pre prilákanie strategických investícií</w:t>
            </w:r>
          </w:p>
        </w:tc>
        <w:tc>
          <w:tcPr>
            <w:tcW w:w="1298" w:type="dxa"/>
            <w:shd w:val="clear" w:color="auto" w:fill="C6EFCE"/>
            <w:noWrap/>
            <w:hideMark/>
          </w:tcPr>
          <w:p w14:paraId="3284707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hideMark/>
          </w:tcPr>
          <w:p w14:paraId="1DDAE99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Strategické investície – výber oprávnených projektov</w:t>
            </w:r>
          </w:p>
        </w:tc>
        <w:tc>
          <w:tcPr>
            <w:tcW w:w="1823" w:type="dxa"/>
            <w:shd w:val="clear" w:color="auto" w:fill="C6EFCE"/>
            <w:noWrap/>
            <w:hideMark/>
          </w:tcPr>
          <w:p w14:paraId="723FD1F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Výber „emblematických investícií veľkého významu“ oprávnených na financovanie </w:t>
            </w:r>
          </w:p>
        </w:tc>
        <w:tc>
          <w:tcPr>
            <w:tcW w:w="866" w:type="dxa"/>
            <w:shd w:val="clear" w:color="auto" w:fill="C6EFCE"/>
            <w:noWrap/>
            <w:hideMark/>
          </w:tcPr>
          <w:p w14:paraId="1567E7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57" w:type="dxa"/>
            <w:shd w:val="clear" w:color="auto" w:fill="C6EFCE"/>
            <w:noWrap/>
            <w:hideMark/>
          </w:tcPr>
          <w:p w14:paraId="4E26E91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691" w:type="dxa"/>
            <w:shd w:val="clear" w:color="auto" w:fill="C6EFCE"/>
            <w:noWrap/>
            <w:hideMark/>
          </w:tcPr>
          <w:p w14:paraId="45C8E7A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51" w:type="dxa"/>
            <w:shd w:val="clear" w:color="auto" w:fill="C6EFCE"/>
            <w:noWrap/>
            <w:hideMark/>
          </w:tcPr>
          <w:p w14:paraId="476CCD4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hideMark/>
          </w:tcPr>
          <w:p w14:paraId="340B4F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4308" w:type="dxa"/>
            <w:shd w:val="clear" w:color="auto" w:fill="C6EFCE"/>
            <w:noWrap/>
            <w:hideMark/>
          </w:tcPr>
          <w:p w14:paraId="7A1C082F" w14:textId="39E7F6B6" w:rsidR="00AB26B3" w:rsidRPr="00AB26B3" w:rsidRDefault="00D64F26">
            <w:pPr>
              <w:pStyle w:val="P68B1DB1-Normal12"/>
              <w:spacing w:after="0" w:line="240" w:lineRule="auto"/>
              <w:rPr>
                <w:noProof/>
                <w:spacing w:val="-6"/>
                <w:lang w:val="sk-SK"/>
              </w:rPr>
            </w:pPr>
            <w:r w:rsidRPr="00AB26B3">
              <w:rPr>
                <w:noProof/>
                <w:spacing w:val="-6"/>
                <w:lang w:val="sk-SK"/>
              </w:rPr>
              <w:t>Výber „emblematických investícií veľkého významu“ prostredníctvom rozhodnutia</w:t>
            </w:r>
            <w:r w:rsidR="00AB26B3" w:rsidRPr="00AB26B3">
              <w:rPr>
                <w:noProof/>
                <w:spacing w:val="-6"/>
                <w:lang w:val="sk-SK"/>
              </w:rPr>
              <w:t xml:space="preserve"> o </w:t>
            </w:r>
            <w:r w:rsidRPr="00AB26B3">
              <w:rPr>
                <w:noProof/>
                <w:spacing w:val="-6"/>
                <w:lang w:val="sk-SK"/>
              </w:rPr>
              <w:t>schválení Medzirezortného výboru pre strategické investície (potvrdené uverejnením rozhodnutia). Pokiaľ ide</w:t>
            </w:r>
            <w:r w:rsidR="00AB26B3" w:rsidRPr="00AB26B3">
              <w:rPr>
                <w:noProof/>
                <w:spacing w:val="-6"/>
                <w:lang w:val="sk-SK"/>
              </w:rPr>
              <w:t xml:space="preserve"> o </w:t>
            </w:r>
            <w:r w:rsidRPr="00AB26B3">
              <w:rPr>
                <w:noProof/>
                <w:spacing w:val="-6"/>
                <w:lang w:val="sk-SK"/>
              </w:rPr>
              <w:t>investície do energetiky, oprávnené investície zahŕňajú investície do a) infraštruktúry</w:t>
            </w:r>
            <w:r w:rsidR="00AB26B3" w:rsidRPr="00AB26B3">
              <w:rPr>
                <w:noProof/>
                <w:spacing w:val="-6"/>
                <w:lang w:val="sk-SK"/>
              </w:rPr>
              <w:t xml:space="preserve"> s </w:t>
            </w:r>
            <w:r w:rsidRPr="00AB26B3">
              <w:rPr>
                <w:noProof/>
                <w:spacing w:val="-6"/>
                <w:lang w:val="sk-SK"/>
              </w:rPr>
              <w:t>osobitnými energetickými kritériami na výstavbu nových budov, b) hybridných projektov výroby energie</w:t>
            </w:r>
            <w:r w:rsidR="00AB26B3" w:rsidRPr="00AB26B3">
              <w:rPr>
                <w:noProof/>
                <w:spacing w:val="-6"/>
                <w:lang w:val="sk-SK"/>
              </w:rPr>
              <w:t xml:space="preserve"> z </w:t>
            </w:r>
            <w:r w:rsidRPr="00AB26B3">
              <w:rPr>
                <w:noProof/>
                <w:spacing w:val="-6"/>
                <w:lang w:val="sk-SK"/>
              </w:rPr>
              <w:t>obnoviteľných zdrojov na neprepojených ostrovoch, c) investícií do výroby ekologického vodíka, d) systémov na uskladňovanie elektrickej energie vyrobenej</w:t>
            </w:r>
            <w:r w:rsidR="00AB26B3" w:rsidRPr="00AB26B3">
              <w:rPr>
                <w:noProof/>
                <w:spacing w:val="-6"/>
                <w:lang w:val="sk-SK"/>
              </w:rPr>
              <w:t xml:space="preserve"> z </w:t>
            </w:r>
            <w:r w:rsidRPr="00AB26B3">
              <w:rPr>
                <w:noProof/>
                <w:spacing w:val="-6"/>
                <w:lang w:val="sk-SK"/>
              </w:rPr>
              <w:t>obnoviteľných zdrojov energie alebo e) zariadení veterných parkov na mori</w:t>
            </w:r>
            <w:r w:rsidR="00AB26B3" w:rsidRPr="00AB26B3">
              <w:rPr>
                <w:noProof/>
                <w:spacing w:val="-6"/>
                <w:lang w:val="sk-SK"/>
              </w:rPr>
              <w:t xml:space="preserve"> a </w:t>
            </w:r>
            <w:r w:rsidRPr="00AB26B3">
              <w:rPr>
                <w:noProof/>
                <w:spacing w:val="-6"/>
                <w:lang w:val="sk-SK"/>
              </w:rPr>
              <w:t>fotovoltických parkov na mori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w:t>
            </w:r>
            <w:r w:rsidR="00AB26B3" w:rsidRPr="00AB26B3">
              <w:rPr>
                <w:noProof/>
                <w:spacing w:val="-6"/>
                <w:lang w:val="sk-SK"/>
              </w:rPr>
              <w:t xml:space="preserve"> k </w:t>
            </w:r>
            <w:r w:rsidRPr="00AB26B3">
              <w:rPr>
                <w:noProof/>
                <w:spacing w:val="-6"/>
                <w:lang w:val="sk-SK"/>
              </w:rPr>
              <w:t>zásade „výrazne nenarušiť“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r w:rsidR="00AB26B3" w:rsidRPr="00AB26B3">
              <w:rPr>
                <w:noProof/>
                <w:spacing w:val="-6"/>
                <w:lang w:val="sk-SK"/>
              </w:rPr>
              <w:t>.</w:t>
            </w:r>
          </w:p>
          <w:p w14:paraId="17E17EA9" w14:textId="7BDA2074"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40C4C72D" w14:textId="12D67B4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Výstavba nových budov musí byť</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potrebou primárnej energie, ktorá je aspoň</w:t>
            </w:r>
            <w:r w:rsidR="00AB26B3" w:rsidRPr="00AB26B3">
              <w:rPr>
                <w:noProof/>
                <w:spacing w:val="-6"/>
                <w:lang w:val="sk-SK"/>
              </w:rPr>
              <w:t xml:space="preserve"> o </w:t>
            </w:r>
            <w:r w:rsidRPr="00AB26B3">
              <w:rPr>
                <w:noProof/>
                <w:spacing w:val="-6"/>
                <w:lang w:val="sk-SK"/>
              </w:rPr>
              <w:t>20</w:t>
            </w:r>
            <w:r w:rsidR="00AB26B3" w:rsidRPr="00AB26B3">
              <w:rPr>
                <w:noProof/>
                <w:spacing w:val="-6"/>
                <w:lang w:val="sk-SK"/>
              </w:rPr>
              <w:t> %</w:t>
            </w:r>
            <w:r w:rsidRPr="00AB26B3">
              <w:rPr>
                <w:noProof/>
                <w:spacing w:val="-6"/>
                <w:lang w:val="sk-SK"/>
              </w:rPr>
              <w:t xml:space="preserve"> nižšia ako požiadavka na budovy</w:t>
            </w:r>
            <w:r w:rsidR="00AB26B3" w:rsidRPr="00AB26B3">
              <w:rPr>
                <w:noProof/>
                <w:spacing w:val="-6"/>
                <w:lang w:val="sk-SK"/>
              </w:rPr>
              <w:t xml:space="preserve"> s </w:t>
            </w:r>
            <w:r w:rsidRPr="00AB26B3">
              <w:rPr>
                <w:noProof/>
                <w:spacing w:val="-6"/>
                <w:lang w:val="sk-SK"/>
              </w:rPr>
              <w:t>takmer nulovou spotrebou energie (budova</w:t>
            </w:r>
            <w:r w:rsidR="00AB26B3" w:rsidRPr="00AB26B3">
              <w:rPr>
                <w:noProof/>
                <w:spacing w:val="-6"/>
                <w:lang w:val="sk-SK"/>
              </w:rPr>
              <w:t xml:space="preserve"> s </w:t>
            </w:r>
            <w:r w:rsidRPr="00AB26B3">
              <w:rPr>
                <w:noProof/>
                <w:spacing w:val="-6"/>
                <w:lang w:val="sk-SK"/>
              </w:rPr>
              <w:t>takmer nulovou spotrebou energie, vnútroštátne smernice).</w:t>
            </w:r>
          </w:p>
        </w:tc>
      </w:tr>
      <w:tr w:rsidR="00302FC1" w:rsidRPr="00AB26B3" w14:paraId="070DFD00" w14:textId="77777777">
        <w:trPr>
          <w:trHeight w:val="313"/>
          <w:jc w:val="center"/>
        </w:trPr>
        <w:tc>
          <w:tcPr>
            <w:tcW w:w="619" w:type="dxa"/>
            <w:shd w:val="clear" w:color="auto" w:fill="C6EFCE"/>
            <w:noWrap/>
            <w:hideMark/>
          </w:tcPr>
          <w:p w14:paraId="74139B4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304</w:t>
            </w:r>
          </w:p>
        </w:tc>
        <w:tc>
          <w:tcPr>
            <w:tcW w:w="2084" w:type="dxa"/>
            <w:shd w:val="clear" w:color="auto" w:fill="C6EFCE"/>
            <w:noWrap/>
            <w:hideMark/>
          </w:tcPr>
          <w:p w14:paraId="2F38A48C" w14:textId="2F61EE9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16634_Nové priemyselné parky</w:t>
            </w:r>
          </w:p>
        </w:tc>
        <w:tc>
          <w:tcPr>
            <w:tcW w:w="1298" w:type="dxa"/>
            <w:shd w:val="clear" w:color="auto" w:fill="C6EFCE"/>
            <w:noWrap/>
            <w:hideMark/>
          </w:tcPr>
          <w:p w14:paraId="2B0D59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hideMark/>
          </w:tcPr>
          <w:p w14:paraId="3A37869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Priemyselné parky – legislatívna reforma (sekundárne právne predpisy)</w:t>
            </w:r>
          </w:p>
        </w:tc>
        <w:tc>
          <w:tcPr>
            <w:tcW w:w="1823" w:type="dxa"/>
            <w:shd w:val="clear" w:color="auto" w:fill="C6EFCE"/>
            <w:noWrap/>
            <w:hideMark/>
          </w:tcPr>
          <w:p w14:paraId="7F322E4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všetkých požadovaných právnych predpisov </w:t>
            </w:r>
          </w:p>
        </w:tc>
        <w:tc>
          <w:tcPr>
            <w:tcW w:w="866" w:type="dxa"/>
            <w:shd w:val="clear" w:color="auto" w:fill="C6EFCE"/>
            <w:noWrap/>
            <w:hideMark/>
          </w:tcPr>
          <w:p w14:paraId="4326768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57" w:type="dxa"/>
            <w:shd w:val="clear" w:color="auto" w:fill="C6EFCE"/>
            <w:noWrap/>
            <w:hideMark/>
          </w:tcPr>
          <w:p w14:paraId="359E8C0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691" w:type="dxa"/>
            <w:shd w:val="clear" w:color="auto" w:fill="C6EFCE"/>
            <w:noWrap/>
            <w:hideMark/>
          </w:tcPr>
          <w:p w14:paraId="1E6F116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 </w:t>
            </w:r>
          </w:p>
        </w:tc>
        <w:tc>
          <w:tcPr>
            <w:tcW w:w="851" w:type="dxa"/>
            <w:shd w:val="clear" w:color="auto" w:fill="C6EFCE"/>
            <w:noWrap/>
            <w:hideMark/>
          </w:tcPr>
          <w:p w14:paraId="25FC92D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9" w:type="dxa"/>
            <w:shd w:val="clear" w:color="auto" w:fill="C6EFCE"/>
            <w:noWrap/>
            <w:hideMark/>
          </w:tcPr>
          <w:p w14:paraId="6599E87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308" w:type="dxa"/>
            <w:shd w:val="clear" w:color="auto" w:fill="C6EFCE"/>
            <w:noWrap/>
            <w:hideMark/>
          </w:tcPr>
          <w:p w14:paraId="5C781D6E" w14:textId="335D9E4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všetkých potrebných sekundárnych právnych predpisov na sfunkčnenie nového rámca na zlepšenie regulačného rámca pre priemyselné podnikateľské parky vrátane riešenia právnej neistoty, riešenia otázok riadenia</w:t>
            </w:r>
            <w:r w:rsidR="00AB26B3" w:rsidRPr="00AB26B3">
              <w:rPr>
                <w:noProof/>
                <w:spacing w:val="-6"/>
                <w:lang w:val="sk-SK"/>
              </w:rPr>
              <w:t xml:space="preserve"> a </w:t>
            </w:r>
            <w:r w:rsidRPr="00AB26B3">
              <w:rPr>
                <w:noProof/>
                <w:spacing w:val="-6"/>
                <w:lang w:val="sk-SK"/>
              </w:rPr>
              <w:t>poskytovania účinných stimulov na riešenie neformálnych priemyselných koncentrácií.</w:t>
            </w:r>
          </w:p>
        </w:tc>
      </w:tr>
      <w:tr w:rsidR="00302FC1" w:rsidRPr="00AB26B3" w14:paraId="3C44F1D0" w14:textId="77777777">
        <w:trPr>
          <w:trHeight w:val="313"/>
          <w:jc w:val="center"/>
        </w:trPr>
        <w:tc>
          <w:tcPr>
            <w:tcW w:w="619" w:type="dxa"/>
            <w:shd w:val="clear" w:color="auto" w:fill="C6EFCE"/>
            <w:noWrap/>
          </w:tcPr>
          <w:p w14:paraId="3EAF9C0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307</w:t>
            </w:r>
          </w:p>
        </w:tc>
        <w:tc>
          <w:tcPr>
            <w:tcW w:w="2084" w:type="dxa"/>
            <w:shd w:val="clear" w:color="auto" w:fill="C6EFCE"/>
            <w:noWrap/>
          </w:tcPr>
          <w:p w14:paraId="720186C4" w14:textId="1D9CC29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16634_ Priemyselné parky</w:t>
            </w:r>
          </w:p>
        </w:tc>
        <w:tc>
          <w:tcPr>
            <w:tcW w:w="1298" w:type="dxa"/>
            <w:shd w:val="clear" w:color="auto" w:fill="C6EFCE"/>
            <w:noWrap/>
          </w:tcPr>
          <w:p w14:paraId="3F9BFF5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tcPr>
          <w:p w14:paraId="5E9EB8D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Priemyselné parky – realizácia investičných plánov</w:t>
            </w:r>
          </w:p>
        </w:tc>
        <w:tc>
          <w:tcPr>
            <w:tcW w:w="1823" w:type="dxa"/>
            <w:shd w:val="clear" w:color="auto" w:fill="C6EFCE"/>
            <w:noWrap/>
          </w:tcPr>
          <w:p w14:paraId="0A25F7F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investičných plánov</w:t>
            </w:r>
          </w:p>
          <w:p w14:paraId="6DA64266" w14:textId="77777777" w:rsidR="00302FC1" w:rsidRPr="00AB26B3" w:rsidRDefault="00302FC1">
            <w:pPr>
              <w:spacing w:after="0" w:line="240" w:lineRule="auto"/>
              <w:ind w:left="198" w:hanging="198"/>
              <w:rPr>
                <w:rFonts w:ascii="Times New Roman" w:eastAsia="Times New Roman" w:hAnsi="Times New Roman" w:cs="Times New Roman"/>
                <w:noProof/>
                <w:color w:val="006100"/>
                <w:spacing w:val="-6"/>
                <w:sz w:val="18"/>
                <w:szCs w:val="18"/>
                <w:lang w:val="sk-SK"/>
              </w:rPr>
            </w:pPr>
          </w:p>
        </w:tc>
        <w:tc>
          <w:tcPr>
            <w:tcW w:w="866" w:type="dxa"/>
            <w:shd w:val="clear" w:color="auto" w:fill="C6EFCE"/>
            <w:noWrap/>
          </w:tcPr>
          <w:p w14:paraId="1E4E3F7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3AE4733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1" w:type="dxa"/>
            <w:shd w:val="clear" w:color="auto" w:fill="C6EFCE"/>
            <w:noWrap/>
          </w:tcPr>
          <w:p w14:paraId="6925FD4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7172218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427DDDC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308" w:type="dxa"/>
            <w:shd w:val="clear" w:color="auto" w:fill="C6EFCE"/>
            <w:noWrap/>
          </w:tcPr>
          <w:p w14:paraId="71B15CE0" w14:textId="5F8153A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investičných plánov pre celkovo 22 priemyselných parkov</w:t>
            </w:r>
            <w:r w:rsidR="00AB26B3" w:rsidRPr="00AB26B3">
              <w:rPr>
                <w:noProof/>
                <w:spacing w:val="-6"/>
                <w:lang w:val="sk-SK"/>
              </w:rPr>
              <w:t xml:space="preserve"> a </w:t>
            </w:r>
            <w:r w:rsidRPr="00AB26B3">
              <w:rPr>
                <w:noProof/>
                <w:spacing w:val="-6"/>
                <w:lang w:val="sk-SK"/>
              </w:rPr>
              <w:t>rozvodní na prenos elektrickej energie vybraných</w:t>
            </w:r>
            <w:r w:rsidR="00AB26B3" w:rsidRPr="00AB26B3">
              <w:rPr>
                <w:noProof/>
                <w:spacing w:val="-6"/>
                <w:lang w:val="sk-SK"/>
              </w:rPr>
              <w:t xml:space="preserve"> v </w:t>
            </w:r>
            <w:r w:rsidRPr="00AB26B3">
              <w:rPr>
                <w:noProof/>
                <w:spacing w:val="-6"/>
                <w:lang w:val="sk-SK"/>
              </w:rPr>
              <w:t xml:space="preserve">rámci výzvy na predkladanie návrhov. </w:t>
            </w:r>
          </w:p>
        </w:tc>
      </w:tr>
      <w:tr w:rsidR="00302FC1" w:rsidRPr="00AB26B3" w14:paraId="2AB6F2EE" w14:textId="77777777">
        <w:trPr>
          <w:trHeight w:val="313"/>
          <w:jc w:val="center"/>
        </w:trPr>
        <w:tc>
          <w:tcPr>
            <w:tcW w:w="619" w:type="dxa"/>
            <w:shd w:val="clear" w:color="auto" w:fill="C6EFCE"/>
            <w:noWrap/>
          </w:tcPr>
          <w:p w14:paraId="3BFD9CE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308</w:t>
            </w:r>
          </w:p>
        </w:tc>
        <w:tc>
          <w:tcPr>
            <w:tcW w:w="2084" w:type="dxa"/>
            <w:shd w:val="clear" w:color="auto" w:fill="C6EFCE"/>
            <w:noWrap/>
          </w:tcPr>
          <w:p w14:paraId="0B78B8FD" w14:textId="033778B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16593_Zmena právneho rámca pre prilákanie strategických investícií</w:t>
            </w:r>
          </w:p>
        </w:tc>
        <w:tc>
          <w:tcPr>
            <w:tcW w:w="1298" w:type="dxa"/>
            <w:shd w:val="clear" w:color="auto" w:fill="C6EFCE"/>
            <w:noWrap/>
          </w:tcPr>
          <w:p w14:paraId="315D737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tcPr>
          <w:p w14:paraId="69226BF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Strategické investície – vykonávanie investičných plánov</w:t>
            </w:r>
          </w:p>
        </w:tc>
        <w:tc>
          <w:tcPr>
            <w:tcW w:w="1823" w:type="dxa"/>
            <w:shd w:val="clear" w:color="auto" w:fill="C6EFCE"/>
            <w:noWrap/>
          </w:tcPr>
          <w:p w14:paraId="68960D7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Realizácia investičných plánov </w:t>
            </w:r>
          </w:p>
        </w:tc>
        <w:tc>
          <w:tcPr>
            <w:tcW w:w="866" w:type="dxa"/>
            <w:shd w:val="clear" w:color="auto" w:fill="C6EFCE"/>
            <w:noWrap/>
          </w:tcPr>
          <w:p w14:paraId="5F8EB94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016619E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1" w:type="dxa"/>
            <w:shd w:val="clear" w:color="auto" w:fill="C6EFCE"/>
            <w:noWrap/>
          </w:tcPr>
          <w:p w14:paraId="44FD8A1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4DA76AE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2ABCD6F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308" w:type="dxa"/>
            <w:shd w:val="clear" w:color="auto" w:fill="C6EFCE"/>
            <w:noWrap/>
          </w:tcPr>
          <w:p w14:paraId="29909528" w14:textId="5EF47D2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investičných plánov pre 5 emblematických investícií veľkého významu vybraných</w:t>
            </w:r>
            <w:r w:rsidR="00AB26B3" w:rsidRPr="00AB26B3">
              <w:rPr>
                <w:noProof/>
                <w:spacing w:val="-6"/>
                <w:lang w:val="sk-SK"/>
              </w:rPr>
              <w:t xml:space="preserve"> v </w:t>
            </w:r>
            <w:r w:rsidRPr="00AB26B3">
              <w:rPr>
                <w:noProof/>
                <w:spacing w:val="-6"/>
                <w:lang w:val="sk-SK"/>
              </w:rPr>
              <w:t>súlade so schvaľovacími rozhodnutiami Medzirezortného výboru pre strategické investície.</w:t>
            </w:r>
          </w:p>
        </w:tc>
      </w:tr>
      <w:tr w:rsidR="00302FC1" w:rsidRPr="00AB26B3" w14:paraId="242B2039" w14:textId="77777777">
        <w:trPr>
          <w:trHeight w:val="313"/>
          <w:jc w:val="center"/>
        </w:trPr>
        <w:tc>
          <w:tcPr>
            <w:tcW w:w="619" w:type="dxa"/>
            <w:shd w:val="clear" w:color="auto" w:fill="C6EFCE"/>
            <w:noWrap/>
          </w:tcPr>
          <w:p w14:paraId="47924E4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309</w:t>
            </w:r>
          </w:p>
        </w:tc>
        <w:tc>
          <w:tcPr>
            <w:tcW w:w="2084" w:type="dxa"/>
            <w:shd w:val="clear" w:color="auto" w:fill="C6EFCE"/>
            <w:noWrap/>
          </w:tcPr>
          <w:p w14:paraId="52D2E8DE" w14:textId="74DC461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16721_Urýchlenie inteligentnej výroby</w:t>
            </w:r>
          </w:p>
        </w:tc>
        <w:tc>
          <w:tcPr>
            <w:tcW w:w="1298" w:type="dxa"/>
            <w:shd w:val="clear" w:color="auto" w:fill="C6EFCE"/>
            <w:noWrap/>
          </w:tcPr>
          <w:p w14:paraId="003C610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96" w:type="dxa"/>
            <w:shd w:val="clear" w:color="auto" w:fill="C6EFCE"/>
            <w:noWrap/>
          </w:tcPr>
          <w:p w14:paraId="2762C486" w14:textId="000E1A9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Výrobný sektor – vykonávanie investičných plánov</w:t>
            </w:r>
          </w:p>
        </w:tc>
        <w:tc>
          <w:tcPr>
            <w:tcW w:w="1823" w:type="dxa"/>
            <w:shd w:val="clear" w:color="auto" w:fill="C6EFCE"/>
            <w:noWrap/>
          </w:tcPr>
          <w:p w14:paraId="131A1C0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Realizácia investičných plánov </w:t>
            </w:r>
          </w:p>
        </w:tc>
        <w:tc>
          <w:tcPr>
            <w:tcW w:w="866" w:type="dxa"/>
            <w:shd w:val="clear" w:color="auto" w:fill="C6EFCE"/>
            <w:noWrap/>
          </w:tcPr>
          <w:p w14:paraId="6BB113A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034AC2F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691" w:type="dxa"/>
            <w:shd w:val="clear" w:color="auto" w:fill="C6EFCE"/>
            <w:noWrap/>
          </w:tcPr>
          <w:p w14:paraId="6626F9B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shd w:val="clear" w:color="auto" w:fill="C6EFCE"/>
            <w:noWrap/>
          </w:tcPr>
          <w:p w14:paraId="0046B5D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9" w:type="dxa"/>
            <w:shd w:val="clear" w:color="auto" w:fill="C6EFCE"/>
            <w:noWrap/>
          </w:tcPr>
          <w:p w14:paraId="33BB4AE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308" w:type="dxa"/>
            <w:shd w:val="clear" w:color="auto" w:fill="C6EFCE"/>
            <w:noWrap/>
          </w:tcPr>
          <w:p w14:paraId="3335708A" w14:textId="695FFF7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najmenej 70 investičných plánov vybraných</w:t>
            </w:r>
            <w:r w:rsidR="00AB26B3" w:rsidRPr="00AB26B3">
              <w:rPr>
                <w:noProof/>
                <w:spacing w:val="-6"/>
                <w:lang w:val="sk-SK"/>
              </w:rPr>
              <w:t xml:space="preserve"> v </w:t>
            </w:r>
            <w:r w:rsidRPr="00AB26B3">
              <w:rPr>
                <w:noProof/>
                <w:spacing w:val="-6"/>
                <w:lang w:val="sk-SK"/>
              </w:rPr>
              <w:t>rámci výzvy na predkladanie návrhov.</w:t>
            </w:r>
          </w:p>
        </w:tc>
      </w:tr>
    </w:tbl>
    <w:p w14:paraId="257FE621" w14:textId="77777777" w:rsidR="00302FC1" w:rsidRPr="00AB26B3" w:rsidRDefault="00302FC1">
      <w:pPr>
        <w:spacing w:before="120" w:after="0" w:line="240" w:lineRule="auto"/>
        <w:jc w:val="both"/>
        <w:rPr>
          <w:rFonts w:ascii="Times New Roman" w:hAnsi="Times New Roman" w:cs="Times New Roman"/>
          <w:noProof/>
          <w:spacing w:val="-6"/>
          <w:sz w:val="24"/>
          <w:lang w:val="sk-SK"/>
        </w:rPr>
      </w:pPr>
    </w:p>
    <w:p w14:paraId="36AC350A" w14:textId="77777777" w:rsidR="00302FC1" w:rsidRPr="00AB26B3" w:rsidRDefault="00302FC1">
      <w:pPr>
        <w:spacing w:before="120" w:after="0" w:line="240" w:lineRule="auto"/>
        <w:jc w:val="both"/>
        <w:rPr>
          <w:rFonts w:ascii="Times New Roman" w:hAnsi="Times New Roman" w:cs="Times New Roman"/>
          <w:noProof/>
          <w:spacing w:val="-6"/>
          <w:sz w:val="24"/>
          <w:lang w:val="sk-SK"/>
        </w:rPr>
        <w:sectPr w:rsidR="00302FC1" w:rsidRPr="00AB26B3" w:rsidSect="00315FC0">
          <w:headerReference w:type="even" r:id="rId294"/>
          <w:headerReference w:type="default" r:id="rId295"/>
          <w:footerReference w:type="even" r:id="rId296"/>
          <w:footerReference w:type="default" r:id="rId297"/>
          <w:headerReference w:type="first" r:id="rId298"/>
          <w:footerReference w:type="first" r:id="rId299"/>
          <w:pgSz w:w="16839" w:h="11907" w:orient="landscape"/>
          <w:pgMar w:top="720" w:right="720" w:bottom="720" w:left="720" w:header="709" w:footer="709" w:gutter="0"/>
          <w:cols w:space="720"/>
          <w:docGrid w:linePitch="360"/>
        </w:sectPr>
      </w:pPr>
    </w:p>
    <w:p w14:paraId="077B8B31" w14:textId="77777777"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Skupina 28: Poľnohospodárstvo</w:t>
      </w:r>
    </w:p>
    <w:p w14:paraId="29978003" w14:textId="12BD9F74" w:rsidR="00302FC1" w:rsidRPr="00AB26B3" w:rsidRDefault="00D64F26">
      <w:pPr>
        <w:pStyle w:val="P68B1DB1-Normal5"/>
        <w:numPr>
          <w:ilvl w:val="0"/>
          <w:numId w:val="72"/>
        </w:numPr>
        <w:spacing w:before="120" w:after="0" w:line="240" w:lineRule="auto"/>
        <w:jc w:val="both"/>
        <w:rPr>
          <w:rFonts w:cs="Times New Roman"/>
          <w:noProof/>
          <w:spacing w:val="-6"/>
          <w:lang w:val="sk-SK"/>
        </w:rPr>
      </w:pPr>
      <w:r w:rsidRPr="00AB26B3">
        <w:rPr>
          <w:noProof/>
          <w:spacing w:val="-6"/>
          <w:lang w:val="sk-SK"/>
        </w:rPr>
        <w:t>Hospodárska transformácia odvetví poľnohospodárstva</w:t>
      </w:r>
      <w:r w:rsidR="00AB26B3" w:rsidRPr="00AB26B3">
        <w:rPr>
          <w:noProof/>
          <w:spacing w:val="-6"/>
          <w:lang w:val="sk-SK"/>
        </w:rPr>
        <w:t xml:space="preserve"> a </w:t>
      </w:r>
      <w:r w:rsidRPr="00AB26B3">
        <w:rPr>
          <w:noProof/>
          <w:spacing w:val="-6"/>
          <w:szCs w:val="24"/>
          <w:lang w:val="sk-SK"/>
        </w:rPr>
        <w:t xml:space="preserve">akvakultúry </w:t>
      </w:r>
      <w:r w:rsidRPr="00AB26B3">
        <w:rPr>
          <w:noProof/>
          <w:spacing w:val="-6"/>
          <w:lang w:val="sk-SK"/>
        </w:rPr>
        <w:t>(ID: 16626)</w:t>
      </w:r>
    </w:p>
    <w:p w14:paraId="3416C92F" w14:textId="77777777" w:rsidR="00302FC1" w:rsidRPr="00AB26B3" w:rsidRDefault="00D64F26">
      <w:pPr>
        <w:pStyle w:val="P68B1DB1-Normal5"/>
        <w:numPr>
          <w:ilvl w:val="0"/>
          <w:numId w:val="72"/>
        </w:numPr>
        <w:spacing w:before="120" w:after="0" w:line="240" w:lineRule="auto"/>
        <w:jc w:val="both"/>
        <w:rPr>
          <w:rFonts w:cs="Times New Roman"/>
          <w:noProof/>
          <w:spacing w:val="-6"/>
          <w:lang w:val="sk-SK"/>
        </w:rPr>
      </w:pPr>
      <w:r w:rsidRPr="00AB26B3">
        <w:rPr>
          <w:noProof/>
          <w:spacing w:val="-6"/>
          <w:lang w:val="sk-SK"/>
        </w:rPr>
        <w:t>Digitálna transformácia agropotravinárskeho sektora (ID: 16653)</w:t>
      </w:r>
    </w:p>
    <w:tbl>
      <w:tblPr>
        <w:tblW w:w="16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298"/>
        <w:gridCol w:w="1589"/>
        <w:gridCol w:w="1666"/>
        <w:gridCol w:w="1704"/>
        <w:gridCol w:w="899"/>
        <w:gridCol w:w="909"/>
        <w:gridCol w:w="587"/>
        <w:gridCol w:w="1119"/>
        <w:gridCol w:w="687"/>
        <w:gridCol w:w="4332"/>
      </w:tblGrid>
      <w:tr w:rsidR="00302FC1" w:rsidRPr="00AB26B3" w14:paraId="24B9C51E" w14:textId="77777777">
        <w:trPr>
          <w:trHeight w:val="731"/>
          <w:tblHeader/>
          <w:jc w:val="center"/>
        </w:trPr>
        <w:tc>
          <w:tcPr>
            <w:tcW w:w="786" w:type="dxa"/>
            <w:vMerge w:val="restart"/>
            <w:shd w:val="clear" w:color="auto" w:fill="BDD7EE"/>
            <w:vAlign w:val="center"/>
            <w:hideMark/>
          </w:tcPr>
          <w:p w14:paraId="6930DE99" w14:textId="54104225"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A nasl. Nie.</w:t>
            </w:r>
          </w:p>
        </w:tc>
        <w:tc>
          <w:tcPr>
            <w:tcW w:w="2298" w:type="dxa"/>
            <w:vMerge w:val="restart"/>
            <w:shd w:val="clear" w:color="auto" w:fill="BDD7EE"/>
            <w:vAlign w:val="center"/>
            <w:hideMark/>
          </w:tcPr>
          <w:p w14:paraId="12D87B36"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Súvisiace opatrenie (reforma alebo investícia)</w:t>
            </w:r>
          </w:p>
        </w:tc>
        <w:tc>
          <w:tcPr>
            <w:tcW w:w="1589" w:type="dxa"/>
            <w:vMerge w:val="restart"/>
            <w:shd w:val="clear" w:color="auto" w:fill="BDD7EE"/>
            <w:vAlign w:val="center"/>
            <w:hideMark/>
          </w:tcPr>
          <w:p w14:paraId="15FB821D"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Míľnik/cieľ</w:t>
            </w:r>
          </w:p>
        </w:tc>
        <w:tc>
          <w:tcPr>
            <w:tcW w:w="1666" w:type="dxa"/>
            <w:vMerge w:val="restart"/>
            <w:shd w:val="clear" w:color="auto" w:fill="BDD7EE"/>
            <w:vAlign w:val="center"/>
            <w:hideMark/>
          </w:tcPr>
          <w:p w14:paraId="6CBB4E8D"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Názov</w:t>
            </w:r>
          </w:p>
        </w:tc>
        <w:tc>
          <w:tcPr>
            <w:tcW w:w="1704" w:type="dxa"/>
            <w:vMerge w:val="restart"/>
            <w:shd w:val="clear" w:color="auto" w:fill="BDD7EE"/>
            <w:vAlign w:val="center"/>
            <w:hideMark/>
          </w:tcPr>
          <w:p w14:paraId="68C16404" w14:textId="27F705A6"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Kvalitatívne ukazovatele (pre míľniky)</w:t>
            </w:r>
          </w:p>
        </w:tc>
        <w:tc>
          <w:tcPr>
            <w:tcW w:w="2343" w:type="dxa"/>
            <w:gridSpan w:val="3"/>
            <w:shd w:val="clear" w:color="auto" w:fill="BDD7EE"/>
            <w:vAlign w:val="center"/>
            <w:hideMark/>
          </w:tcPr>
          <w:p w14:paraId="5E26E3C3"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Kvantitatívne ukazovatele (pre ciele)</w:t>
            </w:r>
          </w:p>
        </w:tc>
        <w:tc>
          <w:tcPr>
            <w:tcW w:w="1533" w:type="dxa"/>
            <w:gridSpan w:val="2"/>
            <w:shd w:val="clear" w:color="auto" w:fill="BDD7EE"/>
            <w:vAlign w:val="center"/>
            <w:hideMark/>
          </w:tcPr>
          <w:p w14:paraId="14FCA8C7"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 xml:space="preserve">Orientačný harmonogram dokončenia </w:t>
            </w:r>
          </w:p>
        </w:tc>
        <w:tc>
          <w:tcPr>
            <w:tcW w:w="4332" w:type="dxa"/>
            <w:vMerge w:val="restart"/>
            <w:shd w:val="clear" w:color="auto" w:fill="BDD7EE"/>
            <w:vAlign w:val="center"/>
            <w:hideMark/>
          </w:tcPr>
          <w:p w14:paraId="3BE39437" w14:textId="43FEC55A"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39FB600F" w14:textId="77777777">
        <w:trPr>
          <w:trHeight w:val="504"/>
          <w:tblHeader/>
          <w:jc w:val="center"/>
        </w:trPr>
        <w:tc>
          <w:tcPr>
            <w:tcW w:w="786" w:type="dxa"/>
            <w:vMerge/>
            <w:vAlign w:val="center"/>
            <w:hideMark/>
          </w:tcPr>
          <w:p w14:paraId="05CBE027"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2298" w:type="dxa"/>
            <w:vMerge/>
            <w:vAlign w:val="center"/>
            <w:hideMark/>
          </w:tcPr>
          <w:p w14:paraId="7962D9E2"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589" w:type="dxa"/>
            <w:vMerge/>
            <w:vAlign w:val="center"/>
            <w:hideMark/>
          </w:tcPr>
          <w:p w14:paraId="604DA943"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666" w:type="dxa"/>
            <w:vMerge/>
            <w:vAlign w:val="center"/>
            <w:hideMark/>
          </w:tcPr>
          <w:p w14:paraId="1E635A6A"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704" w:type="dxa"/>
            <w:vMerge/>
            <w:vAlign w:val="center"/>
            <w:hideMark/>
          </w:tcPr>
          <w:p w14:paraId="64905DA3"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899" w:type="dxa"/>
            <w:shd w:val="clear" w:color="auto" w:fill="BDD7EE"/>
            <w:vAlign w:val="center"/>
            <w:hideMark/>
          </w:tcPr>
          <w:p w14:paraId="11651AD9"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Merná jednotka</w:t>
            </w:r>
          </w:p>
        </w:tc>
        <w:tc>
          <w:tcPr>
            <w:tcW w:w="857" w:type="dxa"/>
            <w:shd w:val="clear" w:color="auto" w:fill="BDD7EE"/>
            <w:vAlign w:val="center"/>
            <w:hideMark/>
          </w:tcPr>
          <w:p w14:paraId="6EC3A822"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 xml:space="preserve">Základná </w:t>
            </w:r>
          </w:p>
        </w:tc>
        <w:tc>
          <w:tcPr>
            <w:tcW w:w="587" w:type="dxa"/>
            <w:shd w:val="clear" w:color="auto" w:fill="BDD7EE"/>
            <w:vAlign w:val="center"/>
            <w:hideMark/>
          </w:tcPr>
          <w:p w14:paraId="63160E1F"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 xml:space="preserve">Cieľ </w:t>
            </w:r>
          </w:p>
        </w:tc>
        <w:tc>
          <w:tcPr>
            <w:tcW w:w="846" w:type="dxa"/>
            <w:shd w:val="clear" w:color="auto" w:fill="BDD7EE"/>
            <w:vAlign w:val="center"/>
            <w:hideMark/>
          </w:tcPr>
          <w:p w14:paraId="60289925"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Štvrtina</w:t>
            </w:r>
          </w:p>
        </w:tc>
        <w:tc>
          <w:tcPr>
            <w:tcW w:w="687" w:type="dxa"/>
            <w:shd w:val="clear" w:color="auto" w:fill="BDD7EE"/>
            <w:vAlign w:val="center"/>
            <w:hideMark/>
          </w:tcPr>
          <w:p w14:paraId="10881123"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Rok</w:t>
            </w:r>
          </w:p>
        </w:tc>
        <w:tc>
          <w:tcPr>
            <w:tcW w:w="4332" w:type="dxa"/>
            <w:vMerge/>
            <w:vAlign w:val="center"/>
            <w:hideMark/>
          </w:tcPr>
          <w:p w14:paraId="4F062662"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r>
      <w:tr w:rsidR="00302FC1" w:rsidRPr="00AB26B3" w14:paraId="10E4DEAC" w14:textId="77777777">
        <w:trPr>
          <w:trHeight w:val="309"/>
          <w:jc w:val="center"/>
        </w:trPr>
        <w:tc>
          <w:tcPr>
            <w:tcW w:w="786" w:type="dxa"/>
            <w:shd w:val="clear" w:color="auto" w:fill="C6EFCE"/>
            <w:noWrap/>
          </w:tcPr>
          <w:p w14:paraId="7BA0ECD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310</w:t>
            </w:r>
          </w:p>
        </w:tc>
        <w:tc>
          <w:tcPr>
            <w:tcW w:w="2298" w:type="dxa"/>
            <w:shd w:val="clear" w:color="auto" w:fill="C6EFCE"/>
            <w:noWrap/>
          </w:tcPr>
          <w:p w14:paraId="67AB3305" w14:textId="537FD2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16626_Hospodárska transformácia</w:t>
            </w:r>
            <w:r w:rsidR="00AB26B3" w:rsidRPr="00AB26B3">
              <w:rPr>
                <w:noProof/>
                <w:spacing w:val="-6"/>
                <w:lang w:val="sk-SK"/>
              </w:rPr>
              <w:t xml:space="preserve"> v </w:t>
            </w:r>
            <w:r w:rsidRPr="00AB26B3">
              <w:rPr>
                <w:noProof/>
                <w:spacing w:val="-6"/>
                <w:lang w:val="sk-SK"/>
              </w:rPr>
              <w:t>odvetví poľnohospodárstva</w:t>
            </w:r>
          </w:p>
        </w:tc>
        <w:tc>
          <w:tcPr>
            <w:tcW w:w="1589" w:type="dxa"/>
            <w:shd w:val="clear" w:color="auto" w:fill="C6EFCE"/>
            <w:noWrap/>
          </w:tcPr>
          <w:p w14:paraId="2DD1402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66" w:type="dxa"/>
            <w:shd w:val="clear" w:color="auto" w:fill="C6EFCE"/>
            <w:noWrap/>
          </w:tcPr>
          <w:p w14:paraId="4F95E86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Hospodárska transformácia poľnohospodárstva: Spustenie programu</w:t>
            </w:r>
          </w:p>
        </w:tc>
        <w:tc>
          <w:tcPr>
            <w:tcW w:w="1704" w:type="dxa"/>
            <w:shd w:val="clear" w:color="auto" w:fill="C6EFCE"/>
            <w:noWrap/>
          </w:tcPr>
          <w:p w14:paraId="4500F2DC" w14:textId="67FCD49C" w:rsidR="00302FC1" w:rsidRPr="00AB26B3" w:rsidRDefault="00D64F26">
            <w:pPr>
              <w:pStyle w:val="P68B1DB1-Normal12"/>
              <w:spacing w:after="0" w:line="240" w:lineRule="auto"/>
              <w:rPr>
                <w:noProof/>
                <w:spacing w:val="-6"/>
                <w:lang w:val="sk-SK"/>
              </w:rPr>
            </w:pPr>
            <w:r w:rsidRPr="00AB26B3">
              <w:rPr>
                <w:noProof/>
                <w:spacing w:val="-6"/>
                <w:lang w:val="sk-SK"/>
              </w:rPr>
              <w:t>Podpísaná zmluva</w:t>
            </w:r>
            <w:r w:rsidR="00AB26B3" w:rsidRPr="00AB26B3">
              <w:rPr>
                <w:noProof/>
                <w:spacing w:val="-6"/>
                <w:lang w:val="sk-SK"/>
              </w:rPr>
              <w:t xml:space="preserve"> s </w:t>
            </w:r>
            <w:r w:rsidRPr="00AB26B3">
              <w:rPr>
                <w:noProof/>
                <w:spacing w:val="-6"/>
                <w:lang w:val="sk-SK"/>
              </w:rPr>
              <w:t>implementujúcim partnerom</w:t>
            </w:r>
          </w:p>
          <w:p w14:paraId="5071B40B"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3514E6D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99" w:type="dxa"/>
            <w:shd w:val="clear" w:color="auto" w:fill="C6EFCE"/>
            <w:noWrap/>
          </w:tcPr>
          <w:p w14:paraId="7DE8553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551AF98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tcPr>
          <w:p w14:paraId="06E366F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5CF1F1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687" w:type="dxa"/>
            <w:shd w:val="clear" w:color="auto" w:fill="C6EFCE"/>
            <w:noWrap/>
          </w:tcPr>
          <w:p w14:paraId="48B8E84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332" w:type="dxa"/>
            <w:shd w:val="clear" w:color="auto" w:fill="C6EFCE"/>
            <w:noWrap/>
          </w:tcPr>
          <w:p w14:paraId="78B37E86" w14:textId="77777777" w:rsidR="00302FC1" w:rsidRPr="00AB26B3" w:rsidRDefault="00D64F26">
            <w:pPr>
              <w:pStyle w:val="P68B1DB1-Normal12"/>
              <w:spacing w:after="0" w:line="240" w:lineRule="auto"/>
              <w:rPr>
                <w:noProof/>
                <w:spacing w:val="-6"/>
                <w:lang w:val="sk-SK"/>
              </w:rPr>
            </w:pPr>
            <w:r w:rsidRPr="00AB26B3">
              <w:rPr>
                <w:noProof/>
                <w:spacing w:val="-6"/>
                <w:lang w:val="sk-SK"/>
              </w:rPr>
              <w:t>Vyhlásenie výziev na hospodársku transformáciu poľnohospodárskeho sektora:</w:t>
            </w:r>
          </w:p>
          <w:p w14:paraId="1909C442" w14:textId="32E03ED5" w:rsidR="00302FC1" w:rsidRPr="00AB26B3" w:rsidRDefault="00D64F26">
            <w:pPr>
              <w:pStyle w:val="P68B1DB1-Normal12"/>
              <w:spacing w:after="0" w:line="240" w:lineRule="auto"/>
              <w:rPr>
                <w:noProof/>
                <w:spacing w:val="-6"/>
                <w:lang w:val="sk-SK"/>
              </w:rPr>
            </w:pPr>
            <w:r w:rsidRPr="00AB26B3">
              <w:rPr>
                <w:noProof/>
                <w:spacing w:val="-6"/>
                <w:lang w:val="sk-SK"/>
              </w:rPr>
              <w:t>Súťažné výzvy na predkladanie návrhov</w:t>
            </w:r>
            <w:r w:rsidR="00AB26B3" w:rsidRPr="00AB26B3">
              <w:rPr>
                <w:noProof/>
                <w:spacing w:val="-6"/>
                <w:lang w:val="sk-SK"/>
              </w:rPr>
              <w:t xml:space="preserve"> s </w:t>
            </w:r>
            <w:r w:rsidRPr="00AB26B3">
              <w:rPr>
                <w:noProof/>
                <w:spacing w:val="-6"/>
                <w:lang w:val="sk-SK"/>
              </w:rPr>
              <w:t>referenčnými podmienkami vrátane kritérií oprávnenosti, ktorými sa zabezpečí, aby vybrané projekty boli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w:t>
            </w:r>
            <w:r w:rsidR="00AB26B3" w:rsidRPr="00AB26B3">
              <w:rPr>
                <w:noProof/>
                <w:spacing w:val="-6"/>
                <w:lang w:val="sk-SK"/>
              </w:rPr>
              <w:t xml:space="preserve"> k </w:t>
            </w:r>
            <w:r w:rsidRPr="00AB26B3">
              <w:rPr>
                <w:noProof/>
                <w:spacing w:val="-6"/>
                <w:lang w:val="sk-SK"/>
              </w:rPr>
              <w:t>zásade „výrazne nenarušiť“ (2021/C58/01) prostredníctvom použitia zoznamu vylúčených subjektov</w:t>
            </w:r>
            <w:r w:rsidR="00AB26B3" w:rsidRPr="00AB26B3">
              <w:rPr>
                <w:noProof/>
                <w:spacing w:val="-6"/>
                <w:lang w:val="sk-SK"/>
              </w:rPr>
              <w:t xml:space="preserve"> a </w:t>
            </w:r>
            <w:r w:rsidRPr="00AB26B3">
              <w:rPr>
                <w:noProof/>
                <w:spacing w:val="-6"/>
                <w:lang w:val="sk-SK"/>
              </w:rPr>
              <w:t>požiadavky súladu</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p>
          <w:p w14:paraId="26BAC8E8" w14:textId="77777777" w:rsidR="00302FC1" w:rsidRPr="00AB26B3" w:rsidRDefault="00302FC1">
            <w:pPr>
              <w:spacing w:after="0" w:line="240" w:lineRule="auto"/>
              <w:rPr>
                <w:rFonts w:ascii="Times New Roman" w:hAnsi="Times New Roman" w:cs="Times New Roman"/>
                <w:noProof/>
                <w:color w:val="006100"/>
                <w:spacing w:val="-6"/>
                <w:sz w:val="18"/>
                <w:szCs w:val="18"/>
                <w:lang w:val="sk-SK"/>
              </w:rPr>
            </w:pPr>
          </w:p>
          <w:p w14:paraId="66BA3735" w14:textId="0EBB26E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Súťažné výzvy zahŕňajú tieto opatrenia: akcie súvisiace</w:t>
            </w:r>
            <w:r w:rsidR="00AB26B3" w:rsidRPr="00AB26B3">
              <w:rPr>
                <w:noProof/>
                <w:spacing w:val="-6"/>
                <w:lang w:val="sk-SK"/>
              </w:rPr>
              <w:t xml:space="preserve"> s </w:t>
            </w:r>
            <w:r w:rsidRPr="00AB26B3">
              <w:rPr>
                <w:noProof/>
                <w:spacing w:val="-6"/>
                <w:lang w:val="sk-SK"/>
              </w:rPr>
              <w:t>energetickou modernizáciou výrobných jednotiek, budov</w:t>
            </w:r>
            <w:r w:rsidR="00AB26B3" w:rsidRPr="00AB26B3">
              <w:rPr>
                <w:noProof/>
                <w:spacing w:val="-6"/>
                <w:lang w:val="sk-SK"/>
              </w:rPr>
              <w:t xml:space="preserve"> a </w:t>
            </w:r>
            <w:r w:rsidRPr="00AB26B3">
              <w:rPr>
                <w:noProof/>
                <w:spacing w:val="-6"/>
                <w:lang w:val="sk-SK"/>
              </w:rPr>
              <w:t>mechanických zariadení</w:t>
            </w:r>
            <w:r w:rsidR="00AB26B3" w:rsidRPr="00AB26B3">
              <w:rPr>
                <w:noProof/>
                <w:spacing w:val="-6"/>
                <w:lang w:val="sk-SK"/>
              </w:rPr>
              <w:t xml:space="preserve"> s </w:t>
            </w:r>
            <w:r w:rsidRPr="00AB26B3">
              <w:rPr>
                <w:noProof/>
                <w:spacing w:val="-6"/>
                <w:lang w:val="sk-SK"/>
              </w:rPr>
              <w:t>nízkou spotrebou energie, energetickou modernizáciou zariadení cestovného ruchu (budov), dopravnými prostriedkami šetrnými</w:t>
            </w:r>
            <w:r w:rsidR="00AB26B3" w:rsidRPr="00AB26B3">
              <w:rPr>
                <w:noProof/>
                <w:spacing w:val="-6"/>
                <w:lang w:val="sk-SK"/>
              </w:rPr>
              <w:t xml:space="preserve"> k </w:t>
            </w:r>
            <w:r w:rsidRPr="00AB26B3">
              <w:rPr>
                <w:noProof/>
                <w:spacing w:val="-6"/>
                <w:lang w:val="sk-SK"/>
              </w:rPr>
              <w:t>životnému prostrediu (elektrické automobily, bicykle atď.), podporou výrobných procesov šetrných</w:t>
            </w:r>
            <w:r w:rsidR="00AB26B3" w:rsidRPr="00AB26B3">
              <w:rPr>
                <w:noProof/>
                <w:spacing w:val="-6"/>
                <w:lang w:val="sk-SK"/>
              </w:rPr>
              <w:t xml:space="preserve"> k </w:t>
            </w:r>
            <w:r w:rsidRPr="00AB26B3">
              <w:rPr>
                <w:noProof/>
                <w:spacing w:val="-6"/>
                <w:lang w:val="sk-SK"/>
              </w:rPr>
              <w:t>životnému prostrediu</w:t>
            </w:r>
            <w:r w:rsidR="00AB26B3" w:rsidRPr="00AB26B3">
              <w:rPr>
                <w:noProof/>
                <w:spacing w:val="-6"/>
                <w:lang w:val="sk-SK"/>
              </w:rPr>
              <w:t xml:space="preserve"> a </w:t>
            </w:r>
            <w:r w:rsidRPr="00AB26B3">
              <w:rPr>
                <w:noProof/>
                <w:spacing w:val="-6"/>
                <w:lang w:val="sk-SK"/>
              </w:rPr>
              <w:t>efektívneho využívania zdrojov</w:t>
            </w:r>
            <w:r w:rsidR="00AB26B3" w:rsidRPr="00AB26B3">
              <w:rPr>
                <w:noProof/>
                <w:spacing w:val="-6"/>
                <w:lang w:val="sk-SK"/>
              </w:rPr>
              <w:t xml:space="preserve"> v </w:t>
            </w:r>
            <w:r w:rsidRPr="00AB26B3">
              <w:rPr>
                <w:noProof/>
                <w:spacing w:val="-6"/>
                <w:lang w:val="sk-SK"/>
              </w:rPr>
              <w:t>MSP, energiou</w:t>
            </w:r>
            <w:r w:rsidR="00AB26B3" w:rsidRPr="00AB26B3">
              <w:rPr>
                <w:noProof/>
                <w:spacing w:val="-6"/>
                <w:lang w:val="sk-SK"/>
              </w:rPr>
              <w:t xml:space="preserve"> z </w:t>
            </w:r>
            <w:r w:rsidRPr="00AB26B3">
              <w:rPr>
                <w:noProof/>
                <w:spacing w:val="-6"/>
                <w:lang w:val="sk-SK"/>
              </w:rPr>
              <w:t>obnoviteľných zdrojov (slnečnou), opatreniami na prispôsobenie sa zmene klímy</w:t>
            </w:r>
            <w:r w:rsidR="00AB26B3" w:rsidRPr="00AB26B3">
              <w:rPr>
                <w:noProof/>
                <w:spacing w:val="-6"/>
                <w:lang w:val="sk-SK"/>
              </w:rPr>
              <w:t xml:space="preserve"> a </w:t>
            </w:r>
            <w:r w:rsidRPr="00AB26B3">
              <w:rPr>
                <w:noProof/>
                <w:spacing w:val="-6"/>
                <w:lang w:val="sk-SK"/>
              </w:rPr>
              <w:t>jej prevenciu</w:t>
            </w:r>
            <w:r w:rsidR="00AB26B3" w:rsidRPr="00AB26B3">
              <w:rPr>
                <w:noProof/>
                <w:spacing w:val="-6"/>
                <w:lang w:val="sk-SK"/>
              </w:rPr>
              <w:t xml:space="preserve"> a </w:t>
            </w:r>
            <w:r w:rsidRPr="00AB26B3">
              <w:rPr>
                <w:noProof/>
                <w:spacing w:val="-6"/>
                <w:lang w:val="sk-SK"/>
              </w:rPr>
              <w:t>riadením rizík súvisiacich</w:t>
            </w:r>
            <w:r w:rsidR="00AB26B3" w:rsidRPr="00AB26B3">
              <w:rPr>
                <w:noProof/>
                <w:spacing w:val="-6"/>
                <w:lang w:val="sk-SK"/>
              </w:rPr>
              <w:t xml:space="preserve"> s </w:t>
            </w:r>
            <w:r w:rsidRPr="00AB26B3">
              <w:rPr>
                <w:noProof/>
                <w:spacing w:val="-6"/>
                <w:lang w:val="sk-SK"/>
              </w:rPr>
              <w:t>klímou, ochranou biodiverzity</w:t>
            </w:r>
            <w:r w:rsidR="00AB26B3" w:rsidRPr="00AB26B3">
              <w:rPr>
                <w:noProof/>
                <w:spacing w:val="-6"/>
                <w:lang w:val="sk-SK"/>
              </w:rPr>
              <w:t xml:space="preserve"> a </w:t>
            </w:r>
            <w:r w:rsidRPr="00AB26B3">
              <w:rPr>
                <w:noProof/>
                <w:spacing w:val="-6"/>
                <w:lang w:val="sk-SK"/>
              </w:rPr>
              <w:t>prírodným dedičstvom</w:t>
            </w:r>
            <w:r w:rsidR="00AB26B3" w:rsidRPr="00AB26B3">
              <w:rPr>
                <w:noProof/>
                <w:spacing w:val="-6"/>
                <w:lang w:val="sk-SK"/>
              </w:rPr>
              <w:t xml:space="preserve"> a </w:t>
            </w:r>
            <w:r w:rsidRPr="00AB26B3">
              <w:rPr>
                <w:noProof/>
                <w:spacing w:val="-6"/>
                <w:lang w:val="sk-SK"/>
              </w:rPr>
              <w:t>zdrojmi.</w:t>
            </w:r>
          </w:p>
        </w:tc>
      </w:tr>
      <w:tr w:rsidR="00302FC1" w:rsidRPr="00AB26B3" w14:paraId="456297E3" w14:textId="77777777">
        <w:trPr>
          <w:trHeight w:val="309"/>
          <w:jc w:val="center"/>
        </w:trPr>
        <w:tc>
          <w:tcPr>
            <w:tcW w:w="786" w:type="dxa"/>
            <w:shd w:val="clear" w:color="auto" w:fill="C6EFCE"/>
            <w:noWrap/>
            <w:hideMark/>
          </w:tcPr>
          <w:p w14:paraId="373F2DF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311</w:t>
            </w:r>
          </w:p>
        </w:tc>
        <w:tc>
          <w:tcPr>
            <w:tcW w:w="2298" w:type="dxa"/>
            <w:shd w:val="clear" w:color="auto" w:fill="C6EFCE"/>
            <w:noWrap/>
            <w:hideMark/>
          </w:tcPr>
          <w:p w14:paraId="0DD379DC" w14:textId="0834257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17 – 4.6. Modernizácia</w:t>
            </w:r>
            <w:r w:rsidR="00AB26B3" w:rsidRPr="00AB26B3">
              <w:rPr>
                <w:noProof/>
                <w:spacing w:val="-6"/>
                <w:lang w:val="sk-SK"/>
              </w:rPr>
              <w:t xml:space="preserve"> a </w:t>
            </w:r>
            <w:r w:rsidRPr="00AB26B3">
              <w:rPr>
                <w:noProof/>
                <w:spacing w:val="-6"/>
                <w:lang w:val="sk-SK"/>
              </w:rPr>
              <w:t xml:space="preserve">zlepšenie odolnosti kľúčových hospodárskych odvetví – 16653_Digitálna transformácia agropotravinárskeho sektora </w:t>
            </w:r>
          </w:p>
        </w:tc>
        <w:tc>
          <w:tcPr>
            <w:tcW w:w="1589" w:type="dxa"/>
            <w:shd w:val="clear" w:color="auto" w:fill="C6EFCE"/>
            <w:noWrap/>
            <w:hideMark/>
          </w:tcPr>
          <w:p w14:paraId="04F69C9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Míľnik</w:t>
            </w:r>
          </w:p>
        </w:tc>
        <w:tc>
          <w:tcPr>
            <w:tcW w:w="1666" w:type="dxa"/>
            <w:shd w:val="clear" w:color="auto" w:fill="C6EFCE"/>
            <w:noWrap/>
            <w:hideMark/>
          </w:tcPr>
          <w:p w14:paraId="03E1A15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Vyhlásenie výzvy na digitálnu transformáciu agropotravinárskeho sektora </w:t>
            </w:r>
          </w:p>
        </w:tc>
        <w:tc>
          <w:tcPr>
            <w:tcW w:w="1704" w:type="dxa"/>
            <w:shd w:val="clear" w:color="auto" w:fill="C6EFCE"/>
            <w:noWrap/>
            <w:hideMark/>
          </w:tcPr>
          <w:p w14:paraId="01F6B28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Vyhlásenie výzvy na podávanie prihlášok </w:t>
            </w:r>
          </w:p>
        </w:tc>
        <w:tc>
          <w:tcPr>
            <w:tcW w:w="899" w:type="dxa"/>
            <w:shd w:val="clear" w:color="auto" w:fill="C6EFCE"/>
            <w:noWrap/>
          </w:tcPr>
          <w:p w14:paraId="702C134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tcPr>
          <w:p w14:paraId="65EB642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tcPr>
          <w:p w14:paraId="126E1E4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hideMark/>
          </w:tcPr>
          <w:p w14:paraId="258CA28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687" w:type="dxa"/>
            <w:shd w:val="clear" w:color="auto" w:fill="C6EFCE"/>
            <w:noWrap/>
            <w:hideMark/>
          </w:tcPr>
          <w:p w14:paraId="1F42C30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2022 </w:t>
            </w:r>
          </w:p>
        </w:tc>
        <w:tc>
          <w:tcPr>
            <w:tcW w:w="4332" w:type="dxa"/>
            <w:shd w:val="clear" w:color="auto" w:fill="C6EFCE"/>
            <w:noWrap/>
            <w:hideMark/>
          </w:tcPr>
          <w:p w14:paraId="5F406B55" w14:textId="5311697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výzvy na projekt digitálnej transformácie na rozvoj rozsiahlej otvorenej digitálnej poľnohospodárskej infraštruktúry</w:t>
            </w:r>
            <w:r w:rsidR="00AB26B3" w:rsidRPr="00AB26B3">
              <w:rPr>
                <w:noProof/>
                <w:spacing w:val="-6"/>
                <w:lang w:val="sk-SK"/>
              </w:rPr>
              <w:t xml:space="preserve"> a </w:t>
            </w:r>
            <w:r w:rsidRPr="00AB26B3">
              <w:rPr>
                <w:noProof/>
                <w:spacing w:val="-6"/>
                <w:lang w:val="sk-SK"/>
              </w:rPr>
              <w:t>kognitívneho poľnohospodárskeho prostredia pre výrobný proces</w:t>
            </w:r>
            <w:r w:rsidR="00AB26B3" w:rsidRPr="00AB26B3">
              <w:rPr>
                <w:noProof/>
                <w:spacing w:val="-6"/>
                <w:lang w:val="sk-SK"/>
              </w:rPr>
              <w:t xml:space="preserve"> a </w:t>
            </w:r>
            <w:r w:rsidRPr="00AB26B3">
              <w:rPr>
                <w:noProof/>
                <w:spacing w:val="-6"/>
                <w:lang w:val="sk-SK"/>
              </w:rPr>
              <w:t>riadenie prírodných zdrojov.</w:t>
            </w:r>
          </w:p>
        </w:tc>
      </w:tr>
      <w:tr w:rsidR="00302FC1" w:rsidRPr="00AB26B3" w14:paraId="6972A62B" w14:textId="77777777">
        <w:trPr>
          <w:trHeight w:val="3855"/>
          <w:jc w:val="center"/>
        </w:trPr>
        <w:tc>
          <w:tcPr>
            <w:tcW w:w="786" w:type="dxa"/>
            <w:shd w:val="clear" w:color="auto" w:fill="C6EFCE"/>
            <w:noWrap/>
            <w:hideMark/>
          </w:tcPr>
          <w:p w14:paraId="7269AA8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313</w:t>
            </w:r>
          </w:p>
        </w:tc>
        <w:tc>
          <w:tcPr>
            <w:tcW w:w="2298" w:type="dxa"/>
            <w:shd w:val="clear" w:color="auto" w:fill="C6EFCE"/>
            <w:noWrap/>
            <w:hideMark/>
          </w:tcPr>
          <w:p w14:paraId="5AC0707C" w14:textId="47C7B93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17 – 4.6. Modernizácia</w:t>
            </w:r>
            <w:r w:rsidR="00AB26B3" w:rsidRPr="00AB26B3">
              <w:rPr>
                <w:noProof/>
                <w:spacing w:val="-6"/>
                <w:lang w:val="sk-SK"/>
              </w:rPr>
              <w:t xml:space="preserve"> a </w:t>
            </w:r>
            <w:r w:rsidRPr="00AB26B3">
              <w:rPr>
                <w:noProof/>
                <w:spacing w:val="-6"/>
                <w:lang w:val="sk-SK"/>
              </w:rPr>
              <w:t>zlepšenie odolnosti kľúčových hospodárskych odvetví – 16653_Digitálna transformácia agropotravinárskeho sektora</w:t>
            </w:r>
          </w:p>
        </w:tc>
        <w:tc>
          <w:tcPr>
            <w:tcW w:w="1589" w:type="dxa"/>
            <w:shd w:val="clear" w:color="auto" w:fill="C6EFCE"/>
            <w:noWrap/>
            <w:hideMark/>
          </w:tcPr>
          <w:p w14:paraId="23A824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66" w:type="dxa"/>
            <w:shd w:val="clear" w:color="auto" w:fill="C6EFCE"/>
            <w:noWrap/>
            <w:hideMark/>
          </w:tcPr>
          <w:p w14:paraId="0495F20E" w14:textId="01C118E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projektov digitálnej transformácie agropotravinárskeho sektora</w:t>
            </w:r>
          </w:p>
        </w:tc>
        <w:tc>
          <w:tcPr>
            <w:tcW w:w="1704" w:type="dxa"/>
            <w:shd w:val="clear" w:color="auto" w:fill="C6EFCE"/>
            <w:noWrap/>
            <w:hideMark/>
          </w:tcPr>
          <w:p w14:paraId="0773A794" w14:textId="4ACF891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1. digitálnej transformácie poľnohospodárskeho sektora</w:t>
            </w:r>
            <w:r w:rsidR="00AB26B3" w:rsidRPr="00AB26B3">
              <w:rPr>
                <w:noProof/>
                <w:spacing w:val="-6"/>
                <w:lang w:val="sk-SK"/>
              </w:rPr>
              <w:t xml:space="preserve"> a </w:t>
            </w:r>
            <w:r w:rsidRPr="00AB26B3">
              <w:rPr>
                <w:noProof/>
                <w:spacing w:val="-6"/>
                <w:lang w:val="sk-SK"/>
              </w:rPr>
              <w:t>2. výhľadových poľnohospodárskych projektov</w:t>
            </w:r>
          </w:p>
        </w:tc>
        <w:tc>
          <w:tcPr>
            <w:tcW w:w="899" w:type="dxa"/>
            <w:shd w:val="clear" w:color="auto" w:fill="C6EFCE"/>
            <w:noWrap/>
            <w:hideMark/>
          </w:tcPr>
          <w:p w14:paraId="7AF09DD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hideMark/>
          </w:tcPr>
          <w:p w14:paraId="7BE479C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hideMark/>
          </w:tcPr>
          <w:p w14:paraId="0721A3F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hideMark/>
          </w:tcPr>
          <w:p w14:paraId="309AE868" w14:textId="1744604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87" w:type="dxa"/>
            <w:shd w:val="clear" w:color="auto" w:fill="C6EFCE"/>
            <w:noWrap/>
            <w:hideMark/>
          </w:tcPr>
          <w:p w14:paraId="41D2BCCA" w14:textId="5D5A11E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2024 </w:t>
            </w:r>
          </w:p>
        </w:tc>
        <w:tc>
          <w:tcPr>
            <w:tcW w:w="4332" w:type="dxa"/>
            <w:shd w:val="clear" w:color="auto" w:fill="C6EFCE"/>
            <w:noWrap/>
            <w:hideMark/>
          </w:tcPr>
          <w:p w14:paraId="4CA17782" w14:textId="07317EE9" w:rsidR="00302FC1" w:rsidRPr="00AB26B3" w:rsidRDefault="00D64F26">
            <w:pPr>
              <w:pStyle w:val="P68B1DB1-Normal12"/>
              <w:spacing w:after="0" w:line="240" w:lineRule="auto"/>
              <w:rPr>
                <w:noProof/>
                <w:spacing w:val="-6"/>
                <w:lang w:val="sk-SK"/>
              </w:rPr>
            </w:pPr>
            <w:r w:rsidRPr="00AB26B3">
              <w:rPr>
                <w:noProof/>
                <w:spacing w:val="-6"/>
                <w:lang w:val="sk-SK"/>
              </w:rPr>
              <w:t>Realizácia 1. digitálnej transformácie poľnohospodárskeho sektora</w:t>
            </w:r>
            <w:r w:rsidR="00AB26B3" w:rsidRPr="00AB26B3">
              <w:rPr>
                <w:noProof/>
                <w:spacing w:val="-6"/>
                <w:lang w:val="sk-SK"/>
              </w:rPr>
              <w:t xml:space="preserve"> a </w:t>
            </w:r>
            <w:r w:rsidRPr="00AB26B3">
              <w:rPr>
                <w:noProof/>
                <w:spacing w:val="-6"/>
                <w:lang w:val="sk-SK"/>
              </w:rPr>
              <w:t>2. výhľadových poľnohospodárskych projektov.</w:t>
            </w:r>
          </w:p>
        </w:tc>
      </w:tr>
      <w:tr w:rsidR="00302FC1" w:rsidRPr="00AB26B3" w14:paraId="5A3BF397" w14:textId="77777777">
        <w:trPr>
          <w:trHeight w:val="309"/>
          <w:jc w:val="center"/>
        </w:trPr>
        <w:tc>
          <w:tcPr>
            <w:tcW w:w="786" w:type="dxa"/>
            <w:shd w:val="clear" w:color="auto" w:fill="C6EFCE"/>
            <w:noWrap/>
            <w:hideMark/>
          </w:tcPr>
          <w:p w14:paraId="6D39EBA0" w14:textId="5E1AA6FB" w:rsidR="00302FC1" w:rsidRPr="00AB26B3" w:rsidRDefault="00D64F26">
            <w:pPr>
              <w:pStyle w:val="P68B1DB1-Normal12"/>
              <w:spacing w:line="240" w:lineRule="auto"/>
              <w:rPr>
                <w:noProof/>
                <w:spacing w:val="-6"/>
                <w:lang w:val="sk-SK"/>
              </w:rPr>
            </w:pPr>
            <w:r w:rsidRPr="00AB26B3">
              <w:rPr>
                <w:noProof/>
                <w:spacing w:val="-6"/>
                <w:lang w:val="sk-SK"/>
              </w:rPr>
              <w:t>313a</w:t>
            </w:r>
          </w:p>
        </w:tc>
        <w:tc>
          <w:tcPr>
            <w:tcW w:w="2298" w:type="dxa"/>
            <w:shd w:val="clear" w:color="auto" w:fill="C6EFCE"/>
            <w:noWrap/>
            <w:hideMark/>
          </w:tcPr>
          <w:p w14:paraId="3FC653FC" w14:textId="3D049E55" w:rsidR="00302FC1" w:rsidRPr="00AB26B3" w:rsidRDefault="00D64F26">
            <w:pPr>
              <w:pStyle w:val="P68B1DB1-Normal12"/>
              <w:spacing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16653_Digitálna transformácia agropotravinárskeho sektora</w:t>
            </w:r>
          </w:p>
        </w:tc>
        <w:tc>
          <w:tcPr>
            <w:tcW w:w="1589" w:type="dxa"/>
            <w:shd w:val="clear" w:color="auto" w:fill="C6EFCE"/>
            <w:noWrap/>
            <w:hideMark/>
          </w:tcPr>
          <w:p w14:paraId="5674BD75" w14:textId="3DFDA4E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66" w:type="dxa"/>
            <w:shd w:val="clear" w:color="auto" w:fill="C6EFCE"/>
            <w:noWrap/>
            <w:hideMark/>
          </w:tcPr>
          <w:p w14:paraId="1120562F" w14:textId="3C3B55C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Realizácia projektov digitálnej transformácie agropotravinárskeho sektora</w:t>
            </w:r>
          </w:p>
        </w:tc>
        <w:tc>
          <w:tcPr>
            <w:tcW w:w="1704" w:type="dxa"/>
            <w:shd w:val="clear" w:color="auto" w:fill="C6EFCE"/>
            <w:noWrap/>
            <w:hideMark/>
          </w:tcPr>
          <w:p w14:paraId="270A71F3" w14:textId="3B3FD887" w:rsidR="00302FC1" w:rsidRPr="00AB26B3" w:rsidRDefault="00D64F26">
            <w:pPr>
              <w:pStyle w:val="P68B1DB1-Normal12"/>
              <w:spacing w:line="240" w:lineRule="auto"/>
              <w:rPr>
                <w:noProof/>
                <w:spacing w:val="-6"/>
                <w:lang w:val="sk-SK"/>
              </w:rPr>
            </w:pPr>
            <w:r w:rsidRPr="00AB26B3">
              <w:rPr>
                <w:noProof/>
                <w:spacing w:val="-6"/>
                <w:lang w:val="sk-SK"/>
              </w:rPr>
              <w:t>Realizácia rozšírenia projektu digitálnej transformácie poľnohospodárskeho sektora</w:t>
            </w:r>
          </w:p>
        </w:tc>
        <w:tc>
          <w:tcPr>
            <w:tcW w:w="899" w:type="dxa"/>
            <w:shd w:val="clear" w:color="auto" w:fill="C6EFCE"/>
            <w:noWrap/>
            <w:hideMark/>
          </w:tcPr>
          <w:p w14:paraId="1349498E" w14:textId="6EAAA5CE"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hideMark/>
          </w:tcPr>
          <w:p w14:paraId="28EA32D1" w14:textId="729CC2E8"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hideMark/>
          </w:tcPr>
          <w:p w14:paraId="52004B59" w14:textId="02037AB9" w:rsidR="00302FC1" w:rsidRPr="00AB26B3" w:rsidRDefault="00302FC1">
            <w:pPr>
              <w:spacing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hideMark/>
          </w:tcPr>
          <w:p w14:paraId="5005A3FE" w14:textId="6F217415" w:rsidR="00302FC1" w:rsidRPr="00AB26B3" w:rsidRDefault="00D64F26">
            <w:pPr>
              <w:pStyle w:val="P68B1DB1-Normal12"/>
              <w:spacing w:line="240" w:lineRule="auto"/>
              <w:rPr>
                <w:noProof/>
                <w:spacing w:val="-6"/>
                <w:lang w:val="sk-SK"/>
              </w:rPr>
            </w:pPr>
            <w:r w:rsidRPr="00AB26B3">
              <w:rPr>
                <w:noProof/>
                <w:spacing w:val="-6"/>
                <w:lang w:val="sk-SK"/>
              </w:rPr>
              <w:t>ŠTVRTÝ ŠTVRŤROK</w:t>
            </w:r>
          </w:p>
        </w:tc>
        <w:tc>
          <w:tcPr>
            <w:tcW w:w="687" w:type="dxa"/>
            <w:shd w:val="clear" w:color="auto" w:fill="C6EFCE"/>
            <w:noWrap/>
            <w:hideMark/>
          </w:tcPr>
          <w:p w14:paraId="3AD11605" w14:textId="127D896F" w:rsidR="00302FC1" w:rsidRPr="00AB26B3" w:rsidRDefault="00D64F26">
            <w:pPr>
              <w:pStyle w:val="P68B1DB1-Normal12"/>
              <w:spacing w:line="240" w:lineRule="auto"/>
              <w:rPr>
                <w:noProof/>
                <w:spacing w:val="-6"/>
                <w:lang w:val="sk-SK"/>
              </w:rPr>
            </w:pPr>
            <w:r w:rsidRPr="00AB26B3">
              <w:rPr>
                <w:noProof/>
                <w:spacing w:val="-6"/>
                <w:lang w:val="sk-SK"/>
              </w:rPr>
              <w:t>2025</w:t>
            </w:r>
          </w:p>
        </w:tc>
        <w:tc>
          <w:tcPr>
            <w:tcW w:w="4332" w:type="dxa"/>
            <w:shd w:val="clear" w:color="auto" w:fill="C6EFCE"/>
            <w:noWrap/>
            <w:hideMark/>
          </w:tcPr>
          <w:p w14:paraId="4546A150" w14:textId="7E3B0251" w:rsidR="00302FC1" w:rsidRPr="00AB26B3" w:rsidRDefault="00D64F26">
            <w:pPr>
              <w:pStyle w:val="P68B1DB1-Normal12"/>
              <w:spacing w:line="240" w:lineRule="auto"/>
              <w:jc w:val="both"/>
              <w:rPr>
                <w:noProof/>
                <w:spacing w:val="-6"/>
                <w:lang w:val="sk-SK"/>
              </w:rPr>
            </w:pPr>
            <w:r w:rsidRPr="00AB26B3">
              <w:rPr>
                <w:noProof/>
                <w:spacing w:val="-6"/>
                <w:lang w:val="sk-SK"/>
              </w:rPr>
              <w:t>Realizácia rozšírenia digitálnej transformácie poľnohospodárskeho sektora.</w:t>
            </w:r>
          </w:p>
        </w:tc>
      </w:tr>
      <w:tr w:rsidR="00302FC1" w:rsidRPr="00AB26B3" w14:paraId="0116115E" w14:textId="77777777">
        <w:trPr>
          <w:trHeight w:val="309"/>
          <w:jc w:val="center"/>
        </w:trPr>
        <w:tc>
          <w:tcPr>
            <w:tcW w:w="786" w:type="dxa"/>
            <w:shd w:val="clear" w:color="auto" w:fill="C6EFCE"/>
            <w:noWrap/>
            <w:hideMark/>
          </w:tcPr>
          <w:p w14:paraId="6E5DA7B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314</w:t>
            </w:r>
          </w:p>
        </w:tc>
        <w:tc>
          <w:tcPr>
            <w:tcW w:w="2298" w:type="dxa"/>
            <w:shd w:val="clear" w:color="auto" w:fill="C6EFCE"/>
            <w:noWrap/>
            <w:hideMark/>
          </w:tcPr>
          <w:p w14:paraId="19F73CF8" w14:textId="4CF1F58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16626_Hospodárska transformácia odvetví poľnohospodárstva</w:t>
            </w:r>
            <w:r w:rsidR="00AB26B3" w:rsidRPr="00AB26B3">
              <w:rPr>
                <w:noProof/>
                <w:spacing w:val="-6"/>
                <w:lang w:val="sk-SK"/>
              </w:rPr>
              <w:t xml:space="preserve"> a </w:t>
            </w:r>
            <w:r w:rsidRPr="00AB26B3">
              <w:rPr>
                <w:noProof/>
                <w:spacing w:val="-6"/>
                <w:lang w:val="sk-SK"/>
              </w:rPr>
              <w:t>akvakultúry</w:t>
            </w:r>
          </w:p>
        </w:tc>
        <w:tc>
          <w:tcPr>
            <w:tcW w:w="1589" w:type="dxa"/>
            <w:shd w:val="clear" w:color="auto" w:fill="C6EFCE"/>
            <w:noWrap/>
            <w:hideMark/>
          </w:tcPr>
          <w:p w14:paraId="3CEABFC0" w14:textId="46AB7F3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66" w:type="dxa"/>
            <w:shd w:val="clear" w:color="auto" w:fill="C6EFCE"/>
            <w:noWrap/>
            <w:hideMark/>
          </w:tcPr>
          <w:p w14:paraId="14CAF16F" w14:textId="5D468CA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Dokončenie hospodárskej transformácie poľnohospodárstva</w:t>
            </w:r>
            <w:r w:rsidR="00AB26B3" w:rsidRPr="00AB26B3">
              <w:rPr>
                <w:noProof/>
                <w:spacing w:val="-6"/>
                <w:lang w:val="sk-SK"/>
              </w:rPr>
              <w:t xml:space="preserve"> a </w:t>
            </w:r>
            <w:r w:rsidRPr="00AB26B3">
              <w:rPr>
                <w:noProof/>
                <w:spacing w:val="-6"/>
                <w:lang w:val="sk-SK"/>
              </w:rPr>
              <w:t>akvakultúry</w:t>
            </w:r>
          </w:p>
        </w:tc>
        <w:tc>
          <w:tcPr>
            <w:tcW w:w="1704" w:type="dxa"/>
            <w:shd w:val="clear" w:color="auto" w:fill="C6EFCE"/>
            <w:noWrap/>
            <w:hideMark/>
          </w:tcPr>
          <w:p w14:paraId="46CF577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Vykonané projekty</w:t>
            </w:r>
          </w:p>
        </w:tc>
        <w:tc>
          <w:tcPr>
            <w:tcW w:w="899" w:type="dxa"/>
            <w:shd w:val="clear" w:color="auto" w:fill="C6EFCE"/>
            <w:noWrap/>
            <w:hideMark/>
          </w:tcPr>
          <w:p w14:paraId="1B5B821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shd w:val="clear" w:color="auto" w:fill="C6EFCE"/>
            <w:noWrap/>
            <w:hideMark/>
          </w:tcPr>
          <w:p w14:paraId="209B857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587" w:type="dxa"/>
            <w:shd w:val="clear" w:color="auto" w:fill="C6EFCE"/>
            <w:noWrap/>
            <w:hideMark/>
          </w:tcPr>
          <w:p w14:paraId="095C653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hideMark/>
          </w:tcPr>
          <w:p w14:paraId="38A4159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687" w:type="dxa"/>
            <w:shd w:val="clear" w:color="auto" w:fill="C6EFCE"/>
            <w:noWrap/>
            <w:hideMark/>
          </w:tcPr>
          <w:p w14:paraId="09DE4D6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332" w:type="dxa"/>
            <w:shd w:val="clear" w:color="auto" w:fill="C6EFCE"/>
            <w:noWrap/>
            <w:hideMark/>
          </w:tcPr>
          <w:p w14:paraId="77E75789" w14:textId="25C6B714" w:rsidR="00302FC1" w:rsidRPr="00AB26B3" w:rsidRDefault="00D64F26">
            <w:pPr>
              <w:pStyle w:val="P68B1DB1-Normal12"/>
              <w:spacing w:before="120" w:after="0" w:line="240" w:lineRule="auto"/>
              <w:jc w:val="both"/>
              <w:rPr>
                <w:noProof/>
                <w:spacing w:val="-6"/>
                <w:lang w:val="sk-SK"/>
              </w:rPr>
            </w:pPr>
            <w:r w:rsidRPr="00AB26B3">
              <w:rPr>
                <w:noProof/>
                <w:spacing w:val="-6"/>
                <w:lang w:val="sk-SK"/>
              </w:rPr>
              <w:t xml:space="preserve">350 vykonaných projektov </w:t>
            </w:r>
          </w:p>
        </w:tc>
      </w:tr>
    </w:tbl>
    <w:p w14:paraId="46A4FA85"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422BA313"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300"/>
          <w:headerReference w:type="default" r:id="rId301"/>
          <w:footerReference w:type="even" r:id="rId302"/>
          <w:footerReference w:type="default" r:id="rId303"/>
          <w:headerReference w:type="first" r:id="rId304"/>
          <w:footerReference w:type="first" r:id="rId305"/>
          <w:pgSz w:w="16839" w:h="11907" w:orient="landscape"/>
          <w:pgMar w:top="720" w:right="720" w:bottom="720" w:left="720" w:header="709" w:footer="501" w:gutter="0"/>
          <w:cols w:space="720"/>
          <w:docGrid w:linePitch="360"/>
        </w:sectPr>
      </w:pPr>
    </w:p>
    <w:p w14:paraId="059B660E"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R. ZLOŽKA 4.7: ZLEPŠIŤ KONKURENCIESCHOPNOSŤ A PODPORIŤ SÚKROMNÉ INVESTÍCIE A VÝVOZ</w:t>
      </w:r>
    </w:p>
    <w:p w14:paraId="35A6DAA3" w14:textId="3D95AD76"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tohto komponentu gréckeho plánu obnovy</w:t>
      </w:r>
      <w:r w:rsidR="00AB26B3" w:rsidRPr="00AB26B3">
        <w:rPr>
          <w:noProof/>
          <w:spacing w:val="-6"/>
          <w:lang w:val="sk-SK"/>
        </w:rPr>
        <w:t xml:space="preserve"> a </w:t>
      </w:r>
      <w:r w:rsidRPr="00AB26B3">
        <w:rPr>
          <w:noProof/>
          <w:spacing w:val="-6"/>
          <w:lang w:val="sk-SK"/>
        </w:rPr>
        <w:t>odolnosti je stimulovať súkromné investície</w:t>
      </w:r>
      <w:r w:rsidR="00AB26B3" w:rsidRPr="00AB26B3">
        <w:rPr>
          <w:noProof/>
          <w:spacing w:val="-6"/>
          <w:lang w:val="sk-SK"/>
        </w:rPr>
        <w:t xml:space="preserve"> a </w:t>
      </w:r>
      <w:r w:rsidRPr="00AB26B3">
        <w:rPr>
          <w:noProof/>
          <w:spacing w:val="-6"/>
          <w:lang w:val="sk-SK"/>
        </w:rPr>
        <w:t>zvýšiť hospodársky extroverznosť riešením dlhodobých štrukturálnych problémov</w:t>
      </w:r>
      <w:r w:rsidR="00AB26B3" w:rsidRPr="00AB26B3">
        <w:rPr>
          <w:noProof/>
          <w:spacing w:val="-6"/>
          <w:lang w:val="sk-SK"/>
        </w:rPr>
        <w:t xml:space="preserve"> a </w:t>
      </w:r>
      <w:r w:rsidRPr="00AB26B3">
        <w:rPr>
          <w:noProof/>
          <w:spacing w:val="-6"/>
          <w:lang w:val="sk-SK"/>
        </w:rPr>
        <w:t>vytvorením podnikateľského prostredia priaznivého pre rozvoj hospodárskej činnosti. Pozostáva</w:t>
      </w:r>
      <w:r w:rsidR="00AB26B3" w:rsidRPr="00AB26B3">
        <w:rPr>
          <w:noProof/>
          <w:spacing w:val="-6"/>
          <w:lang w:val="sk-SK"/>
        </w:rPr>
        <w:t xml:space="preserve"> z </w:t>
      </w:r>
      <w:r w:rsidRPr="00AB26B3">
        <w:rPr>
          <w:noProof/>
          <w:spacing w:val="-6"/>
          <w:lang w:val="sk-SK"/>
        </w:rPr>
        <w:t>opatrení na podporu rastu veľkosti firiem</w:t>
      </w:r>
      <w:r w:rsidR="00AB26B3" w:rsidRPr="00AB26B3">
        <w:rPr>
          <w:noProof/>
          <w:spacing w:val="-6"/>
          <w:lang w:val="sk-SK"/>
        </w:rPr>
        <w:t xml:space="preserve"> s </w:t>
      </w:r>
      <w:r w:rsidRPr="00AB26B3">
        <w:rPr>
          <w:noProof/>
          <w:spacing w:val="-6"/>
          <w:lang w:val="sk-SK"/>
        </w:rPr>
        <w:t>cieľom dosiahnuť úspory</w:t>
      </w:r>
      <w:r w:rsidR="00AB26B3" w:rsidRPr="00AB26B3">
        <w:rPr>
          <w:noProof/>
          <w:spacing w:val="-6"/>
          <w:lang w:val="sk-SK"/>
        </w:rPr>
        <w:t xml:space="preserve"> z </w:t>
      </w:r>
      <w:r w:rsidRPr="00AB26B3">
        <w:rPr>
          <w:noProof/>
          <w:spacing w:val="-6"/>
          <w:lang w:val="sk-SK"/>
        </w:rPr>
        <w:t>rozsahu</w:t>
      </w:r>
      <w:r w:rsidR="00AB26B3" w:rsidRPr="00AB26B3">
        <w:rPr>
          <w:noProof/>
          <w:spacing w:val="-6"/>
          <w:lang w:val="sk-SK"/>
        </w:rPr>
        <w:t xml:space="preserve"> a </w:t>
      </w:r>
      <w:r w:rsidRPr="00AB26B3">
        <w:rPr>
          <w:noProof/>
          <w:spacing w:val="-6"/>
          <w:lang w:val="sk-SK"/>
        </w:rPr>
        <w:t>pomôcť im preniknúť na zahraničné trhy, odstrániť nadmernú administratívnu záťaž pre podniky, podporiť dodržiavanie predpisov</w:t>
      </w:r>
      <w:r w:rsidR="00AB26B3" w:rsidRPr="00AB26B3">
        <w:rPr>
          <w:noProof/>
          <w:spacing w:val="-6"/>
          <w:lang w:val="sk-SK"/>
        </w:rPr>
        <w:t xml:space="preserve"> a </w:t>
      </w:r>
      <w:r w:rsidRPr="00AB26B3">
        <w:rPr>
          <w:noProof/>
          <w:spacing w:val="-6"/>
          <w:lang w:val="sk-SK"/>
        </w:rPr>
        <w:t>rovnaké podmienky prostredníctvom účinného dohľadu nad trhom</w:t>
      </w:r>
      <w:r w:rsidR="00AB26B3" w:rsidRPr="00AB26B3">
        <w:rPr>
          <w:noProof/>
          <w:spacing w:val="-6"/>
          <w:lang w:val="sk-SK"/>
        </w:rPr>
        <w:t xml:space="preserve"> a </w:t>
      </w:r>
      <w:r w:rsidRPr="00AB26B3">
        <w:rPr>
          <w:noProof/>
          <w:spacing w:val="-6"/>
          <w:lang w:val="sk-SK"/>
        </w:rPr>
        <w:t>vytvoriť jednoduchší</w:t>
      </w:r>
      <w:r w:rsidR="00AB26B3" w:rsidRPr="00AB26B3">
        <w:rPr>
          <w:noProof/>
          <w:spacing w:val="-6"/>
          <w:lang w:val="sk-SK"/>
        </w:rPr>
        <w:t xml:space="preserve"> a </w:t>
      </w:r>
      <w:r w:rsidRPr="00AB26B3">
        <w:rPr>
          <w:noProof/>
          <w:spacing w:val="-6"/>
          <w:lang w:val="sk-SK"/>
        </w:rPr>
        <w:t>predvídateľnejší regulačný rámec. Tieto opatrenia dopĺňa návrh na využívanie úverovej podpory</w:t>
      </w:r>
      <w:r w:rsidR="00AB26B3" w:rsidRPr="00AB26B3">
        <w:rPr>
          <w:noProof/>
          <w:spacing w:val="-6"/>
          <w:lang w:val="sk-SK"/>
        </w:rPr>
        <w:t xml:space="preserve"> v </w:t>
      </w:r>
      <w:r w:rsidRPr="00AB26B3">
        <w:rPr>
          <w:noProof/>
          <w:spacing w:val="-6"/>
          <w:lang w:val="sk-SK"/>
        </w:rPr>
        <w:t>rámci Mechanizmu na podporu obnovy</w:t>
      </w:r>
      <w:r w:rsidR="00AB26B3" w:rsidRPr="00AB26B3">
        <w:rPr>
          <w:noProof/>
          <w:spacing w:val="-6"/>
          <w:lang w:val="sk-SK"/>
        </w:rPr>
        <w:t xml:space="preserve"> a </w:t>
      </w:r>
      <w:r w:rsidRPr="00AB26B3">
        <w:rPr>
          <w:noProof/>
          <w:spacing w:val="-6"/>
          <w:lang w:val="sk-SK"/>
        </w:rPr>
        <w:t>odolnosti na uľahčenie poskytovania finančných stimulov súkromnému sektoru</w:t>
      </w:r>
      <w:r w:rsidR="00AB26B3" w:rsidRPr="00AB26B3">
        <w:rPr>
          <w:noProof/>
          <w:spacing w:val="-6"/>
          <w:lang w:val="sk-SK"/>
        </w:rPr>
        <w:t xml:space="preserve"> s </w:t>
      </w:r>
      <w:r w:rsidRPr="00AB26B3">
        <w:rPr>
          <w:noProof/>
          <w:spacing w:val="-6"/>
          <w:lang w:val="sk-SK"/>
        </w:rPr>
        <w:t>cieľom podporiť súkromné investície. Očakáva sa, že táto úverová podpora bude smerovať do hospodárstva prostredníctvom troch rôznych kanálov,</w:t>
      </w:r>
      <w:r w:rsidR="00AB26B3" w:rsidRPr="00AB26B3">
        <w:rPr>
          <w:noProof/>
          <w:spacing w:val="-6"/>
          <w:lang w:val="sk-SK"/>
        </w:rPr>
        <w:t xml:space="preserve"> a </w:t>
      </w:r>
      <w:r w:rsidRPr="00AB26B3">
        <w:rPr>
          <w:noProof/>
          <w:spacing w:val="-6"/>
          <w:lang w:val="sk-SK"/>
        </w:rPr>
        <w:t>to finančných inštitúcií (prostredníctvom nákupu podnikových dlhopisov alebo syndikovaných úverov), kapitálovej platformy</w:t>
      </w:r>
      <w:r w:rsidR="00AB26B3" w:rsidRPr="00AB26B3">
        <w:rPr>
          <w:noProof/>
          <w:spacing w:val="-6"/>
          <w:lang w:val="sk-SK"/>
        </w:rPr>
        <w:t xml:space="preserve"> a </w:t>
      </w:r>
      <w:r w:rsidRPr="00AB26B3">
        <w:rPr>
          <w:noProof/>
          <w:spacing w:val="-6"/>
          <w:lang w:val="sk-SK"/>
        </w:rPr>
        <w:t>využitia časti gréckej národnej zložky Programu InvestEU. Komponent podporuje riešenie odporúčania pre danú krajinu týkajúceho sa verejných</w:t>
      </w:r>
      <w:r w:rsidR="00AB26B3" w:rsidRPr="00AB26B3">
        <w:rPr>
          <w:noProof/>
          <w:spacing w:val="-6"/>
          <w:lang w:val="sk-SK"/>
        </w:rPr>
        <w:t xml:space="preserve"> a </w:t>
      </w:r>
      <w:r w:rsidRPr="00AB26B3">
        <w:rPr>
          <w:noProof/>
          <w:spacing w:val="-6"/>
          <w:lang w:val="sk-SK"/>
        </w:rPr>
        <w:t xml:space="preserve">súkromných investícií (odporúčanie pre danú krajinu </w:t>
      </w:r>
      <w:r w:rsidR="00AB26B3" w:rsidRPr="00AB26B3">
        <w:rPr>
          <w:noProof/>
          <w:spacing w:val="-6"/>
          <w:lang w:val="sk-SK"/>
        </w:rPr>
        <w:t>č. </w:t>
      </w:r>
      <w:r w:rsidRPr="00AB26B3">
        <w:rPr>
          <w:noProof/>
          <w:spacing w:val="-6"/>
          <w:lang w:val="sk-SK"/>
        </w:rPr>
        <w:t>3 2020</w:t>
      </w:r>
      <w:r w:rsidR="00AB26B3" w:rsidRPr="00AB26B3">
        <w:rPr>
          <w:noProof/>
          <w:spacing w:val="-6"/>
          <w:lang w:val="sk-SK"/>
        </w:rPr>
        <w:t xml:space="preserve"> a </w:t>
      </w:r>
      <w:r w:rsidRPr="00AB26B3">
        <w:rPr>
          <w:noProof/>
          <w:spacing w:val="-6"/>
          <w:lang w:val="sk-SK"/>
        </w:rPr>
        <w:t xml:space="preserve">odporúčanie pre danú krajinu </w:t>
      </w:r>
      <w:r w:rsidR="00AB26B3" w:rsidRPr="00AB26B3">
        <w:rPr>
          <w:noProof/>
          <w:spacing w:val="-6"/>
          <w:lang w:val="sk-SK"/>
        </w:rPr>
        <w:t>č. </w:t>
      </w:r>
      <w:r w:rsidRPr="00AB26B3">
        <w:rPr>
          <w:noProof/>
          <w:spacing w:val="-6"/>
          <w:lang w:val="sk-SK"/>
        </w:rPr>
        <w:t>2 2019). Očakáva sa, že žiadne opatrenie</w:t>
      </w:r>
      <w:r w:rsidR="00AB26B3" w:rsidRPr="00AB26B3">
        <w:rPr>
          <w:noProof/>
          <w:spacing w:val="-6"/>
          <w:lang w:val="sk-SK"/>
        </w:rPr>
        <w:t xml:space="preserve"> v </w:t>
      </w:r>
      <w:r w:rsidRPr="00AB26B3">
        <w:rPr>
          <w:noProof/>
          <w:spacing w:val="-6"/>
          <w:lang w:val="sk-SK"/>
        </w:rPr>
        <w:t>tomto komponente výrazne nenaruší environmentálne ciele</w:t>
      </w:r>
      <w:r w:rsidR="00AB26B3" w:rsidRPr="00AB26B3">
        <w:rPr>
          <w:noProof/>
          <w:spacing w:val="-6"/>
          <w:lang w:val="sk-SK"/>
        </w:rPr>
        <w:t xml:space="preserve"> v </w:t>
      </w:r>
      <w:r w:rsidRPr="00AB26B3">
        <w:rPr>
          <w:noProof/>
          <w:spacing w:val="-6"/>
          <w:lang w:val="sk-SK"/>
        </w:rPr>
        <w:t>zmysle článku 17 nariadenia (EÚ) 2020/852, pričom sa zohľadní opis opatrení</w:t>
      </w:r>
      <w:r w:rsidR="00AB26B3" w:rsidRPr="00AB26B3">
        <w:rPr>
          <w:noProof/>
          <w:spacing w:val="-6"/>
          <w:lang w:val="sk-SK"/>
        </w:rPr>
        <w:t xml:space="preserve"> a </w:t>
      </w:r>
      <w:r w:rsidRPr="00AB26B3">
        <w:rPr>
          <w:noProof/>
          <w:spacing w:val="-6"/>
          <w:lang w:val="sk-SK"/>
        </w:rPr>
        <w:t>zmierňujúce kroky stanovené</w:t>
      </w:r>
      <w:r w:rsidR="00AB26B3" w:rsidRPr="00AB26B3">
        <w:rPr>
          <w:noProof/>
          <w:spacing w:val="-6"/>
          <w:lang w:val="sk-SK"/>
        </w:rPr>
        <w:t xml:space="preserve"> v </w:t>
      </w:r>
      <w:r w:rsidRPr="00AB26B3">
        <w:rPr>
          <w:noProof/>
          <w:spacing w:val="-6"/>
          <w:lang w:val="sk-SK"/>
        </w:rPr>
        <w:t>pláne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„výrazne nenarušiť“ (2021/C58/01).</w:t>
      </w:r>
    </w:p>
    <w:p w14:paraId="5D1E77DB" w14:textId="35F9BD9F" w:rsidR="00302FC1" w:rsidRPr="00AB26B3" w:rsidRDefault="00D64F26">
      <w:pPr>
        <w:pStyle w:val="P68B1DB1-Normal6"/>
        <w:spacing w:before="120" w:after="120" w:line="240" w:lineRule="auto"/>
        <w:jc w:val="both"/>
        <w:rPr>
          <w:rFonts w:cs="Times New Roman"/>
          <w:i/>
          <w:noProof/>
          <w:color w:val="4F81BD"/>
          <w:spacing w:val="-6"/>
          <w:lang w:val="sk-SK"/>
        </w:rPr>
      </w:pPr>
      <w:r w:rsidRPr="00AB26B3">
        <w:rPr>
          <w:noProof/>
          <w:spacing w:val="-6"/>
          <w:lang w:val="sk-SK"/>
        </w:rPr>
        <w:t>R.1.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74E8E1D3" w14:textId="0B191630"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Opatrenia na zjednodušenie podnikateľského prostredia</w:t>
      </w:r>
      <w:r w:rsidR="00AB26B3" w:rsidRPr="00AB26B3">
        <w:rPr>
          <w:noProof/>
          <w:spacing w:val="-6"/>
          <w:lang w:val="sk-SK"/>
        </w:rPr>
        <w:t xml:space="preserve"> a </w:t>
      </w:r>
      <w:r w:rsidRPr="00AB26B3">
        <w:rPr>
          <w:noProof/>
          <w:spacing w:val="-6"/>
          <w:lang w:val="sk-SK"/>
        </w:rPr>
        <w:t>jeho zvýšenie kvality</w:t>
      </w:r>
      <w:r w:rsidR="00AB26B3" w:rsidRPr="00AB26B3">
        <w:rPr>
          <w:noProof/>
          <w:spacing w:val="-6"/>
          <w:lang w:val="sk-SK"/>
        </w:rPr>
        <w:t xml:space="preserve"> a </w:t>
      </w:r>
      <w:r w:rsidRPr="00AB26B3">
        <w:rPr>
          <w:noProof/>
          <w:spacing w:val="-6"/>
          <w:lang w:val="sk-SK"/>
        </w:rPr>
        <w:t>bezpečnosti (opatrenie ID 16543)</w:t>
      </w:r>
    </w:p>
    <w:p w14:paraId="0188692B" w14:textId="4F50C1D1"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reformy je vytvoriť priaznivejšie podnikateľské prostredie pre investície, uľahčiť vstup podnikov na trh</w:t>
      </w:r>
      <w:r w:rsidR="00AB26B3" w:rsidRPr="00AB26B3">
        <w:rPr>
          <w:noProof/>
          <w:spacing w:val="-6"/>
          <w:lang w:val="sk-SK"/>
        </w:rPr>
        <w:t xml:space="preserve"> a </w:t>
      </w:r>
      <w:r w:rsidRPr="00AB26B3">
        <w:rPr>
          <w:noProof/>
          <w:spacing w:val="-6"/>
          <w:lang w:val="sk-SK"/>
        </w:rPr>
        <w:t>vytváranie pracovných miest</w:t>
      </w:r>
      <w:r w:rsidR="00AB26B3" w:rsidRPr="00AB26B3">
        <w:rPr>
          <w:noProof/>
          <w:spacing w:val="-6"/>
          <w:lang w:val="sk-SK"/>
        </w:rPr>
        <w:t xml:space="preserve"> a </w:t>
      </w:r>
      <w:r w:rsidRPr="00AB26B3">
        <w:rPr>
          <w:noProof/>
          <w:spacing w:val="-6"/>
          <w:lang w:val="sk-SK"/>
        </w:rPr>
        <w:t>zabezpečiť účinný dohľad nad trhom. Reforma zahŕňa regulačné, administratívne</w:t>
      </w:r>
      <w:r w:rsidR="00AB26B3" w:rsidRPr="00AB26B3">
        <w:rPr>
          <w:noProof/>
          <w:spacing w:val="-6"/>
          <w:lang w:val="sk-SK"/>
        </w:rPr>
        <w:t xml:space="preserve"> a </w:t>
      </w:r>
      <w:r w:rsidRPr="00AB26B3">
        <w:rPr>
          <w:noProof/>
          <w:spacing w:val="-6"/>
          <w:lang w:val="sk-SK"/>
        </w:rPr>
        <w:t>IT intervencie</w:t>
      </w:r>
      <w:r w:rsidR="00AB26B3" w:rsidRPr="00AB26B3">
        <w:rPr>
          <w:noProof/>
          <w:spacing w:val="-6"/>
          <w:lang w:val="sk-SK"/>
        </w:rPr>
        <w:t xml:space="preserve"> s </w:t>
      </w:r>
      <w:r w:rsidRPr="00AB26B3">
        <w:rPr>
          <w:noProof/>
          <w:spacing w:val="-6"/>
          <w:lang w:val="sk-SK"/>
        </w:rPr>
        <w:t>cieľom zjednodušiť postupy</w:t>
      </w:r>
      <w:r w:rsidR="00AB26B3" w:rsidRPr="00AB26B3">
        <w:rPr>
          <w:noProof/>
          <w:spacing w:val="-6"/>
          <w:lang w:val="sk-SK"/>
        </w:rPr>
        <w:t xml:space="preserve"> a </w:t>
      </w:r>
      <w:r w:rsidRPr="00AB26B3">
        <w:rPr>
          <w:noProof/>
          <w:spacing w:val="-6"/>
          <w:lang w:val="sk-SK"/>
        </w:rPr>
        <w:t>požiadavky týkajúce sa podnikateľskej činnosti, uľahčiť regulačnú istotu</w:t>
      </w:r>
      <w:r w:rsidR="00AB26B3" w:rsidRPr="00AB26B3">
        <w:rPr>
          <w:noProof/>
          <w:spacing w:val="-6"/>
          <w:lang w:val="sk-SK"/>
        </w:rPr>
        <w:t xml:space="preserve"> a </w:t>
      </w:r>
      <w:r w:rsidRPr="00AB26B3">
        <w:rPr>
          <w:noProof/>
          <w:spacing w:val="-6"/>
          <w:lang w:val="sk-SK"/>
        </w:rPr>
        <w:t>riešiť nedostatky</w:t>
      </w:r>
      <w:r w:rsidR="00AB26B3" w:rsidRPr="00AB26B3">
        <w:rPr>
          <w:noProof/>
          <w:spacing w:val="-6"/>
          <w:lang w:val="sk-SK"/>
        </w:rPr>
        <w:t xml:space="preserve"> v </w:t>
      </w:r>
      <w:r w:rsidRPr="00AB26B3">
        <w:rPr>
          <w:noProof/>
          <w:spacing w:val="-6"/>
          <w:lang w:val="sk-SK"/>
        </w:rPr>
        <w:t>rámci dohľadu nad trhom</w:t>
      </w:r>
      <w:r w:rsidR="00AB26B3" w:rsidRPr="00AB26B3">
        <w:rPr>
          <w:noProof/>
          <w:spacing w:val="-6"/>
          <w:lang w:val="sk-SK"/>
        </w:rPr>
        <w:t>.</w:t>
      </w:r>
    </w:p>
    <w:p w14:paraId="301D85B5" w14:textId="03E84AC0"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Jednoduchosť podnikania (opatrenie ID 16591)</w:t>
      </w:r>
    </w:p>
    <w:p w14:paraId="779F2F17" w14:textId="0845DD50" w:rsidR="00302FC1" w:rsidRPr="00AB26B3" w:rsidRDefault="00D64F26">
      <w:pPr>
        <w:pStyle w:val="P68B1DB1-Normal5"/>
        <w:spacing w:before="120" w:after="120" w:line="240" w:lineRule="auto"/>
        <w:jc w:val="both"/>
        <w:rPr>
          <w:b/>
          <w:noProof/>
          <w:spacing w:val="-6"/>
          <w:lang w:val="sk-SK"/>
        </w:rPr>
        <w:sectPr w:rsidR="00302FC1" w:rsidRPr="00AB26B3" w:rsidSect="00315FC0">
          <w:headerReference w:type="even" r:id="rId306"/>
          <w:headerReference w:type="default" r:id="rId307"/>
          <w:footerReference w:type="even" r:id="rId308"/>
          <w:footerReference w:type="default" r:id="rId309"/>
          <w:headerReference w:type="first" r:id="rId310"/>
          <w:footerReference w:type="first" r:id="rId311"/>
          <w:pgSz w:w="11906" w:h="16838"/>
          <w:pgMar w:top="1417" w:right="1417" w:bottom="1417" w:left="1417" w:header="708" w:footer="708" w:gutter="0"/>
          <w:cols w:space="708"/>
          <w:docGrid w:linePitch="360"/>
        </w:sectPr>
      </w:pPr>
      <w:r w:rsidRPr="00AB26B3">
        <w:rPr>
          <w:noProof/>
          <w:spacing w:val="-6"/>
          <w:lang w:val="sk-SK"/>
        </w:rPr>
        <w:t>Cieľom reformy je zlepšiť podnikateľské prostredie</w:t>
      </w:r>
      <w:r w:rsidR="00AB26B3" w:rsidRPr="00AB26B3">
        <w:rPr>
          <w:noProof/>
          <w:spacing w:val="-6"/>
          <w:lang w:val="sk-SK"/>
        </w:rPr>
        <w:t xml:space="preserve"> a </w:t>
      </w:r>
      <w:r w:rsidRPr="00AB26B3">
        <w:rPr>
          <w:noProof/>
          <w:spacing w:val="-6"/>
          <w:lang w:val="sk-SK"/>
        </w:rPr>
        <w:t>zmierniť administratívne</w:t>
      </w:r>
      <w:r w:rsidR="00AB26B3" w:rsidRPr="00AB26B3">
        <w:rPr>
          <w:noProof/>
          <w:spacing w:val="-6"/>
          <w:lang w:val="sk-SK"/>
        </w:rPr>
        <w:t xml:space="preserve"> a </w:t>
      </w:r>
      <w:r w:rsidRPr="00AB26B3">
        <w:rPr>
          <w:noProof/>
          <w:spacing w:val="-6"/>
          <w:lang w:val="sk-SK"/>
        </w:rPr>
        <w:t>regulačné zaťaženie podnikov. Cieľom reformy je tiež zlepšiť postavenie Grécka</w:t>
      </w:r>
      <w:r w:rsidR="00AB26B3" w:rsidRPr="00AB26B3">
        <w:rPr>
          <w:noProof/>
          <w:spacing w:val="-6"/>
          <w:lang w:val="sk-SK"/>
        </w:rPr>
        <w:t xml:space="preserve"> v </w:t>
      </w:r>
      <w:r w:rsidRPr="00AB26B3">
        <w:rPr>
          <w:noProof/>
          <w:spacing w:val="-6"/>
          <w:lang w:val="sk-SK"/>
        </w:rPr>
        <w:t>medzinárodných ukazovateľoch, najmä</w:t>
      </w:r>
      <w:r w:rsidR="00AB26B3" w:rsidRPr="00AB26B3">
        <w:rPr>
          <w:noProof/>
          <w:spacing w:val="-6"/>
          <w:lang w:val="sk-SK"/>
        </w:rPr>
        <w:t xml:space="preserve"> v </w:t>
      </w:r>
      <w:r w:rsidRPr="00AB26B3">
        <w:rPr>
          <w:noProof/>
          <w:spacing w:val="-6"/>
          <w:lang w:val="sk-SK"/>
        </w:rPr>
        <w:t>oblasti podnikania Svetovej banky, konkrétne získavanie úverov, získavanie elektriny, registrácia majetku</w:t>
      </w:r>
      <w:r w:rsidR="00AB26B3" w:rsidRPr="00AB26B3">
        <w:rPr>
          <w:noProof/>
          <w:spacing w:val="-6"/>
          <w:lang w:val="sk-SK"/>
        </w:rPr>
        <w:t xml:space="preserve"> a </w:t>
      </w:r>
      <w:r w:rsidRPr="00AB26B3">
        <w:rPr>
          <w:noProof/>
          <w:spacing w:val="-6"/>
          <w:lang w:val="sk-SK"/>
        </w:rPr>
        <w:t>získanie stavebného povolenia,</w:t>
      </w:r>
      <w:r w:rsidR="00AB26B3" w:rsidRPr="00AB26B3">
        <w:rPr>
          <w:noProof/>
          <w:spacing w:val="-6"/>
          <w:lang w:val="sk-SK"/>
        </w:rPr>
        <w:t xml:space="preserve"> a </w:t>
      </w:r>
      <w:r w:rsidRPr="00AB26B3">
        <w:rPr>
          <w:noProof/>
          <w:spacing w:val="-6"/>
          <w:lang w:val="sk-SK"/>
        </w:rPr>
        <w:t>to skrátením postupov, skrátením času</w:t>
      </w:r>
      <w:r w:rsidR="00AB26B3" w:rsidRPr="00AB26B3">
        <w:rPr>
          <w:noProof/>
          <w:spacing w:val="-6"/>
          <w:lang w:val="sk-SK"/>
        </w:rPr>
        <w:t xml:space="preserve"> a </w:t>
      </w:r>
      <w:r w:rsidRPr="00AB26B3">
        <w:rPr>
          <w:noProof/>
          <w:spacing w:val="-6"/>
          <w:lang w:val="sk-SK"/>
        </w:rPr>
        <w:t>znížením nákladov</w:t>
      </w:r>
      <w:r w:rsidR="00AB26B3" w:rsidRPr="00AB26B3">
        <w:rPr>
          <w:noProof/>
          <w:spacing w:val="-6"/>
          <w:lang w:val="sk-SK"/>
        </w:rPr>
        <w:t xml:space="preserve"> a </w:t>
      </w:r>
      <w:r w:rsidRPr="00AB26B3">
        <w:rPr>
          <w:noProof/>
          <w:spacing w:val="-6"/>
          <w:lang w:val="sk-SK"/>
        </w:rPr>
        <w:t>zabezpečením stabilného</w:t>
      </w:r>
      <w:r w:rsidR="00AB26B3" w:rsidRPr="00AB26B3">
        <w:rPr>
          <w:noProof/>
          <w:spacing w:val="-6"/>
          <w:lang w:val="sk-SK"/>
        </w:rPr>
        <w:t xml:space="preserve"> a </w:t>
      </w:r>
      <w:r w:rsidRPr="00AB26B3">
        <w:rPr>
          <w:noProof/>
          <w:spacing w:val="-6"/>
          <w:lang w:val="sk-SK"/>
        </w:rPr>
        <w:t>predvídateľného legislatívneho rámca. Konkrétne zahŕňa sériu intervencií na zníženie zložitosti procesov, nákladov</w:t>
      </w:r>
      <w:r w:rsidR="00AB26B3" w:rsidRPr="00AB26B3">
        <w:rPr>
          <w:noProof/>
          <w:spacing w:val="-6"/>
          <w:lang w:val="sk-SK"/>
        </w:rPr>
        <w:t xml:space="preserve"> a </w:t>
      </w:r>
      <w:r w:rsidRPr="00AB26B3">
        <w:rPr>
          <w:noProof/>
          <w:spacing w:val="-6"/>
          <w:lang w:val="sk-SK"/>
        </w:rPr>
        <w:t>času</w:t>
      </w:r>
      <w:r w:rsidR="00AB26B3" w:rsidRPr="00AB26B3">
        <w:rPr>
          <w:noProof/>
          <w:spacing w:val="-6"/>
          <w:lang w:val="sk-SK"/>
        </w:rPr>
        <w:t xml:space="preserve"> v </w:t>
      </w:r>
      <w:r w:rsidRPr="00AB26B3">
        <w:rPr>
          <w:noProof/>
          <w:spacing w:val="-6"/>
          <w:lang w:val="sk-SK"/>
        </w:rPr>
        <w:t>každej</w:t>
      </w:r>
      <w:r w:rsidR="00AB26B3" w:rsidRPr="00AB26B3">
        <w:rPr>
          <w:noProof/>
          <w:spacing w:val="-6"/>
          <w:lang w:val="sk-SK"/>
        </w:rPr>
        <w:t xml:space="preserve"> z </w:t>
      </w:r>
      <w:r w:rsidRPr="00AB26B3">
        <w:rPr>
          <w:noProof/>
          <w:spacing w:val="-6"/>
          <w:lang w:val="sk-SK"/>
        </w:rPr>
        <w:t>uvedených oblastí, ako aj odbornú prípravu zamestnancov verejného sektora zapojených do takýchto procesov</w:t>
      </w:r>
      <w:r w:rsidR="00AB26B3" w:rsidRPr="00AB26B3">
        <w:rPr>
          <w:noProof/>
          <w:spacing w:val="-6"/>
          <w:lang w:val="sk-SK"/>
        </w:rPr>
        <w:t xml:space="preserve"> a </w:t>
      </w:r>
      <w:r w:rsidRPr="00AB26B3">
        <w:rPr>
          <w:noProof/>
          <w:spacing w:val="-6"/>
          <w:lang w:val="sk-SK"/>
        </w:rPr>
        <w:t>osvetových činností pre kľúčové zainteresované strany. Implementácia tejto reformy sa dokončí do 30</w:t>
      </w:r>
      <w:r w:rsidR="00AB26B3" w:rsidRPr="00AB26B3">
        <w:rPr>
          <w:noProof/>
          <w:spacing w:val="-6"/>
          <w:lang w:val="sk-SK"/>
        </w:rPr>
        <w:t>. júna</w:t>
      </w:r>
      <w:r w:rsidRPr="00AB26B3">
        <w:rPr>
          <w:noProof/>
          <w:spacing w:val="-6"/>
          <w:lang w:val="sk-SK"/>
        </w:rPr>
        <w:t xml:space="preserve"> 2024.</w:t>
      </w:r>
    </w:p>
    <w:p w14:paraId="30DE8A5B" w14:textId="1040F304"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Reforma:</w:t>
      </w:r>
      <w:r w:rsidRPr="00AB26B3">
        <w:rPr>
          <w:noProof/>
          <w:spacing w:val="-6"/>
          <w:lang w:val="sk-SK"/>
        </w:rPr>
        <w:t xml:space="preserve"> Režim stimulov pre produktivitu</w:t>
      </w:r>
      <w:r w:rsidR="00AB26B3" w:rsidRPr="00AB26B3">
        <w:rPr>
          <w:noProof/>
          <w:spacing w:val="-6"/>
          <w:lang w:val="sk-SK"/>
        </w:rPr>
        <w:t xml:space="preserve"> a </w:t>
      </w:r>
      <w:r w:rsidRPr="00AB26B3">
        <w:rPr>
          <w:noProof/>
          <w:spacing w:val="-6"/>
          <w:lang w:val="sk-SK"/>
        </w:rPr>
        <w:t>extroverziu podnikov (zvýšenie veľkosti podnikov) (opatrenie ID 16598)</w:t>
      </w:r>
    </w:p>
    <w:p w14:paraId="646E886B" w14:textId="2A52F047"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reformy je riešiť nedostatky spojené</w:t>
      </w:r>
      <w:r w:rsidR="00AB26B3" w:rsidRPr="00AB26B3">
        <w:rPr>
          <w:noProof/>
          <w:spacing w:val="-6"/>
          <w:lang w:val="sk-SK"/>
        </w:rPr>
        <w:t xml:space="preserve"> s </w:t>
      </w:r>
      <w:r w:rsidRPr="00AB26B3">
        <w:rPr>
          <w:noProof/>
          <w:spacing w:val="-6"/>
          <w:lang w:val="sk-SK"/>
        </w:rPr>
        <w:t>prevažne malou veľkosťou gréckych podnikov. Vytvorí súbor daňových</w:t>
      </w:r>
      <w:r w:rsidR="00AB26B3" w:rsidRPr="00AB26B3">
        <w:rPr>
          <w:noProof/>
          <w:spacing w:val="-6"/>
          <w:lang w:val="sk-SK"/>
        </w:rPr>
        <w:t xml:space="preserve"> a </w:t>
      </w:r>
      <w:r w:rsidRPr="00AB26B3">
        <w:rPr>
          <w:noProof/>
          <w:spacing w:val="-6"/>
          <w:lang w:val="sk-SK"/>
        </w:rPr>
        <w:t>iných stimulov na podporu samostatne zárobkovo činných osôb</w:t>
      </w:r>
      <w:r w:rsidR="00AB26B3" w:rsidRPr="00AB26B3">
        <w:rPr>
          <w:noProof/>
          <w:spacing w:val="-6"/>
          <w:lang w:val="sk-SK"/>
        </w:rPr>
        <w:t xml:space="preserve"> a </w:t>
      </w:r>
      <w:r w:rsidRPr="00AB26B3">
        <w:rPr>
          <w:noProof/>
          <w:spacing w:val="-6"/>
          <w:lang w:val="sk-SK"/>
        </w:rPr>
        <w:t>mikropodnikov, malých</w:t>
      </w:r>
      <w:r w:rsidR="00AB26B3" w:rsidRPr="00AB26B3">
        <w:rPr>
          <w:noProof/>
          <w:spacing w:val="-6"/>
          <w:lang w:val="sk-SK"/>
        </w:rPr>
        <w:t xml:space="preserve"> a </w:t>
      </w:r>
      <w:r w:rsidRPr="00AB26B3">
        <w:rPr>
          <w:noProof/>
          <w:spacing w:val="-6"/>
          <w:lang w:val="sk-SK"/>
        </w:rPr>
        <w:t>stredných podnikov, aby zvýšili úspory</w:t>
      </w:r>
      <w:r w:rsidR="00AB26B3" w:rsidRPr="00AB26B3">
        <w:rPr>
          <w:noProof/>
          <w:spacing w:val="-6"/>
          <w:lang w:val="sk-SK"/>
        </w:rPr>
        <w:t xml:space="preserve"> z </w:t>
      </w:r>
      <w:r w:rsidRPr="00AB26B3">
        <w:rPr>
          <w:noProof/>
          <w:spacing w:val="-6"/>
          <w:lang w:val="sk-SK"/>
        </w:rPr>
        <w:t>rozsahu prostredníctvom fúzií, konverzií, akvizícií</w:t>
      </w:r>
      <w:r w:rsidR="00AB26B3" w:rsidRPr="00AB26B3">
        <w:rPr>
          <w:noProof/>
          <w:spacing w:val="-6"/>
          <w:lang w:val="sk-SK"/>
        </w:rPr>
        <w:t xml:space="preserve"> a </w:t>
      </w:r>
      <w:r w:rsidRPr="00AB26B3">
        <w:rPr>
          <w:noProof/>
          <w:spacing w:val="-6"/>
          <w:lang w:val="sk-SK"/>
        </w:rPr>
        <w:t>systémov</w:t>
      </w:r>
      <w:r w:rsidR="00AB26B3" w:rsidRPr="00AB26B3">
        <w:rPr>
          <w:noProof/>
          <w:spacing w:val="-6"/>
          <w:lang w:val="sk-SK"/>
        </w:rPr>
        <w:t xml:space="preserve"> a </w:t>
      </w:r>
      <w:r w:rsidRPr="00AB26B3">
        <w:rPr>
          <w:noProof/>
          <w:spacing w:val="-6"/>
          <w:lang w:val="sk-SK"/>
        </w:rPr>
        <w:t>platforiem spolupráce, ako sú spoločné podniky, klastre, ktoré podporujú aj vyššiu produktivitu</w:t>
      </w:r>
      <w:r w:rsidR="00AB26B3" w:rsidRPr="00AB26B3">
        <w:rPr>
          <w:noProof/>
          <w:spacing w:val="-6"/>
          <w:lang w:val="sk-SK"/>
        </w:rPr>
        <w:t xml:space="preserve"> a </w:t>
      </w:r>
      <w:r w:rsidRPr="00AB26B3">
        <w:rPr>
          <w:noProof/>
          <w:spacing w:val="-6"/>
          <w:lang w:val="sk-SK"/>
        </w:rPr>
        <w:t>zvýšený vývoz. Implementácia tejto reformy sa dokončí do 31</w:t>
      </w:r>
      <w:r w:rsidR="00AB26B3" w:rsidRPr="00AB26B3">
        <w:rPr>
          <w:noProof/>
          <w:spacing w:val="-6"/>
          <w:lang w:val="sk-SK"/>
        </w:rPr>
        <w:t>. marca</w:t>
      </w:r>
      <w:r w:rsidRPr="00AB26B3">
        <w:rPr>
          <w:noProof/>
          <w:spacing w:val="-6"/>
          <w:lang w:val="sk-SK"/>
        </w:rPr>
        <w:t xml:space="preserve"> 2022.</w:t>
      </w:r>
    </w:p>
    <w:p w14:paraId="7F745605"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pPr>
    </w:p>
    <w:p w14:paraId="2D150643"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312"/>
          <w:headerReference w:type="default" r:id="rId313"/>
          <w:footerReference w:type="even" r:id="rId314"/>
          <w:footerReference w:type="default" r:id="rId315"/>
          <w:headerReference w:type="first" r:id="rId316"/>
          <w:footerReference w:type="first" r:id="rId317"/>
          <w:pgSz w:w="11907" w:h="16839"/>
          <w:pgMar w:top="1134" w:right="1417" w:bottom="1134" w:left="1417" w:header="709" w:footer="709" w:gutter="0"/>
          <w:cols w:space="720"/>
          <w:docGrid w:linePitch="360"/>
        </w:sectPr>
      </w:pPr>
    </w:p>
    <w:p w14:paraId="3BD90FA5" w14:textId="063086B5" w:rsidR="00302FC1" w:rsidRPr="00AB26B3" w:rsidRDefault="00D64F26">
      <w:pPr>
        <w:pStyle w:val="P68B1DB1-Normal6"/>
        <w:spacing w:before="120" w:after="120" w:line="240" w:lineRule="auto"/>
        <w:jc w:val="both"/>
        <w:rPr>
          <w:rFonts w:cs="Times New Roman"/>
          <w:noProof/>
          <w:spacing w:val="-6"/>
          <w:lang w:val="sk-SK"/>
        </w:rPr>
      </w:pPr>
      <w:r w:rsidRPr="00AB26B3">
        <w:rPr>
          <w:noProof/>
          <w:spacing w:val="-6"/>
          <w:lang w:val="sk-SK"/>
        </w:rPr>
        <w:t>R.2.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78348E92" w14:textId="7486858C"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szCs w:val="24"/>
          <w:lang w:val="sk-SK"/>
        </w:rPr>
      </w:pPr>
      <w:r w:rsidRPr="00AB26B3">
        <w:rPr>
          <w:rFonts w:ascii="Times New Roman" w:hAnsi="Times New Roman"/>
          <w:noProof/>
          <w:spacing w:val="-6"/>
          <w:lang w:val="sk-SK"/>
        </w:rPr>
        <w:t>Kľúčová reforma 10: Opatrenia na zjednodušenie podnikateľského prostredia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jeho zvýšenie kvality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bezpečnosti – zjednodušenie podnikania</w:t>
      </w:r>
    </w:p>
    <w:tbl>
      <w:tblPr>
        <w:tblW w:w="15567" w:type="dxa"/>
        <w:jc w:val="center"/>
        <w:tblLook w:val="04A0" w:firstRow="1" w:lastRow="0" w:firstColumn="1" w:lastColumn="0" w:noHBand="0" w:noVBand="1"/>
      </w:tblPr>
      <w:tblGrid>
        <w:gridCol w:w="667"/>
        <w:gridCol w:w="1696"/>
        <w:gridCol w:w="1076"/>
        <w:gridCol w:w="1544"/>
        <w:gridCol w:w="1907"/>
        <w:gridCol w:w="956"/>
        <w:gridCol w:w="885"/>
        <w:gridCol w:w="806"/>
        <w:gridCol w:w="1087"/>
        <w:gridCol w:w="690"/>
        <w:gridCol w:w="4301"/>
      </w:tblGrid>
      <w:tr w:rsidR="00302FC1" w:rsidRPr="00AB26B3" w14:paraId="752FCABB" w14:textId="77777777">
        <w:trPr>
          <w:trHeight w:val="685"/>
          <w:tblHeader/>
          <w:jc w:val="center"/>
        </w:trPr>
        <w:tc>
          <w:tcPr>
            <w:tcW w:w="6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4E62B7" w14:textId="688B0EF0"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Nie. </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2DBAB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2607C6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909225"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743676A" w14:textId="771BB562"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667" w:type="dxa"/>
            <w:gridSpan w:val="3"/>
            <w:tcBorders>
              <w:top w:val="single" w:sz="4" w:space="0" w:color="auto"/>
              <w:left w:val="nil"/>
              <w:bottom w:val="single" w:sz="4" w:space="0" w:color="auto"/>
              <w:right w:val="single" w:sz="4" w:space="0" w:color="auto"/>
            </w:tcBorders>
            <w:shd w:val="clear" w:color="auto" w:fill="BDD7EE"/>
            <w:vAlign w:val="center"/>
            <w:hideMark/>
          </w:tcPr>
          <w:p w14:paraId="2FE31C6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694" w:type="dxa"/>
            <w:gridSpan w:val="2"/>
            <w:tcBorders>
              <w:top w:val="single" w:sz="4" w:space="0" w:color="auto"/>
              <w:left w:val="nil"/>
              <w:bottom w:val="single" w:sz="4" w:space="0" w:color="auto"/>
              <w:right w:val="single" w:sz="4" w:space="0" w:color="auto"/>
            </w:tcBorders>
            <w:shd w:val="clear" w:color="auto" w:fill="BDD7EE"/>
            <w:vAlign w:val="center"/>
            <w:hideMark/>
          </w:tcPr>
          <w:p w14:paraId="36C5A5E3"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44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779C2B7" w14:textId="0959607F"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EAE5A97" w14:textId="77777777">
        <w:trPr>
          <w:trHeight w:val="458"/>
          <w:tblHeader/>
          <w:jc w:val="center"/>
        </w:trPr>
        <w:tc>
          <w:tcPr>
            <w:tcW w:w="684" w:type="dxa"/>
            <w:vMerge/>
            <w:tcBorders>
              <w:left w:val="single" w:sz="4" w:space="0" w:color="auto"/>
              <w:bottom w:val="single" w:sz="4" w:space="0" w:color="auto"/>
              <w:right w:val="single" w:sz="4" w:space="0" w:color="auto"/>
            </w:tcBorders>
            <w:vAlign w:val="center"/>
            <w:hideMark/>
          </w:tcPr>
          <w:p w14:paraId="4581697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10B8962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1464794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6D8CA9D2"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85BDD1E"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8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73E9D3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8232918"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8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7EC41D4"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98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DA6402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0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DF6EADB"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4449" w:type="dxa"/>
            <w:vMerge/>
            <w:tcBorders>
              <w:top w:val="single" w:sz="4" w:space="0" w:color="auto"/>
              <w:bottom w:val="single" w:sz="4" w:space="0" w:color="auto"/>
              <w:right w:val="single" w:sz="4" w:space="0" w:color="auto"/>
            </w:tcBorders>
            <w:vAlign w:val="center"/>
            <w:hideMark/>
          </w:tcPr>
          <w:p w14:paraId="049CCE9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7516B3EA" w14:textId="77777777">
        <w:trPr>
          <w:trHeight w:val="309"/>
          <w:jc w:val="center"/>
        </w:trPr>
        <w:tc>
          <w:tcPr>
            <w:tcW w:w="684" w:type="dxa"/>
            <w:tcBorders>
              <w:top w:val="single" w:sz="4" w:space="0" w:color="auto"/>
              <w:left w:val="single" w:sz="4" w:space="0" w:color="auto"/>
              <w:bottom w:val="single" w:sz="4" w:space="0" w:color="auto"/>
              <w:right w:val="single" w:sz="4" w:space="0" w:color="auto"/>
            </w:tcBorders>
            <w:shd w:val="clear" w:color="auto" w:fill="C6EFCE"/>
            <w:noWrap/>
          </w:tcPr>
          <w:p w14:paraId="51D5FD4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317</w:t>
            </w:r>
          </w:p>
        </w:tc>
        <w:tc>
          <w:tcPr>
            <w:tcW w:w="1680" w:type="dxa"/>
            <w:tcBorders>
              <w:top w:val="single" w:sz="4" w:space="0" w:color="auto"/>
              <w:left w:val="nil"/>
              <w:bottom w:val="single" w:sz="4" w:space="0" w:color="auto"/>
              <w:right w:val="single" w:sz="4" w:space="0" w:color="auto"/>
            </w:tcBorders>
            <w:shd w:val="clear" w:color="auto" w:fill="C6EFCE"/>
            <w:noWrap/>
          </w:tcPr>
          <w:p w14:paraId="1961EC34" w14:textId="4A63FEB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18 – 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16543_Opatrenia na zjednodušenie podnikateľského prostredia</w:t>
            </w:r>
            <w:r w:rsidR="00AB26B3" w:rsidRPr="00AB26B3">
              <w:rPr>
                <w:noProof/>
                <w:spacing w:val="-6"/>
                <w:lang w:val="sk-SK"/>
              </w:rPr>
              <w:t xml:space="preserve"> a </w:t>
            </w:r>
            <w:r w:rsidRPr="00AB26B3">
              <w:rPr>
                <w:noProof/>
                <w:spacing w:val="-6"/>
                <w:lang w:val="sk-SK"/>
              </w:rPr>
              <w:t>jeho zlepšenie kvality</w:t>
            </w:r>
            <w:r w:rsidR="00AB26B3" w:rsidRPr="00AB26B3">
              <w:rPr>
                <w:noProof/>
                <w:spacing w:val="-6"/>
                <w:lang w:val="sk-SK"/>
              </w:rPr>
              <w:t xml:space="preserve"> a </w:t>
            </w:r>
            <w:r w:rsidRPr="00AB26B3">
              <w:rPr>
                <w:noProof/>
                <w:spacing w:val="-6"/>
                <w:lang w:val="sk-SK"/>
              </w:rPr>
              <w:t>bezpečnosti</w:t>
            </w:r>
          </w:p>
        </w:tc>
        <w:tc>
          <w:tcPr>
            <w:tcW w:w="1107" w:type="dxa"/>
            <w:tcBorders>
              <w:top w:val="single" w:sz="4" w:space="0" w:color="auto"/>
              <w:left w:val="nil"/>
              <w:bottom w:val="single" w:sz="4" w:space="0" w:color="auto"/>
              <w:right w:val="single" w:sz="4" w:space="0" w:color="auto"/>
            </w:tcBorders>
            <w:shd w:val="clear" w:color="auto" w:fill="C6EFCE"/>
            <w:noWrap/>
          </w:tcPr>
          <w:p w14:paraId="5CAF39D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92" w:type="dxa"/>
            <w:tcBorders>
              <w:top w:val="single" w:sz="4" w:space="0" w:color="auto"/>
              <w:left w:val="nil"/>
              <w:bottom w:val="single" w:sz="4" w:space="0" w:color="auto"/>
              <w:right w:val="single" w:sz="4" w:space="0" w:color="auto"/>
            </w:tcBorders>
            <w:shd w:val="clear" w:color="auto" w:fill="C6EFCE"/>
            <w:noWrap/>
          </w:tcPr>
          <w:p w14:paraId="494ADABA" w14:textId="5CA696F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Vytvorenie politiky kvality</w:t>
            </w:r>
            <w:r w:rsidR="00AB26B3" w:rsidRPr="00AB26B3">
              <w:rPr>
                <w:noProof/>
                <w:spacing w:val="-6"/>
                <w:lang w:val="sk-SK"/>
              </w:rPr>
              <w:t xml:space="preserve"> a </w:t>
            </w:r>
            <w:r w:rsidRPr="00AB26B3">
              <w:rPr>
                <w:noProof/>
                <w:spacing w:val="-6"/>
                <w:lang w:val="sk-SK"/>
              </w:rPr>
              <w:t xml:space="preserve">nového regulačného rámca pre kvalitnú infraštruktúru </w:t>
            </w:r>
          </w:p>
        </w:tc>
        <w:tc>
          <w:tcPr>
            <w:tcW w:w="1694" w:type="dxa"/>
            <w:tcBorders>
              <w:top w:val="single" w:sz="4" w:space="0" w:color="auto"/>
              <w:left w:val="nil"/>
              <w:bottom w:val="single" w:sz="4" w:space="0" w:color="auto"/>
              <w:right w:val="single" w:sz="4" w:space="0" w:color="auto"/>
            </w:tcBorders>
            <w:shd w:val="clear" w:color="auto" w:fill="C6EFCE"/>
            <w:noWrap/>
          </w:tcPr>
          <w:p w14:paraId="57B5E171" w14:textId="06C3A4C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Prijať národnú stratégiu pre kvalitnú infraštruktúru</w:t>
            </w:r>
            <w:r w:rsidR="00AB26B3" w:rsidRPr="00AB26B3">
              <w:rPr>
                <w:noProof/>
                <w:spacing w:val="-6"/>
                <w:lang w:val="sk-SK"/>
              </w:rPr>
              <w:t xml:space="preserve"> v </w:t>
            </w:r>
            <w:r w:rsidRPr="00AB26B3">
              <w:rPr>
                <w:noProof/>
                <w:spacing w:val="-6"/>
                <w:lang w:val="sk-SK"/>
              </w:rPr>
              <w:t>Grécku)</w:t>
            </w:r>
            <w:r w:rsidR="00AB26B3" w:rsidRPr="00AB26B3">
              <w:rPr>
                <w:noProof/>
                <w:spacing w:val="-6"/>
                <w:lang w:val="sk-SK"/>
              </w:rPr>
              <w:t xml:space="preserve"> a </w:t>
            </w:r>
            <w:r w:rsidRPr="00AB26B3">
              <w:rPr>
                <w:noProof/>
                <w:spacing w:val="-6"/>
                <w:lang w:val="sk-SK"/>
              </w:rPr>
              <w:t>prijať potrebné splnomocňujúce nariadenie</w:t>
            </w:r>
            <w:r w:rsidR="00AB26B3" w:rsidRPr="00AB26B3">
              <w:rPr>
                <w:noProof/>
                <w:spacing w:val="-6"/>
                <w:lang w:val="sk-SK"/>
              </w:rPr>
              <w:t xml:space="preserve"> o </w:t>
            </w:r>
            <w:r w:rsidRPr="00AB26B3">
              <w:rPr>
                <w:noProof/>
                <w:spacing w:val="-6"/>
                <w:lang w:val="sk-SK"/>
              </w:rPr>
              <w:t>normalizácii, metrológii, akreditácii</w:t>
            </w:r>
            <w:r w:rsidR="00AB26B3" w:rsidRPr="00AB26B3">
              <w:rPr>
                <w:noProof/>
                <w:spacing w:val="-6"/>
                <w:lang w:val="sk-SK"/>
              </w:rPr>
              <w:t xml:space="preserve"> a </w:t>
            </w:r>
            <w:r w:rsidRPr="00AB26B3">
              <w:rPr>
                <w:noProof/>
                <w:spacing w:val="-6"/>
                <w:lang w:val="sk-SK"/>
              </w:rPr>
              <w:t>posudzovaní zhody prostredníctvom potrebných legislatívnych aktov (uveďte odkaz na úradný vestník);</w:t>
            </w:r>
            <w:r w:rsidR="00AB26B3" w:rsidRPr="00AB26B3">
              <w:rPr>
                <w:noProof/>
                <w:spacing w:val="-6"/>
                <w:lang w:val="sk-SK"/>
              </w:rPr>
              <w:t xml:space="preserve"> a </w:t>
            </w:r>
            <w:r w:rsidRPr="00AB26B3">
              <w:rPr>
                <w:noProof/>
                <w:spacing w:val="-6"/>
                <w:lang w:val="sk-SK"/>
              </w:rPr>
              <w:t xml:space="preserve">prijať legislatívne zmeny zákona </w:t>
            </w:r>
            <w:r w:rsidR="00AB26B3" w:rsidRPr="00AB26B3">
              <w:rPr>
                <w:noProof/>
                <w:spacing w:val="-6"/>
                <w:lang w:val="sk-SK"/>
              </w:rPr>
              <w:t>č. </w:t>
            </w:r>
            <w:r w:rsidRPr="00AB26B3">
              <w:rPr>
                <w:noProof/>
                <w:spacing w:val="-6"/>
                <w:lang w:val="sk-SK"/>
              </w:rPr>
              <w:t>3325/2005 (časť B týkajúca sa zriadenia, rozšírenia</w:t>
            </w:r>
            <w:r w:rsidR="00AB26B3" w:rsidRPr="00AB26B3">
              <w:rPr>
                <w:noProof/>
                <w:spacing w:val="-6"/>
                <w:lang w:val="sk-SK"/>
              </w:rPr>
              <w:t xml:space="preserve"> a </w:t>
            </w:r>
            <w:r w:rsidRPr="00AB26B3">
              <w:rPr>
                <w:noProof/>
                <w:spacing w:val="-6"/>
                <w:lang w:val="sk-SK"/>
              </w:rPr>
              <w:t>modernizácie výrobných činností</w:t>
            </w:r>
            <w:r w:rsidR="00AB26B3" w:rsidRPr="00AB26B3">
              <w:rPr>
                <w:noProof/>
                <w:spacing w:val="-6"/>
                <w:lang w:val="sk-SK"/>
              </w:rPr>
              <w:t xml:space="preserve"> v </w:t>
            </w:r>
            <w:r w:rsidRPr="00AB26B3">
              <w:rPr>
                <w:noProof/>
                <w:spacing w:val="-6"/>
                <w:lang w:val="sk-SK"/>
              </w:rPr>
              <w:t>regióne Atika)</w:t>
            </w:r>
          </w:p>
        </w:tc>
        <w:tc>
          <w:tcPr>
            <w:tcW w:w="983" w:type="dxa"/>
            <w:tcBorders>
              <w:top w:val="single" w:sz="4" w:space="0" w:color="auto"/>
              <w:left w:val="nil"/>
              <w:bottom w:val="single" w:sz="4" w:space="0" w:color="auto"/>
              <w:right w:val="single" w:sz="4" w:space="0" w:color="auto"/>
            </w:tcBorders>
            <w:shd w:val="clear" w:color="auto" w:fill="C6EFCE"/>
            <w:noWrap/>
          </w:tcPr>
          <w:p w14:paraId="77969E0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single" w:sz="4" w:space="0" w:color="auto"/>
              <w:left w:val="nil"/>
              <w:bottom w:val="single" w:sz="4" w:space="0" w:color="auto"/>
              <w:right w:val="single" w:sz="4" w:space="0" w:color="auto"/>
            </w:tcBorders>
            <w:shd w:val="clear" w:color="auto" w:fill="C6EFCE"/>
            <w:noWrap/>
          </w:tcPr>
          <w:p w14:paraId="6838E3D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7" w:type="dxa"/>
            <w:tcBorders>
              <w:top w:val="single" w:sz="4" w:space="0" w:color="auto"/>
              <w:left w:val="nil"/>
              <w:bottom w:val="single" w:sz="4" w:space="0" w:color="auto"/>
              <w:right w:val="single" w:sz="4" w:space="0" w:color="auto"/>
            </w:tcBorders>
            <w:shd w:val="clear" w:color="auto" w:fill="C6EFCE"/>
            <w:noWrap/>
          </w:tcPr>
          <w:p w14:paraId="698A31A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7" w:type="dxa"/>
            <w:tcBorders>
              <w:top w:val="single" w:sz="4" w:space="0" w:color="auto"/>
              <w:left w:val="nil"/>
              <w:bottom w:val="single" w:sz="4" w:space="0" w:color="auto"/>
              <w:right w:val="single" w:sz="4" w:space="0" w:color="auto"/>
            </w:tcBorders>
            <w:shd w:val="clear" w:color="auto" w:fill="C6EFCE"/>
            <w:noWrap/>
          </w:tcPr>
          <w:p w14:paraId="75A0DA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7" w:type="dxa"/>
            <w:tcBorders>
              <w:top w:val="single" w:sz="4" w:space="0" w:color="auto"/>
              <w:left w:val="nil"/>
              <w:bottom w:val="single" w:sz="4" w:space="0" w:color="auto"/>
              <w:right w:val="single" w:sz="4" w:space="0" w:color="auto"/>
            </w:tcBorders>
            <w:shd w:val="clear" w:color="auto" w:fill="C6EFCE"/>
            <w:noWrap/>
          </w:tcPr>
          <w:p w14:paraId="36E53EA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449" w:type="dxa"/>
            <w:tcBorders>
              <w:top w:val="single" w:sz="4" w:space="0" w:color="auto"/>
              <w:left w:val="nil"/>
              <w:bottom w:val="single" w:sz="4" w:space="0" w:color="auto"/>
              <w:right w:val="single" w:sz="4" w:space="0" w:color="auto"/>
            </w:tcBorders>
            <w:shd w:val="clear" w:color="auto" w:fill="C6EFCE"/>
            <w:noWrap/>
          </w:tcPr>
          <w:p w14:paraId="13A18109" w14:textId="72F925C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 vypracovať moderný regulačný, organizačný</w:t>
            </w:r>
            <w:r w:rsidR="00AB26B3" w:rsidRPr="00AB26B3">
              <w:rPr>
                <w:noProof/>
                <w:spacing w:val="-6"/>
                <w:lang w:val="sk-SK"/>
              </w:rPr>
              <w:t xml:space="preserve"> a </w:t>
            </w:r>
            <w:r w:rsidRPr="00AB26B3">
              <w:rPr>
                <w:noProof/>
                <w:spacing w:val="-6"/>
                <w:lang w:val="sk-SK"/>
              </w:rPr>
              <w:t>prevádzkový rámec pre kvalitnú infraštruktúru</w:t>
            </w:r>
            <w:r w:rsidR="00AB26B3" w:rsidRPr="00AB26B3">
              <w:rPr>
                <w:noProof/>
                <w:spacing w:val="-6"/>
                <w:lang w:val="sk-SK"/>
              </w:rPr>
              <w:t xml:space="preserve"> v </w:t>
            </w:r>
            <w:r w:rsidRPr="00AB26B3">
              <w:rPr>
                <w:noProof/>
                <w:spacing w:val="-6"/>
                <w:lang w:val="sk-SK"/>
              </w:rPr>
              <w:t>Grécku</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nariadením 765/2008</w:t>
            </w:r>
            <w:r w:rsidR="00AB26B3" w:rsidRPr="00AB26B3">
              <w:rPr>
                <w:noProof/>
                <w:spacing w:val="-6"/>
                <w:lang w:val="sk-SK"/>
              </w:rPr>
              <w:t xml:space="preserve"> o </w:t>
            </w:r>
            <w:r w:rsidRPr="00AB26B3">
              <w:rPr>
                <w:noProof/>
                <w:spacing w:val="-6"/>
                <w:lang w:val="sk-SK"/>
              </w:rPr>
              <w:t>akreditácii orgánov posudzovania zhody;</w:t>
            </w:r>
            <w:r w:rsidR="00AB26B3" w:rsidRPr="00AB26B3">
              <w:rPr>
                <w:noProof/>
                <w:spacing w:val="-6"/>
                <w:lang w:val="sk-SK"/>
              </w:rPr>
              <w:t xml:space="preserve"> a </w:t>
            </w:r>
            <w:r w:rsidRPr="00AB26B3">
              <w:rPr>
                <w:noProof/>
                <w:spacing w:val="-6"/>
                <w:lang w:val="sk-SK"/>
              </w:rPr>
              <w:t>b) nadobudnutie účinnosti právnych predpisov na reformu regulačného rámca týkajúceho sa inštalácie výrobných činností</w:t>
            </w:r>
            <w:r w:rsidR="00AB26B3" w:rsidRPr="00AB26B3">
              <w:rPr>
                <w:noProof/>
                <w:spacing w:val="-6"/>
                <w:lang w:val="sk-SK"/>
              </w:rPr>
              <w:t xml:space="preserve"> v </w:t>
            </w:r>
            <w:r w:rsidRPr="00AB26B3">
              <w:rPr>
                <w:noProof/>
                <w:spacing w:val="-6"/>
                <w:lang w:val="sk-SK"/>
              </w:rPr>
              <w:t>Atike</w:t>
            </w:r>
            <w:r w:rsidR="00AB26B3" w:rsidRPr="00AB26B3">
              <w:rPr>
                <w:noProof/>
                <w:spacing w:val="-6"/>
                <w:lang w:val="sk-SK"/>
              </w:rPr>
              <w:t xml:space="preserve"> s </w:t>
            </w:r>
            <w:r w:rsidRPr="00AB26B3">
              <w:rPr>
                <w:noProof/>
                <w:spacing w:val="-6"/>
                <w:lang w:val="sk-SK"/>
              </w:rPr>
              <w:t>cieľom odstrániť nadmerne vysoké obmedzenia, ktoré nie sú primerané politickým cieľom.</w:t>
            </w:r>
          </w:p>
          <w:p w14:paraId="35DFED1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A98703D" w14:textId="2386AAA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Rozsah pôsobnosti písmena b) zahŕňa zriaďovanie nových priemyselných jednotiek</w:t>
            </w:r>
            <w:r w:rsidR="00AB26B3" w:rsidRPr="00AB26B3">
              <w:rPr>
                <w:noProof/>
                <w:spacing w:val="-6"/>
                <w:lang w:val="sk-SK"/>
              </w:rPr>
              <w:t xml:space="preserve"> a </w:t>
            </w:r>
            <w:r w:rsidRPr="00AB26B3">
              <w:rPr>
                <w:noProof/>
                <w:spacing w:val="-6"/>
                <w:lang w:val="sk-SK"/>
              </w:rPr>
              <w:t>modernizáciu existujúcich priemyselných jednotiek pôsobiacich</w:t>
            </w:r>
            <w:r w:rsidR="00AB26B3" w:rsidRPr="00AB26B3">
              <w:rPr>
                <w:noProof/>
                <w:spacing w:val="-6"/>
                <w:lang w:val="sk-SK"/>
              </w:rPr>
              <w:t xml:space="preserve"> v </w:t>
            </w:r>
            <w:r w:rsidRPr="00AB26B3">
              <w:rPr>
                <w:noProof/>
                <w:spacing w:val="-6"/>
                <w:lang w:val="sk-SK"/>
              </w:rPr>
              <w:t>Atike, ako aj premiestnenie</w:t>
            </w:r>
            <w:r w:rsidR="00AB26B3" w:rsidRPr="00AB26B3">
              <w:rPr>
                <w:noProof/>
                <w:spacing w:val="-6"/>
                <w:lang w:val="sk-SK"/>
              </w:rPr>
              <w:t xml:space="preserve"> a </w:t>
            </w:r>
            <w:r w:rsidRPr="00AB26B3">
              <w:rPr>
                <w:noProof/>
                <w:spacing w:val="-6"/>
                <w:lang w:val="sk-SK"/>
              </w:rPr>
              <w:t>rozšírenie existujúcich zariadení</w:t>
            </w:r>
            <w:r w:rsidR="00AB26B3" w:rsidRPr="00AB26B3">
              <w:rPr>
                <w:noProof/>
                <w:spacing w:val="-6"/>
                <w:lang w:val="sk-SK"/>
              </w:rPr>
              <w:t xml:space="preserve"> v </w:t>
            </w:r>
            <w:r w:rsidRPr="00AB26B3">
              <w:rPr>
                <w:noProof/>
                <w:spacing w:val="-6"/>
                <w:lang w:val="sk-SK"/>
              </w:rPr>
              <w:t>Atike.</w:t>
            </w:r>
          </w:p>
        </w:tc>
      </w:tr>
      <w:tr w:rsidR="00302FC1" w:rsidRPr="00AB26B3" w14:paraId="0F98CDFF" w14:textId="77777777">
        <w:trPr>
          <w:trHeight w:val="309"/>
          <w:jc w:val="center"/>
        </w:trPr>
        <w:tc>
          <w:tcPr>
            <w:tcW w:w="684" w:type="dxa"/>
            <w:tcBorders>
              <w:top w:val="nil"/>
              <w:left w:val="single" w:sz="4" w:space="0" w:color="auto"/>
              <w:bottom w:val="single" w:sz="4" w:space="0" w:color="auto"/>
              <w:right w:val="single" w:sz="4" w:space="0" w:color="auto"/>
            </w:tcBorders>
            <w:shd w:val="clear" w:color="auto" w:fill="C6EFCE"/>
            <w:noWrap/>
          </w:tcPr>
          <w:p w14:paraId="03011D7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318</w:t>
            </w:r>
          </w:p>
        </w:tc>
        <w:tc>
          <w:tcPr>
            <w:tcW w:w="1680" w:type="dxa"/>
            <w:tcBorders>
              <w:top w:val="nil"/>
              <w:left w:val="nil"/>
              <w:bottom w:val="single" w:sz="4" w:space="0" w:color="auto"/>
              <w:right w:val="single" w:sz="4" w:space="0" w:color="auto"/>
            </w:tcBorders>
            <w:shd w:val="clear" w:color="auto" w:fill="C6EFCE"/>
            <w:noWrap/>
          </w:tcPr>
          <w:p w14:paraId="5CD3D84F" w14:textId="2BA4B1F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18 – 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16591_Zjednodušenie podnikania</w:t>
            </w:r>
          </w:p>
        </w:tc>
        <w:tc>
          <w:tcPr>
            <w:tcW w:w="1107" w:type="dxa"/>
            <w:tcBorders>
              <w:top w:val="nil"/>
              <w:left w:val="nil"/>
              <w:bottom w:val="single" w:sz="4" w:space="0" w:color="auto"/>
              <w:right w:val="single" w:sz="4" w:space="0" w:color="auto"/>
            </w:tcBorders>
            <w:shd w:val="clear" w:color="auto" w:fill="C6EFCE"/>
            <w:noWrap/>
          </w:tcPr>
          <w:p w14:paraId="461E417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92" w:type="dxa"/>
            <w:tcBorders>
              <w:top w:val="nil"/>
              <w:left w:val="nil"/>
              <w:bottom w:val="single" w:sz="4" w:space="0" w:color="auto"/>
              <w:right w:val="single" w:sz="4" w:space="0" w:color="auto"/>
            </w:tcBorders>
            <w:shd w:val="clear" w:color="auto" w:fill="C6EFCE"/>
            <w:noWrap/>
          </w:tcPr>
          <w:p w14:paraId="11C353B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Zlepšenie podnikateľského prostredia – uľahčenie podnikania</w:t>
            </w:r>
          </w:p>
        </w:tc>
        <w:tc>
          <w:tcPr>
            <w:tcW w:w="1694" w:type="dxa"/>
            <w:tcBorders>
              <w:top w:val="nil"/>
              <w:left w:val="nil"/>
              <w:bottom w:val="single" w:sz="4" w:space="0" w:color="auto"/>
              <w:right w:val="single" w:sz="4" w:space="0" w:color="auto"/>
            </w:tcBorders>
            <w:shd w:val="clear" w:color="auto" w:fill="C6EFCE"/>
            <w:noWrap/>
          </w:tcPr>
          <w:p w14:paraId="0D70791E" w14:textId="0D58CAEB" w:rsidR="00302FC1" w:rsidRPr="00AB26B3" w:rsidRDefault="00D64F26">
            <w:pPr>
              <w:pStyle w:val="P68B1DB1-Normal15"/>
              <w:spacing w:after="0" w:line="259" w:lineRule="auto"/>
              <w:rPr>
                <w:noProof/>
                <w:color w:val="006100"/>
                <w:spacing w:val="-6"/>
                <w:lang w:val="sk-SK"/>
              </w:rPr>
            </w:pPr>
            <w:r w:rsidRPr="00AB26B3">
              <w:rPr>
                <w:noProof/>
                <w:spacing w:val="-6"/>
                <w:lang w:val="sk-SK"/>
              </w:rPr>
              <w:t>—</w:t>
            </w:r>
            <w:r w:rsidRPr="00AB26B3">
              <w:rPr>
                <w:noProof/>
                <w:color w:val="006100"/>
                <w:spacing w:val="-6"/>
                <w:lang w:val="sk-SK"/>
              </w:rPr>
              <w:t>V prípade opatrení, ktoré si vyžadujú právne predpisy: Uverejnenie právnych predpisov</w:t>
            </w:r>
            <w:r w:rsidR="00AB26B3" w:rsidRPr="00AB26B3">
              <w:rPr>
                <w:noProof/>
                <w:color w:val="006100"/>
                <w:spacing w:val="-6"/>
                <w:lang w:val="sk-SK"/>
              </w:rPr>
              <w:t xml:space="preserve"> v </w:t>
            </w:r>
            <w:r w:rsidRPr="00AB26B3">
              <w:rPr>
                <w:noProof/>
                <w:color w:val="006100"/>
                <w:spacing w:val="-6"/>
                <w:lang w:val="sk-SK"/>
              </w:rPr>
              <w:t>úradnom vestníku (odkaz na úradný vestník)</w:t>
            </w:r>
          </w:p>
          <w:p w14:paraId="4FAF29C8" w14:textId="77777777" w:rsidR="00AB26B3" w:rsidRPr="00AB26B3" w:rsidRDefault="00D64F26">
            <w:pPr>
              <w:pStyle w:val="P68B1DB1-Normal15"/>
              <w:spacing w:after="0" w:line="259" w:lineRule="auto"/>
              <w:rPr>
                <w:noProof/>
                <w:color w:val="006100"/>
                <w:spacing w:val="-6"/>
                <w:lang w:val="sk-SK"/>
              </w:rPr>
            </w:pPr>
            <w:r w:rsidRPr="00AB26B3">
              <w:rPr>
                <w:noProof/>
                <w:spacing w:val="-6"/>
                <w:lang w:val="sk-SK"/>
              </w:rPr>
              <w:t>—</w:t>
            </w:r>
            <w:r w:rsidRPr="00AB26B3">
              <w:rPr>
                <w:noProof/>
                <w:color w:val="006100"/>
                <w:spacing w:val="-6"/>
                <w:lang w:val="sk-SK"/>
              </w:rPr>
              <w:t>Pre funkcie interoperability, platformy</w:t>
            </w:r>
            <w:r w:rsidR="00AB26B3" w:rsidRPr="00AB26B3">
              <w:rPr>
                <w:noProof/>
                <w:color w:val="006100"/>
                <w:spacing w:val="-6"/>
                <w:lang w:val="sk-SK"/>
              </w:rPr>
              <w:t xml:space="preserve"> a </w:t>
            </w:r>
            <w:r w:rsidRPr="00AB26B3">
              <w:rPr>
                <w:noProof/>
                <w:color w:val="006100"/>
                <w:spacing w:val="-6"/>
                <w:lang w:val="sk-SK"/>
              </w:rPr>
              <w:t>registre: Sprevádzkovanie systémov (potvrdené správou)</w:t>
            </w:r>
          </w:p>
          <w:p w14:paraId="5B3F417C" w14:textId="28DD5FC1" w:rsidR="00302FC1" w:rsidRPr="00AB26B3" w:rsidRDefault="00D64F26">
            <w:pPr>
              <w:pStyle w:val="P68B1DB1-Normal15"/>
              <w:spacing w:after="0" w:line="259" w:lineRule="auto"/>
              <w:rPr>
                <w:noProof/>
                <w:color w:val="006100"/>
                <w:spacing w:val="-6"/>
                <w:lang w:val="sk-SK"/>
              </w:rPr>
            </w:pPr>
            <w:r w:rsidRPr="00AB26B3">
              <w:rPr>
                <w:noProof/>
                <w:spacing w:val="-6"/>
                <w:lang w:val="sk-SK"/>
              </w:rPr>
              <w:t>—</w:t>
            </w:r>
            <w:r w:rsidRPr="00AB26B3">
              <w:rPr>
                <w:noProof/>
                <w:color w:val="006100"/>
                <w:spacing w:val="-6"/>
                <w:lang w:val="sk-SK"/>
              </w:rPr>
              <w:t>Dodanie zariadenia na vybavenie (potvrdené správou</w:t>
            </w:r>
            <w:r w:rsidR="00AB26B3" w:rsidRPr="00AB26B3">
              <w:rPr>
                <w:noProof/>
                <w:color w:val="006100"/>
                <w:spacing w:val="-6"/>
                <w:lang w:val="sk-SK"/>
              </w:rPr>
              <w:t xml:space="preserve"> a </w:t>
            </w:r>
            <w:r w:rsidRPr="00AB26B3">
              <w:rPr>
                <w:noProof/>
                <w:color w:val="006100"/>
                <w:spacing w:val="-6"/>
                <w:lang w:val="sk-SK"/>
              </w:rPr>
              <w:t>dokladom</w:t>
            </w:r>
            <w:r w:rsidR="00AB26B3" w:rsidRPr="00AB26B3">
              <w:rPr>
                <w:noProof/>
                <w:color w:val="006100"/>
                <w:spacing w:val="-6"/>
                <w:lang w:val="sk-SK"/>
              </w:rPr>
              <w:t xml:space="preserve"> o </w:t>
            </w:r>
            <w:r w:rsidRPr="00AB26B3">
              <w:rPr>
                <w:noProof/>
                <w:color w:val="006100"/>
                <w:spacing w:val="-6"/>
                <w:lang w:val="sk-SK"/>
              </w:rPr>
              <w:t>kúpe)</w:t>
            </w:r>
          </w:p>
          <w:p w14:paraId="24C022E4" w14:textId="403D9C6B" w:rsidR="00302FC1" w:rsidRPr="00AB26B3" w:rsidRDefault="00D64F26">
            <w:pPr>
              <w:pStyle w:val="P68B1DB1-Normal15"/>
              <w:spacing w:after="0" w:line="240" w:lineRule="auto"/>
              <w:rPr>
                <w:rFonts w:eastAsia="Times New Roman"/>
                <w:noProof/>
                <w:color w:val="006100"/>
                <w:spacing w:val="-6"/>
                <w:lang w:val="sk-SK"/>
              </w:rPr>
            </w:pPr>
            <w:r w:rsidRPr="00AB26B3">
              <w:rPr>
                <w:noProof/>
                <w:spacing w:val="-6"/>
                <w:lang w:val="sk-SK"/>
              </w:rPr>
              <w:t>—</w:t>
            </w:r>
            <w:r w:rsidRPr="00AB26B3">
              <w:rPr>
                <w:noProof/>
                <w:color w:val="006100"/>
                <w:spacing w:val="-6"/>
                <w:lang w:val="sk-SK"/>
              </w:rPr>
              <w:t>Dokončenie kampaní</w:t>
            </w:r>
            <w:r w:rsidR="00AB26B3" w:rsidRPr="00AB26B3">
              <w:rPr>
                <w:noProof/>
                <w:color w:val="006100"/>
                <w:spacing w:val="-6"/>
                <w:lang w:val="sk-SK"/>
              </w:rPr>
              <w:t xml:space="preserve"> a </w:t>
            </w:r>
            <w:r w:rsidRPr="00AB26B3">
              <w:rPr>
                <w:noProof/>
                <w:color w:val="006100"/>
                <w:spacing w:val="-6"/>
                <w:lang w:val="sk-SK"/>
              </w:rPr>
              <w:t>vydanie usmernení (potvrdené vydanými usmerneniami/obežníkmi)</w:t>
            </w:r>
            <w:r w:rsidRPr="00AB26B3">
              <w:rPr>
                <w:noProof/>
                <w:spacing w:val="-6"/>
                <w:lang w:val="sk-SK"/>
              </w:rPr>
              <w:t xml:space="preserve"> </w:t>
            </w:r>
          </w:p>
        </w:tc>
        <w:tc>
          <w:tcPr>
            <w:tcW w:w="983" w:type="dxa"/>
            <w:tcBorders>
              <w:top w:val="nil"/>
              <w:left w:val="nil"/>
              <w:bottom w:val="single" w:sz="4" w:space="0" w:color="auto"/>
              <w:right w:val="single" w:sz="4" w:space="0" w:color="auto"/>
            </w:tcBorders>
            <w:shd w:val="clear" w:color="auto" w:fill="C6EFCE"/>
            <w:noWrap/>
          </w:tcPr>
          <w:p w14:paraId="7A074D6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053275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7" w:type="dxa"/>
            <w:tcBorders>
              <w:top w:val="nil"/>
              <w:left w:val="nil"/>
              <w:bottom w:val="single" w:sz="4" w:space="0" w:color="auto"/>
              <w:right w:val="single" w:sz="4" w:space="0" w:color="auto"/>
            </w:tcBorders>
            <w:shd w:val="clear" w:color="auto" w:fill="C6EFCE"/>
            <w:noWrap/>
          </w:tcPr>
          <w:p w14:paraId="7BD3FD48"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7" w:type="dxa"/>
            <w:tcBorders>
              <w:top w:val="nil"/>
              <w:left w:val="nil"/>
              <w:bottom w:val="single" w:sz="4" w:space="0" w:color="auto"/>
              <w:right w:val="single" w:sz="4" w:space="0" w:color="auto"/>
            </w:tcBorders>
            <w:shd w:val="clear" w:color="auto" w:fill="C6EFCE"/>
            <w:noWrap/>
          </w:tcPr>
          <w:p w14:paraId="0EA89E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07" w:type="dxa"/>
            <w:tcBorders>
              <w:top w:val="nil"/>
              <w:left w:val="nil"/>
              <w:bottom w:val="single" w:sz="4" w:space="0" w:color="auto"/>
              <w:right w:val="single" w:sz="4" w:space="0" w:color="auto"/>
            </w:tcBorders>
            <w:shd w:val="clear" w:color="auto" w:fill="C6EFCE"/>
            <w:noWrap/>
          </w:tcPr>
          <w:p w14:paraId="75CDE69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4449" w:type="dxa"/>
            <w:tcBorders>
              <w:top w:val="nil"/>
              <w:left w:val="nil"/>
              <w:bottom w:val="single" w:sz="4" w:space="0" w:color="auto"/>
              <w:right w:val="single" w:sz="4" w:space="0" w:color="auto"/>
            </w:tcBorders>
            <w:shd w:val="clear" w:color="auto" w:fill="C6EFCE"/>
            <w:noWrap/>
          </w:tcPr>
          <w:p w14:paraId="7713D092" w14:textId="24EF2F6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Dokončiť reformu</w:t>
            </w:r>
            <w:r w:rsidR="00AB26B3" w:rsidRPr="00AB26B3">
              <w:rPr>
                <w:noProof/>
                <w:spacing w:val="-6"/>
                <w:lang w:val="sk-SK"/>
              </w:rPr>
              <w:t xml:space="preserve"> s </w:t>
            </w:r>
            <w:r w:rsidRPr="00AB26B3">
              <w:rPr>
                <w:noProof/>
                <w:spacing w:val="-6"/>
                <w:lang w:val="sk-SK"/>
              </w:rPr>
              <w:t>cieľom znížiť zložitosť postupov, čas</w:t>
            </w:r>
            <w:r w:rsidR="00AB26B3" w:rsidRPr="00AB26B3">
              <w:rPr>
                <w:noProof/>
                <w:spacing w:val="-6"/>
                <w:lang w:val="sk-SK"/>
              </w:rPr>
              <w:t xml:space="preserve"> a </w:t>
            </w:r>
            <w:r w:rsidRPr="00AB26B3">
              <w:rPr>
                <w:noProof/>
                <w:spacing w:val="-6"/>
                <w:lang w:val="sk-SK"/>
              </w:rPr>
              <w:t>náklady</w:t>
            </w:r>
            <w:r w:rsidR="00AB26B3" w:rsidRPr="00AB26B3">
              <w:rPr>
                <w:noProof/>
                <w:spacing w:val="-6"/>
                <w:lang w:val="sk-SK"/>
              </w:rPr>
              <w:t xml:space="preserve"> v </w:t>
            </w:r>
            <w:r w:rsidRPr="00AB26B3">
              <w:rPr>
                <w:noProof/>
                <w:spacing w:val="-6"/>
                <w:lang w:val="sk-SK"/>
              </w:rPr>
              <w:t>štyroch podoblastiach: získanie úveru, získanie elektrického pripojenia, registrácia nehnuteľnosti</w:t>
            </w:r>
            <w:r w:rsidR="00AB26B3" w:rsidRPr="00AB26B3">
              <w:rPr>
                <w:noProof/>
                <w:spacing w:val="-6"/>
                <w:lang w:val="sk-SK"/>
              </w:rPr>
              <w:t xml:space="preserve"> a </w:t>
            </w:r>
            <w:r w:rsidRPr="00AB26B3">
              <w:rPr>
                <w:noProof/>
                <w:spacing w:val="-6"/>
                <w:lang w:val="sk-SK"/>
              </w:rPr>
              <w:t>získanie stavebného povolenia</w:t>
            </w:r>
          </w:p>
          <w:p w14:paraId="4E35675A" w14:textId="6A37592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Reforma konkrétne zahŕňa tieto čiastkové projekty</w:t>
            </w:r>
            <w:r w:rsidR="00AB26B3" w:rsidRPr="00AB26B3">
              <w:rPr>
                <w:noProof/>
                <w:spacing w:val="-6"/>
                <w:lang w:val="sk-SK"/>
              </w:rPr>
              <w:t xml:space="preserve"> a </w:t>
            </w:r>
            <w:r w:rsidRPr="00AB26B3">
              <w:rPr>
                <w:noProof/>
                <w:spacing w:val="-6"/>
                <w:lang w:val="sk-SK"/>
              </w:rPr>
              <w:t>akcie:</w:t>
            </w:r>
          </w:p>
          <w:p w14:paraId="71CABA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Získanie úveru</w:t>
            </w:r>
          </w:p>
          <w:p w14:paraId="095B82DC" w14:textId="6CB65BE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Vytvoriť moderný</w:t>
            </w:r>
            <w:r w:rsidR="00AB26B3" w:rsidRPr="00AB26B3">
              <w:rPr>
                <w:noProof/>
                <w:spacing w:val="-6"/>
                <w:lang w:val="sk-SK"/>
              </w:rPr>
              <w:t xml:space="preserve"> a </w:t>
            </w:r>
            <w:r w:rsidRPr="00AB26B3">
              <w:rPr>
                <w:noProof/>
                <w:spacing w:val="-6"/>
                <w:lang w:val="sk-SK"/>
              </w:rPr>
              <w:t>spoľahlivý regulačný rámec pre cenné papiere</w:t>
            </w:r>
            <w:r w:rsidR="00AB26B3" w:rsidRPr="00AB26B3">
              <w:rPr>
                <w:noProof/>
                <w:spacing w:val="-6"/>
                <w:lang w:val="sk-SK"/>
              </w:rPr>
              <w:t xml:space="preserve"> v </w:t>
            </w:r>
            <w:r w:rsidRPr="00AB26B3">
              <w:rPr>
                <w:noProof/>
                <w:spacing w:val="-6"/>
                <w:lang w:val="sk-SK"/>
              </w:rPr>
              <w:t>hnuteľnom majetku</w:t>
            </w:r>
          </w:p>
          <w:p w14:paraId="16B7F11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Zriadiť register zabezpečených transakcií</w:t>
            </w:r>
          </w:p>
          <w:p w14:paraId="29A8B78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 Získanie stavebného povolenia</w:t>
            </w:r>
          </w:p>
          <w:p w14:paraId="48967EE7" w14:textId="7C5FAC8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Dosiahnuť prevádzkovú interoperabilitu medzi systémom e-adeies pre stavebné povolenia</w:t>
            </w:r>
            <w:r w:rsidR="00AB26B3" w:rsidRPr="00AB26B3">
              <w:rPr>
                <w:noProof/>
                <w:spacing w:val="-6"/>
                <w:lang w:val="sk-SK"/>
              </w:rPr>
              <w:t xml:space="preserve"> a </w:t>
            </w:r>
            <w:r w:rsidRPr="00AB26B3">
              <w:rPr>
                <w:noProof/>
                <w:spacing w:val="-6"/>
                <w:lang w:val="sk-SK"/>
              </w:rPr>
              <w:t>inými verejnými systémami</w:t>
            </w:r>
          </w:p>
          <w:p w14:paraId="508F463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Realizovať osvetové kampane so zainteresovanými stranami zo súkromného sektora</w:t>
            </w:r>
          </w:p>
          <w:p w14:paraId="4EF0E5EF" w14:textId="77777777" w:rsidR="00AB26B3" w:rsidRPr="00AB26B3" w:rsidRDefault="00D64F26">
            <w:pPr>
              <w:pStyle w:val="P68B1DB1-Normal12"/>
              <w:spacing w:after="0" w:line="240" w:lineRule="auto"/>
              <w:rPr>
                <w:noProof/>
                <w:spacing w:val="-6"/>
                <w:lang w:val="sk-SK"/>
              </w:rPr>
            </w:pPr>
            <w:r w:rsidRPr="00AB26B3">
              <w:rPr>
                <w:noProof/>
                <w:spacing w:val="-6"/>
                <w:lang w:val="sk-SK"/>
              </w:rPr>
              <w:t>— Vybavenie</w:t>
            </w:r>
            <w:r w:rsidR="00AB26B3" w:rsidRPr="00AB26B3">
              <w:rPr>
                <w:noProof/>
                <w:spacing w:val="-6"/>
                <w:lang w:val="sk-SK"/>
              </w:rPr>
              <w:t xml:space="preserve"> a </w:t>
            </w:r>
            <w:r w:rsidRPr="00AB26B3">
              <w:rPr>
                <w:noProof/>
                <w:spacing w:val="-6"/>
                <w:lang w:val="sk-SK"/>
              </w:rPr>
              <w:t>odborná príprava zamestnancov</w:t>
            </w:r>
          </w:p>
          <w:p w14:paraId="61B701D6" w14:textId="0DE2C01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Usmernenia sprístupnené online</w:t>
            </w:r>
          </w:p>
          <w:p w14:paraId="44CE674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Sadzobník poplatkov dostupný online</w:t>
            </w:r>
          </w:p>
          <w:p w14:paraId="3D5DD8C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In-state digital inspection functions for the fire Department (Inštitucionálne funkcie digitálnej kontroly pre požiarne oddelenie)</w:t>
            </w:r>
          </w:p>
          <w:p w14:paraId="5452220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 Získavanie elektriny</w:t>
            </w:r>
          </w:p>
          <w:p w14:paraId="6DF081A4" w14:textId="437BE3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Zjednodušiť/znížiť požiadavky na podávanie žiadostí organizácii HEDNO</w:t>
            </w:r>
            <w:r w:rsidR="00AB26B3" w:rsidRPr="00AB26B3">
              <w:rPr>
                <w:noProof/>
                <w:spacing w:val="-6"/>
                <w:lang w:val="sk-SK"/>
              </w:rPr>
              <w:t xml:space="preserve"> a </w:t>
            </w:r>
            <w:r w:rsidRPr="00AB26B3">
              <w:rPr>
                <w:noProof/>
                <w:spacing w:val="-6"/>
                <w:lang w:val="sk-SK"/>
              </w:rPr>
              <w:t>zjednotiť systém nahlasovania metrov štvorcových obciam</w:t>
            </w:r>
          </w:p>
          <w:p w14:paraId="3EAA70A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Registrácia majetku</w:t>
            </w:r>
          </w:p>
          <w:p w14:paraId="2BAFBAA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Vytvoriť elektronickú platformu, ktorá kupujúcim umožní splniť všetky požiadavky na prevod majetku online</w:t>
            </w:r>
          </w:p>
        </w:tc>
      </w:tr>
      <w:tr w:rsidR="00302FC1" w:rsidRPr="00AB26B3" w14:paraId="1EAE1E67" w14:textId="77777777">
        <w:trPr>
          <w:trHeight w:val="309"/>
          <w:jc w:val="center"/>
        </w:trPr>
        <w:tc>
          <w:tcPr>
            <w:tcW w:w="684" w:type="dxa"/>
            <w:tcBorders>
              <w:top w:val="nil"/>
              <w:left w:val="single" w:sz="4" w:space="0" w:color="auto"/>
              <w:bottom w:val="single" w:sz="4" w:space="0" w:color="auto"/>
              <w:right w:val="single" w:sz="4" w:space="0" w:color="auto"/>
            </w:tcBorders>
            <w:shd w:val="clear" w:color="auto" w:fill="C6EFCE"/>
            <w:noWrap/>
          </w:tcPr>
          <w:p w14:paraId="742378F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319</w:t>
            </w:r>
          </w:p>
        </w:tc>
        <w:tc>
          <w:tcPr>
            <w:tcW w:w="1680" w:type="dxa"/>
            <w:tcBorders>
              <w:top w:val="nil"/>
              <w:left w:val="nil"/>
              <w:bottom w:val="single" w:sz="4" w:space="0" w:color="auto"/>
              <w:right w:val="single" w:sz="4" w:space="0" w:color="auto"/>
            </w:tcBorders>
            <w:shd w:val="clear" w:color="auto" w:fill="C6EFCE"/>
            <w:noWrap/>
          </w:tcPr>
          <w:p w14:paraId="0FE57B72" w14:textId="6F810C3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18 – 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16543_Opatrenia na zjednodušenie podnikateľského prostredia</w:t>
            </w:r>
            <w:r w:rsidR="00AB26B3" w:rsidRPr="00AB26B3">
              <w:rPr>
                <w:noProof/>
                <w:spacing w:val="-6"/>
                <w:lang w:val="sk-SK"/>
              </w:rPr>
              <w:t xml:space="preserve"> a </w:t>
            </w:r>
            <w:r w:rsidRPr="00AB26B3">
              <w:rPr>
                <w:noProof/>
                <w:spacing w:val="-6"/>
                <w:lang w:val="sk-SK"/>
              </w:rPr>
              <w:t>jeho zlepšenie kvality</w:t>
            </w:r>
            <w:r w:rsidR="00AB26B3" w:rsidRPr="00AB26B3">
              <w:rPr>
                <w:noProof/>
                <w:spacing w:val="-6"/>
                <w:lang w:val="sk-SK"/>
              </w:rPr>
              <w:t xml:space="preserve"> a </w:t>
            </w:r>
            <w:r w:rsidRPr="00AB26B3">
              <w:rPr>
                <w:noProof/>
                <w:spacing w:val="-6"/>
                <w:lang w:val="sk-SK"/>
              </w:rPr>
              <w:t>bezpečnosti</w:t>
            </w:r>
          </w:p>
        </w:tc>
        <w:tc>
          <w:tcPr>
            <w:tcW w:w="1107" w:type="dxa"/>
            <w:tcBorders>
              <w:top w:val="nil"/>
              <w:left w:val="nil"/>
              <w:bottom w:val="single" w:sz="4" w:space="0" w:color="auto"/>
              <w:right w:val="single" w:sz="4" w:space="0" w:color="auto"/>
            </w:tcBorders>
            <w:shd w:val="clear" w:color="auto" w:fill="C6EFCE"/>
            <w:noWrap/>
          </w:tcPr>
          <w:p w14:paraId="71BD8FD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592" w:type="dxa"/>
            <w:tcBorders>
              <w:top w:val="nil"/>
              <w:left w:val="nil"/>
              <w:bottom w:val="single" w:sz="4" w:space="0" w:color="auto"/>
              <w:right w:val="single" w:sz="4" w:space="0" w:color="auto"/>
            </w:tcBorders>
            <w:shd w:val="clear" w:color="auto" w:fill="C6EFCE"/>
            <w:noWrap/>
          </w:tcPr>
          <w:p w14:paraId="10450E1E" w14:textId="0569766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Podnikateľské prostredie – zjednodušenie udeľovania licencií</w:t>
            </w:r>
            <w:r w:rsidR="00AB26B3" w:rsidRPr="00AB26B3">
              <w:rPr>
                <w:noProof/>
                <w:spacing w:val="-6"/>
                <w:lang w:val="sk-SK"/>
              </w:rPr>
              <w:t xml:space="preserve"> a </w:t>
            </w:r>
            <w:r w:rsidRPr="00AB26B3">
              <w:rPr>
                <w:noProof/>
                <w:spacing w:val="-6"/>
                <w:lang w:val="sk-SK"/>
              </w:rPr>
              <w:t>dohľad nad trhom</w:t>
            </w:r>
          </w:p>
        </w:tc>
        <w:tc>
          <w:tcPr>
            <w:tcW w:w="1694" w:type="dxa"/>
            <w:tcBorders>
              <w:top w:val="nil"/>
              <w:left w:val="nil"/>
              <w:bottom w:val="single" w:sz="4" w:space="0" w:color="auto"/>
              <w:right w:val="single" w:sz="4" w:space="0" w:color="auto"/>
            </w:tcBorders>
            <w:shd w:val="clear" w:color="auto" w:fill="C6EFCE"/>
            <w:noWrap/>
          </w:tcPr>
          <w:p w14:paraId="34E0B3AE" w14:textId="2E251EF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aktov</w:t>
            </w:r>
            <w:r w:rsidR="00AB26B3" w:rsidRPr="00AB26B3">
              <w:rPr>
                <w:noProof/>
                <w:spacing w:val="-6"/>
                <w:lang w:val="sk-SK"/>
              </w:rPr>
              <w:t xml:space="preserve"> a </w:t>
            </w:r>
            <w:r w:rsidRPr="00AB26B3">
              <w:rPr>
                <w:noProof/>
                <w:spacing w:val="-6"/>
                <w:lang w:val="sk-SK"/>
              </w:rPr>
              <w:t>realizácia opatrení</w:t>
            </w:r>
            <w:r w:rsidR="00AB26B3" w:rsidRPr="00AB26B3">
              <w:rPr>
                <w:noProof/>
                <w:spacing w:val="-6"/>
                <w:lang w:val="sk-SK"/>
              </w:rPr>
              <w:t xml:space="preserve"> v </w:t>
            </w:r>
            <w:r w:rsidRPr="00AB26B3">
              <w:rPr>
                <w:noProof/>
                <w:spacing w:val="-6"/>
                <w:lang w:val="sk-SK"/>
              </w:rPr>
              <w:t>oblasti IT</w:t>
            </w:r>
            <w:r w:rsidR="00AB26B3" w:rsidRPr="00AB26B3">
              <w:rPr>
                <w:noProof/>
                <w:spacing w:val="-6"/>
                <w:lang w:val="sk-SK"/>
              </w:rPr>
              <w:t xml:space="preserve"> a </w:t>
            </w:r>
            <w:r w:rsidRPr="00AB26B3">
              <w:rPr>
                <w:noProof/>
                <w:spacing w:val="-6"/>
                <w:lang w:val="sk-SK"/>
              </w:rPr>
              <w:t>administratívnych opatrení</w:t>
            </w:r>
            <w:r w:rsidR="00AB26B3" w:rsidRPr="00AB26B3">
              <w:rPr>
                <w:noProof/>
                <w:spacing w:val="-6"/>
                <w:lang w:val="sk-SK"/>
              </w:rPr>
              <w:t xml:space="preserve"> v </w:t>
            </w:r>
            <w:r w:rsidRPr="00AB26B3">
              <w:rPr>
                <w:noProof/>
                <w:spacing w:val="-6"/>
                <w:lang w:val="sk-SK"/>
              </w:rPr>
              <w:t xml:space="preserve">rámci reforiem </w:t>
            </w:r>
          </w:p>
        </w:tc>
        <w:tc>
          <w:tcPr>
            <w:tcW w:w="983" w:type="dxa"/>
            <w:tcBorders>
              <w:top w:val="nil"/>
              <w:left w:val="nil"/>
              <w:bottom w:val="single" w:sz="4" w:space="0" w:color="auto"/>
              <w:right w:val="single" w:sz="4" w:space="0" w:color="auto"/>
            </w:tcBorders>
            <w:shd w:val="clear" w:color="auto" w:fill="C6EFCE"/>
            <w:noWrap/>
          </w:tcPr>
          <w:p w14:paraId="2B59F5B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7" w:type="dxa"/>
            <w:tcBorders>
              <w:top w:val="nil"/>
              <w:left w:val="nil"/>
              <w:bottom w:val="single" w:sz="4" w:space="0" w:color="auto"/>
              <w:right w:val="single" w:sz="4" w:space="0" w:color="auto"/>
            </w:tcBorders>
            <w:shd w:val="clear" w:color="auto" w:fill="C6EFCE"/>
            <w:noWrap/>
          </w:tcPr>
          <w:p w14:paraId="3533A58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27" w:type="dxa"/>
            <w:tcBorders>
              <w:top w:val="nil"/>
              <w:left w:val="nil"/>
              <w:bottom w:val="single" w:sz="4" w:space="0" w:color="auto"/>
              <w:right w:val="single" w:sz="4" w:space="0" w:color="auto"/>
            </w:tcBorders>
            <w:shd w:val="clear" w:color="auto" w:fill="C6EFCE"/>
            <w:noWrap/>
          </w:tcPr>
          <w:p w14:paraId="1962DDA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87" w:type="dxa"/>
            <w:tcBorders>
              <w:top w:val="nil"/>
              <w:left w:val="nil"/>
              <w:bottom w:val="single" w:sz="4" w:space="0" w:color="auto"/>
              <w:right w:val="single" w:sz="4" w:space="0" w:color="auto"/>
            </w:tcBorders>
            <w:shd w:val="clear" w:color="auto" w:fill="C6EFCE"/>
            <w:noWrap/>
          </w:tcPr>
          <w:p w14:paraId="00DF0C5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707" w:type="dxa"/>
            <w:tcBorders>
              <w:top w:val="nil"/>
              <w:left w:val="nil"/>
              <w:bottom w:val="single" w:sz="4" w:space="0" w:color="auto"/>
              <w:right w:val="single" w:sz="4" w:space="0" w:color="auto"/>
            </w:tcBorders>
            <w:shd w:val="clear" w:color="auto" w:fill="C6EFCE"/>
            <w:noWrap/>
          </w:tcPr>
          <w:p w14:paraId="07E84A6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449" w:type="dxa"/>
            <w:tcBorders>
              <w:top w:val="nil"/>
              <w:left w:val="nil"/>
              <w:bottom w:val="single" w:sz="4" w:space="0" w:color="auto"/>
              <w:right w:val="single" w:sz="4" w:space="0" w:color="auto"/>
            </w:tcBorders>
            <w:shd w:val="clear" w:color="auto" w:fill="C6EFCE"/>
            <w:noWrap/>
          </w:tcPr>
          <w:p w14:paraId="757C30FB" w14:textId="1A3BA10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Integrovať do digitálneho systému udeľovania licencií na hospodárske činnosti nové funkcie odporúčané</w:t>
            </w:r>
            <w:r w:rsidR="00AB26B3" w:rsidRPr="00AB26B3">
              <w:rPr>
                <w:noProof/>
                <w:spacing w:val="-6"/>
                <w:lang w:val="sk-SK"/>
              </w:rPr>
              <w:t xml:space="preserve"> v </w:t>
            </w:r>
            <w:r w:rsidRPr="00AB26B3">
              <w:rPr>
                <w:noProof/>
                <w:spacing w:val="-6"/>
                <w:lang w:val="sk-SK"/>
              </w:rPr>
              <w:t>následnom posúdení vplyvu reformy udeľovania licencií, ktorá sa uskutočnila,</w:t>
            </w:r>
          </w:p>
          <w:p w14:paraId="67EB1066" w14:textId="07F4A2ED" w:rsidR="00AB26B3" w:rsidRPr="00AB26B3" w:rsidRDefault="00D64F26">
            <w:pPr>
              <w:pStyle w:val="P68B1DB1-Normal12"/>
              <w:spacing w:after="0" w:line="259" w:lineRule="auto"/>
              <w:ind w:left="12"/>
              <w:contextualSpacing/>
              <w:rPr>
                <w:noProof/>
                <w:spacing w:val="-6"/>
                <w:lang w:val="sk-SK"/>
              </w:rPr>
            </w:pPr>
            <w:r w:rsidRPr="00AB26B3">
              <w:rPr>
                <w:noProof/>
                <w:spacing w:val="-6"/>
                <w:lang w:val="sk-SK"/>
              </w:rPr>
              <w:t xml:space="preserve">— Nadobudnutie účinnosti zmeneného zákona </w:t>
            </w:r>
            <w:r w:rsidR="00AB26B3" w:rsidRPr="00AB26B3">
              <w:rPr>
                <w:noProof/>
                <w:spacing w:val="-6"/>
                <w:lang w:val="sk-SK"/>
              </w:rPr>
              <w:t>č. </w:t>
            </w:r>
            <w:r w:rsidRPr="00AB26B3">
              <w:rPr>
                <w:noProof/>
                <w:spacing w:val="-6"/>
                <w:lang w:val="sk-SK"/>
              </w:rPr>
              <w:t>4442/16</w:t>
            </w:r>
            <w:r w:rsidR="00AB26B3" w:rsidRPr="00AB26B3">
              <w:rPr>
                <w:noProof/>
                <w:spacing w:val="-6"/>
                <w:lang w:val="sk-SK"/>
              </w:rPr>
              <w:t xml:space="preserve"> s </w:t>
            </w:r>
            <w:r w:rsidRPr="00AB26B3">
              <w:rPr>
                <w:noProof/>
                <w:spacing w:val="-6"/>
                <w:lang w:val="sk-SK"/>
              </w:rPr>
              <w:t>cieľom zahrnúť postupy udeľovania licencií na nové hospodárske činnosti (jedálne, internetové miestnosti, organizácia kongresov</w:t>
            </w:r>
            <w:r w:rsidR="00AB26B3" w:rsidRPr="00AB26B3">
              <w:rPr>
                <w:noProof/>
                <w:spacing w:val="-6"/>
                <w:lang w:val="sk-SK"/>
              </w:rPr>
              <w:t xml:space="preserve"> a </w:t>
            </w:r>
            <w:r w:rsidRPr="00AB26B3">
              <w:rPr>
                <w:noProof/>
                <w:spacing w:val="-6"/>
                <w:lang w:val="sk-SK"/>
              </w:rPr>
              <w:t>obchodných výstav, činnosti starostlivosti</w:t>
            </w:r>
            <w:r w:rsidR="00AB26B3" w:rsidRPr="00AB26B3">
              <w:rPr>
                <w:noProof/>
                <w:spacing w:val="-6"/>
                <w:lang w:val="sk-SK"/>
              </w:rPr>
              <w:t xml:space="preserve"> o </w:t>
            </w:r>
            <w:r w:rsidRPr="00AB26B3">
              <w:rPr>
                <w:noProof/>
                <w:spacing w:val="-6"/>
                <w:lang w:val="sk-SK"/>
              </w:rPr>
              <w:t>deti, zariadenia sociálnej starostlivosti pre starších ľudí</w:t>
            </w:r>
            <w:r w:rsidR="00AB26B3" w:rsidRPr="00AB26B3">
              <w:rPr>
                <w:noProof/>
                <w:spacing w:val="-6"/>
                <w:lang w:val="sk-SK"/>
              </w:rPr>
              <w:t xml:space="preserve"> a </w:t>
            </w:r>
            <w:r w:rsidRPr="00AB26B3">
              <w:rPr>
                <w:noProof/>
                <w:spacing w:val="-6"/>
                <w:lang w:val="sk-SK"/>
              </w:rPr>
              <w:t>osoby so zdravotným postihnutím, neterapeutické kúpele</w:t>
            </w:r>
            <w:r w:rsidR="00AB26B3" w:rsidRPr="00AB26B3">
              <w:rPr>
                <w:noProof/>
                <w:spacing w:val="-6"/>
                <w:lang w:val="sk-SK"/>
              </w:rPr>
              <w:t xml:space="preserve"> a </w:t>
            </w:r>
            <w:r w:rsidRPr="00AB26B3">
              <w:rPr>
                <w:noProof/>
                <w:spacing w:val="-6"/>
                <w:lang w:val="sk-SK"/>
              </w:rPr>
              <w:t>masážne centrá, umelé triesloviny</w:t>
            </w:r>
            <w:r w:rsidR="00AB26B3" w:rsidRPr="00AB26B3">
              <w:rPr>
                <w:noProof/>
                <w:spacing w:val="-6"/>
                <w:lang w:val="sk-SK"/>
              </w:rPr>
              <w:t xml:space="preserve"> a </w:t>
            </w:r>
            <w:r w:rsidRPr="00AB26B3">
              <w:rPr>
                <w:noProof/>
                <w:spacing w:val="-6"/>
                <w:lang w:val="sk-SK"/>
              </w:rPr>
              <w:t>skladovanie lodí na pevnine)</w:t>
            </w:r>
            <w:r w:rsidR="00AB26B3" w:rsidRPr="00AB26B3">
              <w:rPr>
                <w:noProof/>
                <w:spacing w:val="-6"/>
                <w:lang w:val="sk-SK"/>
              </w:rPr>
              <w:t xml:space="preserve"> v </w:t>
            </w:r>
            <w:r w:rsidRPr="00AB26B3">
              <w:rPr>
                <w:noProof/>
                <w:spacing w:val="-6"/>
                <w:lang w:val="sk-SK"/>
              </w:rPr>
              <w:t xml:space="preserve">súlade so zásadami zákonov </w:t>
            </w:r>
            <w:r w:rsidR="00AB26B3" w:rsidRPr="00AB26B3">
              <w:rPr>
                <w:noProof/>
                <w:spacing w:val="-6"/>
                <w:lang w:val="sk-SK"/>
              </w:rPr>
              <w:t>č. </w:t>
            </w:r>
            <w:r w:rsidRPr="00AB26B3">
              <w:rPr>
                <w:noProof/>
                <w:spacing w:val="-6"/>
                <w:lang w:val="sk-SK"/>
              </w:rPr>
              <w:t>4442/2016</w:t>
            </w:r>
            <w:r w:rsidR="00AB26B3" w:rsidRPr="00AB26B3">
              <w:rPr>
                <w:noProof/>
                <w:spacing w:val="-6"/>
                <w:lang w:val="sk-SK"/>
              </w:rPr>
              <w:t xml:space="preserve"> a </w:t>
            </w:r>
            <w:r w:rsidRPr="00AB26B3">
              <w:rPr>
                <w:noProof/>
                <w:spacing w:val="-6"/>
                <w:lang w:val="sk-SK"/>
              </w:rPr>
              <w:t>4512/2018,</w:t>
            </w:r>
          </w:p>
          <w:p w14:paraId="344327D2" w14:textId="77777777" w:rsidR="00AB26B3" w:rsidRPr="00AB26B3" w:rsidRDefault="00D64F26">
            <w:pPr>
              <w:pStyle w:val="P68B1DB1-Normal12"/>
              <w:spacing w:after="0" w:line="240" w:lineRule="auto"/>
              <w:rPr>
                <w:noProof/>
                <w:spacing w:val="-6"/>
                <w:lang w:val="sk-SK"/>
              </w:rPr>
            </w:pPr>
            <w:r w:rsidRPr="00AB26B3">
              <w:rPr>
                <w:noProof/>
                <w:spacing w:val="-6"/>
                <w:lang w:val="sk-SK"/>
              </w:rPr>
              <w:t>— Uverejnenie administratívnej kodifikácie (</w:t>
            </w:r>
            <w:r w:rsidRPr="00AB26B3">
              <w:rPr>
                <w:i/>
                <w:noProof/>
                <w:spacing w:val="-6"/>
                <w:lang w:val="sk-SK"/>
              </w:rPr>
              <w:t>διοικητική κωδικοποίηση</w:t>
            </w:r>
            <w:r w:rsidRPr="00AB26B3">
              <w:rPr>
                <w:noProof/>
                <w:spacing w:val="-6"/>
                <w:lang w:val="sk-SK"/>
              </w:rPr>
              <w:t>) zákonov 3325/2005, 3982/2011, 4302/2014</w:t>
            </w:r>
            <w:r w:rsidR="00AB26B3" w:rsidRPr="00AB26B3">
              <w:rPr>
                <w:noProof/>
                <w:spacing w:val="-6"/>
                <w:lang w:val="sk-SK"/>
              </w:rPr>
              <w:t xml:space="preserve"> a </w:t>
            </w:r>
            <w:r w:rsidRPr="00AB26B3">
              <w:rPr>
                <w:noProof/>
                <w:spacing w:val="-6"/>
                <w:lang w:val="sk-SK"/>
              </w:rPr>
              <w:t>4442/2016,</w:t>
            </w:r>
          </w:p>
          <w:p w14:paraId="42B419FB" w14:textId="5EBA0C56" w:rsidR="00AB26B3" w:rsidRPr="00AB26B3" w:rsidRDefault="00D64F26">
            <w:pPr>
              <w:pStyle w:val="P68B1DB1-Normal12"/>
              <w:spacing w:after="0" w:line="240" w:lineRule="auto"/>
              <w:rPr>
                <w:noProof/>
                <w:spacing w:val="-6"/>
                <w:lang w:val="sk-SK"/>
              </w:rPr>
            </w:pPr>
            <w:r w:rsidRPr="00AB26B3">
              <w:rPr>
                <w:noProof/>
                <w:spacing w:val="-6"/>
                <w:lang w:val="sk-SK"/>
              </w:rPr>
              <w:t>— Uverejnenie vnútroštátnej stratégie dohľadu nad trhom</w:t>
            </w:r>
            <w:r w:rsidR="00AB26B3" w:rsidRPr="00AB26B3">
              <w:rPr>
                <w:noProof/>
                <w:spacing w:val="-6"/>
                <w:lang w:val="sk-SK"/>
              </w:rPr>
              <w:t xml:space="preserve"> s </w:t>
            </w:r>
            <w:r w:rsidRPr="00AB26B3">
              <w:rPr>
                <w:noProof/>
                <w:spacing w:val="-6"/>
                <w:lang w:val="sk-SK"/>
              </w:rPr>
              <w:t>výrobkami uvedenej</w:t>
            </w:r>
            <w:r w:rsidR="00AB26B3" w:rsidRPr="00AB26B3">
              <w:rPr>
                <w:noProof/>
                <w:spacing w:val="-6"/>
                <w:lang w:val="sk-SK"/>
              </w:rPr>
              <w:t xml:space="preserve"> v </w:t>
            </w:r>
            <w:r w:rsidRPr="00AB26B3">
              <w:rPr>
                <w:noProof/>
                <w:spacing w:val="-6"/>
                <w:lang w:val="sk-SK"/>
              </w:rPr>
              <w:t xml:space="preserve">nariadení </w:t>
            </w:r>
            <w:r w:rsidR="00AB26B3" w:rsidRPr="00AB26B3">
              <w:rPr>
                <w:noProof/>
                <w:spacing w:val="-6"/>
                <w:lang w:val="sk-SK"/>
              </w:rPr>
              <w:t>č. </w:t>
            </w:r>
            <w:r w:rsidRPr="00AB26B3">
              <w:rPr>
                <w:noProof/>
                <w:spacing w:val="-6"/>
                <w:lang w:val="sk-SK"/>
              </w:rPr>
              <w:t>1020/2019</w:t>
            </w:r>
            <w:r w:rsidR="00AB26B3" w:rsidRPr="00AB26B3">
              <w:rPr>
                <w:noProof/>
                <w:spacing w:val="-6"/>
                <w:lang w:val="sk-SK"/>
              </w:rPr>
              <w:t xml:space="preserve"> a</w:t>
            </w:r>
          </w:p>
          <w:p w14:paraId="21D07F72" w14:textId="0F5B756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Začatie uplatňovania nového systému dohľadu nad hospodárskymi činnosťami podľa právnych predpisov 4512/18 prostredníctvom nadobudnutia účinnosti právnych aktov pre oblasti kontroly ochrany spotrebiteľa, verejného zdravia, bezpečnosti</w:t>
            </w:r>
            <w:r w:rsidR="00AB26B3" w:rsidRPr="00AB26B3">
              <w:rPr>
                <w:noProof/>
                <w:spacing w:val="-6"/>
                <w:lang w:val="sk-SK"/>
              </w:rPr>
              <w:t xml:space="preserve"> a </w:t>
            </w:r>
            <w:r w:rsidRPr="00AB26B3">
              <w:rPr>
                <w:noProof/>
                <w:spacing w:val="-6"/>
                <w:lang w:val="sk-SK"/>
              </w:rPr>
              <w:t>ochrany zdravia pri práci</w:t>
            </w:r>
            <w:r w:rsidR="00AB26B3" w:rsidRPr="00AB26B3">
              <w:rPr>
                <w:noProof/>
                <w:spacing w:val="-6"/>
                <w:lang w:val="sk-SK"/>
              </w:rPr>
              <w:t xml:space="preserve"> a </w:t>
            </w:r>
            <w:r w:rsidRPr="00AB26B3">
              <w:rPr>
                <w:noProof/>
                <w:spacing w:val="-6"/>
                <w:lang w:val="sk-SK"/>
              </w:rPr>
              <w:t>bezpečnosti infraštruktúr,</w:t>
            </w:r>
            <w:r w:rsidR="00AB26B3" w:rsidRPr="00AB26B3">
              <w:rPr>
                <w:noProof/>
                <w:spacing w:val="-6"/>
                <w:lang w:val="sk-SK"/>
              </w:rPr>
              <w:t xml:space="preserve"> a o </w:t>
            </w:r>
            <w:r w:rsidRPr="00AB26B3">
              <w:rPr>
                <w:noProof/>
                <w:spacing w:val="-6"/>
                <w:lang w:val="sk-SK"/>
              </w:rPr>
              <w:t>nadobudnutí účinnosti systému hodnotenia inšpekčných orgánov</w:t>
            </w:r>
            <w:r w:rsidR="00AB26B3" w:rsidRPr="00AB26B3">
              <w:rPr>
                <w:noProof/>
                <w:spacing w:val="-6"/>
                <w:lang w:val="sk-SK"/>
              </w:rPr>
              <w:t xml:space="preserve"> v </w:t>
            </w:r>
            <w:r w:rsidRPr="00AB26B3">
              <w:rPr>
                <w:noProof/>
                <w:spacing w:val="-6"/>
                <w:lang w:val="sk-SK"/>
              </w:rPr>
              <w:t>oblastiach kontroly ochrany spotrebiteľa, verejného zdravia, bezpečnosti</w:t>
            </w:r>
            <w:r w:rsidR="00AB26B3" w:rsidRPr="00AB26B3">
              <w:rPr>
                <w:noProof/>
                <w:spacing w:val="-6"/>
                <w:lang w:val="sk-SK"/>
              </w:rPr>
              <w:t xml:space="preserve"> a </w:t>
            </w:r>
            <w:r w:rsidRPr="00AB26B3">
              <w:rPr>
                <w:noProof/>
                <w:spacing w:val="-6"/>
                <w:lang w:val="sk-SK"/>
              </w:rPr>
              <w:t>ochrany zdravia pri práci, bezpečnosti infraštruktúr, bezpečnosti potravín, ochrany životného prostredia</w:t>
            </w:r>
            <w:r w:rsidR="00AB26B3" w:rsidRPr="00AB26B3">
              <w:rPr>
                <w:noProof/>
                <w:spacing w:val="-6"/>
                <w:lang w:val="sk-SK"/>
              </w:rPr>
              <w:t xml:space="preserve"> a </w:t>
            </w:r>
            <w:r w:rsidRPr="00AB26B3">
              <w:rPr>
                <w:noProof/>
                <w:spacing w:val="-6"/>
                <w:lang w:val="sk-SK"/>
              </w:rPr>
              <w:t>bezpečnosti výrobkov</w:t>
            </w:r>
          </w:p>
          <w:p w14:paraId="56B5FCBF" w14:textId="4F04F93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−Dodanie IT nástroja na uľahčenie procesov funkcií dohľadu nad trhom</w:t>
            </w:r>
            <w:r w:rsidR="00AB26B3" w:rsidRPr="00AB26B3">
              <w:rPr>
                <w:noProof/>
                <w:spacing w:val="-6"/>
                <w:lang w:val="sk-SK"/>
              </w:rPr>
              <w:t xml:space="preserve"> s </w:t>
            </w:r>
            <w:r w:rsidRPr="00AB26B3">
              <w:rPr>
                <w:noProof/>
                <w:spacing w:val="-6"/>
                <w:lang w:val="sk-SK"/>
              </w:rPr>
              <w:t>výrobkami.</w:t>
            </w:r>
          </w:p>
        </w:tc>
      </w:tr>
    </w:tbl>
    <w:p w14:paraId="18D1284B"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2B0374AD" w14:textId="77777777" w:rsidR="00302FC1" w:rsidRPr="00AB26B3" w:rsidRDefault="00302FC1">
      <w:pPr>
        <w:spacing w:before="120" w:after="120" w:line="240" w:lineRule="auto"/>
        <w:ind w:left="709"/>
        <w:jc w:val="both"/>
        <w:rPr>
          <w:rFonts w:ascii="Times New Roman" w:hAnsi="Times New Roman" w:cs="Times New Roman"/>
          <w:noProof/>
          <w:spacing w:val="-6"/>
          <w:sz w:val="24"/>
          <w:lang w:val="sk-SK"/>
        </w:rPr>
        <w:sectPr w:rsidR="00302FC1" w:rsidRPr="00AB26B3" w:rsidSect="00315FC0">
          <w:headerReference w:type="even" r:id="rId318"/>
          <w:headerReference w:type="default" r:id="rId319"/>
          <w:footerReference w:type="even" r:id="rId320"/>
          <w:footerReference w:type="default" r:id="rId321"/>
          <w:headerReference w:type="first" r:id="rId322"/>
          <w:footerReference w:type="first" r:id="rId323"/>
          <w:pgSz w:w="16839" w:h="11907" w:orient="landscape"/>
          <w:pgMar w:top="720" w:right="720" w:bottom="720" w:left="720" w:header="709" w:footer="217" w:gutter="0"/>
          <w:cols w:space="720"/>
          <w:docGrid w:linePitch="360"/>
        </w:sectPr>
      </w:pPr>
    </w:p>
    <w:p w14:paraId="113C1D32" w14:textId="77777777" w:rsidR="00AB26B3" w:rsidRPr="00AB26B3" w:rsidRDefault="00D64F26">
      <w:pPr>
        <w:pStyle w:val="P68B1DB1-Normal6"/>
        <w:spacing w:before="120" w:after="120" w:line="240" w:lineRule="auto"/>
        <w:jc w:val="both"/>
        <w:rPr>
          <w:noProof/>
          <w:spacing w:val="-6"/>
          <w:lang w:val="sk-SK"/>
        </w:rPr>
      </w:pPr>
      <w:r w:rsidRPr="00AB26B3">
        <w:rPr>
          <w:noProof/>
          <w:spacing w:val="-6"/>
          <w:lang w:val="sk-SK"/>
        </w:rPr>
        <w:t>R.3.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úverového financovania</w:t>
      </w:r>
    </w:p>
    <w:p w14:paraId="17DB9509" w14:textId="1B4716A3"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Úverový nástroj (opatrenie ID 16980)</w:t>
      </w:r>
    </w:p>
    <w:p w14:paraId="278C06FC" w14:textId="7788AEDA" w:rsidR="00AB26B3" w:rsidRPr="00AB26B3" w:rsidRDefault="00D64F26">
      <w:pPr>
        <w:pStyle w:val="P68B1DB1-Normal7"/>
        <w:spacing w:before="120" w:after="120" w:line="240" w:lineRule="auto"/>
        <w:jc w:val="both"/>
        <w:rPr>
          <w:noProof/>
          <w:spacing w:val="-6"/>
          <w:lang w:val="sk-SK"/>
        </w:rPr>
      </w:pPr>
      <w:r w:rsidRPr="00AB26B3">
        <w:rPr>
          <w:noProof/>
          <w:spacing w:val="-6"/>
          <w:lang w:val="sk-SK"/>
        </w:rPr>
        <w:t>Investícia sa týka využívania úverovej podpory</w:t>
      </w:r>
      <w:r w:rsidR="00AB26B3" w:rsidRPr="00AB26B3">
        <w:rPr>
          <w:noProof/>
          <w:spacing w:val="-6"/>
          <w:lang w:val="sk-SK"/>
        </w:rPr>
        <w:t xml:space="preserve"> v </w:t>
      </w:r>
      <w:r w:rsidRPr="00AB26B3">
        <w:rPr>
          <w:noProof/>
          <w:spacing w:val="-6"/>
          <w:lang w:val="sk-SK"/>
        </w:rPr>
        <w:t>rámci Mechanizmu na podporu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s </w:t>
      </w:r>
      <w:r w:rsidRPr="00AB26B3">
        <w:rPr>
          <w:noProof/>
          <w:spacing w:val="-6"/>
          <w:lang w:val="sk-SK"/>
        </w:rPr>
        <w:t>cieľom uľahčiť poskytovanie finančných stimulov súkromnému sektoru</w:t>
      </w:r>
      <w:r w:rsidR="00AB26B3" w:rsidRPr="00AB26B3">
        <w:rPr>
          <w:noProof/>
          <w:spacing w:val="-6"/>
          <w:lang w:val="sk-SK"/>
        </w:rPr>
        <w:t xml:space="preserve"> a </w:t>
      </w:r>
      <w:r w:rsidRPr="00AB26B3">
        <w:rPr>
          <w:noProof/>
          <w:spacing w:val="-6"/>
          <w:lang w:val="sk-SK"/>
        </w:rPr>
        <w:t>podporiť súkromné investície. Úverový nástroj využíva rôzne distribučné kanály, konkrétne finančné inštitúcie [prostredníctvom nákupu podnikových dlhopisov alebo syndikovaných úverov (13268 mil. EUR), platformu vlastného imania (600 mil. EUR)</w:t>
      </w:r>
      <w:r w:rsidR="00AB26B3" w:rsidRPr="00AB26B3">
        <w:rPr>
          <w:noProof/>
          <w:spacing w:val="-6"/>
          <w:lang w:val="sk-SK"/>
        </w:rPr>
        <w:t xml:space="preserve"> a </w:t>
      </w:r>
      <w:r w:rsidRPr="00AB26B3">
        <w:rPr>
          <w:noProof/>
          <w:spacing w:val="-6"/>
          <w:lang w:val="sk-SK"/>
        </w:rPr>
        <w:t>zložku Programu InvestEU</w:t>
      </w:r>
      <w:r w:rsidR="00AB26B3" w:rsidRPr="00AB26B3">
        <w:rPr>
          <w:noProof/>
          <w:spacing w:val="-6"/>
          <w:lang w:val="sk-SK"/>
        </w:rPr>
        <w:t xml:space="preserve"> v </w:t>
      </w:r>
      <w:r w:rsidRPr="00AB26B3">
        <w:rPr>
          <w:noProof/>
          <w:spacing w:val="-6"/>
          <w:lang w:val="sk-SK"/>
        </w:rPr>
        <w:t>zodpovednosti členských štátov (800 mil. EUR)]</w:t>
      </w:r>
      <w:r w:rsidR="00AB26B3" w:rsidRPr="00AB26B3">
        <w:rPr>
          <w:noProof/>
          <w:spacing w:val="-6"/>
          <w:lang w:val="sk-SK"/>
        </w:rPr>
        <w:t>.</w:t>
      </w:r>
    </w:p>
    <w:p w14:paraId="644B87BE" w14:textId="1CCB71C9" w:rsidR="00AB26B3" w:rsidRPr="00AB26B3" w:rsidRDefault="00D64F26">
      <w:pPr>
        <w:pStyle w:val="P68B1DB1-Normal5"/>
        <w:spacing w:before="120" w:after="120" w:line="240" w:lineRule="auto"/>
        <w:jc w:val="both"/>
        <w:rPr>
          <w:noProof/>
          <w:spacing w:val="-6"/>
          <w:lang w:val="sk-SK"/>
        </w:rPr>
      </w:pPr>
      <w:r w:rsidRPr="00AB26B3">
        <w:rPr>
          <w:noProof/>
          <w:spacing w:val="-6"/>
          <w:lang w:val="sk-SK"/>
        </w:rPr>
        <w:t>V prípade distribučného kanála finančných inštitúcií sa úvery poskytujú prostredníctvom medzinárodných finančných inštitúcií (IFI)</w:t>
      </w:r>
      <w:r w:rsidR="00AB26B3" w:rsidRPr="00AB26B3">
        <w:rPr>
          <w:noProof/>
          <w:spacing w:val="-6"/>
          <w:lang w:val="sk-SK"/>
        </w:rPr>
        <w:t xml:space="preserve"> a </w:t>
      </w:r>
      <w:r w:rsidRPr="00AB26B3">
        <w:rPr>
          <w:noProof/>
          <w:spacing w:val="-6"/>
          <w:lang w:val="sk-SK"/>
        </w:rPr>
        <w:t>komerčných bánk (CB). Pôžičky poskytnuté štátom pokrývajú maximálne 50</w:t>
      </w:r>
      <w:r w:rsidR="00AB26B3" w:rsidRPr="00AB26B3">
        <w:rPr>
          <w:noProof/>
          <w:spacing w:val="-6"/>
          <w:lang w:val="sk-SK"/>
        </w:rPr>
        <w:t> %</w:t>
      </w:r>
      <w:r w:rsidRPr="00AB26B3">
        <w:rPr>
          <w:noProof/>
          <w:spacing w:val="-6"/>
          <w:lang w:val="sk-SK"/>
        </w:rPr>
        <w:t xml:space="preserve"> investičných nákladov, pričom účasť finančných inštitúcií je minimálne 30</w:t>
      </w:r>
      <w:r w:rsidR="00AB26B3" w:rsidRPr="00AB26B3">
        <w:rPr>
          <w:noProof/>
          <w:spacing w:val="-6"/>
          <w:lang w:val="sk-SK"/>
        </w:rPr>
        <w:t> % a </w:t>
      </w:r>
      <w:r w:rsidRPr="00AB26B3">
        <w:rPr>
          <w:noProof/>
          <w:spacing w:val="-6"/>
          <w:lang w:val="sk-SK"/>
        </w:rPr>
        <w:t>účasť dlžníka je minimálne 20</w:t>
      </w:r>
      <w:r w:rsidR="00AB26B3" w:rsidRPr="00AB26B3">
        <w:rPr>
          <w:noProof/>
          <w:spacing w:val="-6"/>
          <w:lang w:val="sk-SK"/>
        </w:rPr>
        <w:t> %.</w:t>
      </w:r>
    </w:p>
    <w:p w14:paraId="7D667753" w14:textId="1594B9E8" w:rsidR="00302FC1" w:rsidRPr="00AB26B3" w:rsidRDefault="00D64F26">
      <w:pPr>
        <w:pStyle w:val="P68B1DB1-Normal5"/>
        <w:tabs>
          <w:tab w:val="left" w:pos="0"/>
        </w:tabs>
        <w:spacing w:before="120" w:after="120" w:line="240" w:lineRule="auto"/>
        <w:jc w:val="both"/>
        <w:rPr>
          <w:rFonts w:cs="Times New Roman"/>
          <w:noProof/>
          <w:spacing w:val="-6"/>
          <w:szCs w:val="24"/>
          <w:lang w:val="sk-SK"/>
        </w:rPr>
      </w:pPr>
      <w:r w:rsidRPr="00AB26B3">
        <w:rPr>
          <w:noProof/>
          <w:spacing w:val="-6"/>
          <w:lang w:val="sk-SK"/>
        </w:rPr>
        <w:t>Úvery poskytnuté</w:t>
      </w:r>
      <w:r w:rsidR="00AB26B3" w:rsidRPr="00AB26B3">
        <w:rPr>
          <w:noProof/>
          <w:spacing w:val="-6"/>
          <w:lang w:val="sk-SK"/>
        </w:rPr>
        <w:t xml:space="preserve"> v </w:t>
      </w:r>
      <w:r w:rsidRPr="00AB26B3">
        <w:rPr>
          <w:noProof/>
          <w:spacing w:val="-6"/>
          <w:lang w:val="sk-SK"/>
        </w:rPr>
        <w:t>rámci úverového nástroja splatené počas prvých troch rokov od zriadenia úverového nástroja sa môžu opätovne použiť na vyplatenie nového úverového nástroja.</w:t>
      </w:r>
      <w:r w:rsidR="00AB26B3" w:rsidRPr="00AB26B3">
        <w:rPr>
          <w:noProof/>
          <w:spacing w:val="-6"/>
          <w:lang w:val="sk-SK"/>
        </w:rPr>
        <w:t xml:space="preserve"> V </w:t>
      </w:r>
      <w:r w:rsidRPr="00AB26B3">
        <w:rPr>
          <w:noProof/>
          <w:spacing w:val="-6"/>
          <w:lang w:val="sk-SK"/>
        </w:rPr>
        <w:t>opačnom prípade sa všetky spätné toky úverového nástroja nasmerujú na oddelený účet, ktorý sa použije výlučne na správu verejného dlhu,</w:t>
      </w:r>
      <w:r w:rsidR="00AB26B3" w:rsidRPr="00AB26B3">
        <w:rPr>
          <w:noProof/>
          <w:spacing w:val="-6"/>
          <w:lang w:val="sk-SK"/>
        </w:rPr>
        <w:t xml:space="preserve"> a </w:t>
      </w:r>
      <w:r w:rsidRPr="00AB26B3">
        <w:rPr>
          <w:noProof/>
          <w:spacing w:val="-6"/>
          <w:lang w:val="sk-SK"/>
        </w:rPr>
        <w:t>tým pomôže podporiť udržateľnosť verejných financií.</w:t>
      </w:r>
    </w:p>
    <w:p w14:paraId="7EABE139" w14:textId="4E9FC6CD" w:rsidR="00AB26B3" w:rsidRPr="00AB26B3" w:rsidRDefault="00D64F26">
      <w:pPr>
        <w:pStyle w:val="P68B1DB1-Normal5"/>
        <w:tabs>
          <w:tab w:val="left" w:pos="0"/>
        </w:tabs>
        <w:spacing w:before="120" w:after="120" w:line="240" w:lineRule="auto"/>
        <w:jc w:val="both"/>
        <w:rPr>
          <w:noProof/>
          <w:spacing w:val="-6"/>
          <w:lang w:val="sk-SK"/>
        </w:rPr>
      </w:pPr>
      <w:r w:rsidRPr="00AB26B3">
        <w:rPr>
          <w:noProof/>
          <w:spacing w:val="-6"/>
          <w:lang w:val="sk-SK"/>
        </w:rPr>
        <w:t>Z úverového nástroja sa financujú len oprávnené projekty. Medzinárodné finančné inštitúcie</w:t>
      </w:r>
      <w:r w:rsidR="00AB26B3" w:rsidRPr="00AB26B3">
        <w:rPr>
          <w:noProof/>
          <w:spacing w:val="-6"/>
          <w:lang w:val="sk-SK"/>
        </w:rPr>
        <w:t xml:space="preserve"> a </w:t>
      </w:r>
      <w:r w:rsidRPr="00AB26B3">
        <w:rPr>
          <w:noProof/>
          <w:spacing w:val="-6"/>
          <w:lang w:val="sk-SK"/>
        </w:rPr>
        <w:t>certifikačné orgány konkrétne zabezpečia, aby financované investície</w:t>
      </w:r>
      <w:r w:rsidR="00AB26B3" w:rsidRPr="00AB26B3">
        <w:rPr>
          <w:noProof/>
          <w:spacing w:val="-6"/>
          <w:lang w:val="sk-SK"/>
        </w:rPr>
        <w:t>:</w:t>
      </w:r>
    </w:p>
    <w:p w14:paraId="1BABB1D0" w14:textId="2E198597" w:rsidR="00302FC1" w:rsidRPr="00AB26B3" w:rsidRDefault="00D64F26">
      <w:pPr>
        <w:pStyle w:val="P68B1DB1-Normal5"/>
        <w:numPr>
          <w:ilvl w:val="0"/>
          <w:numId w:val="78"/>
        </w:numPr>
        <w:tabs>
          <w:tab w:val="left" w:pos="0"/>
        </w:tabs>
        <w:spacing w:before="120" w:after="120" w:line="240" w:lineRule="auto"/>
        <w:jc w:val="both"/>
        <w:rPr>
          <w:rFonts w:cs="Times New Roman"/>
          <w:noProof/>
          <w:spacing w:val="-6"/>
          <w:szCs w:val="24"/>
          <w:lang w:val="sk-SK"/>
        </w:rPr>
      </w:pPr>
      <w:r w:rsidRPr="00AB26B3">
        <w:rPr>
          <w:noProof/>
          <w:spacing w:val="-6"/>
          <w:lang w:val="sk-SK"/>
        </w:rPr>
        <w:t>majú kladnú čistú súčasnú hodnotu, čím sa zabezpečí, aby sa rozhodnutie</w:t>
      </w:r>
      <w:r w:rsidR="00AB26B3" w:rsidRPr="00AB26B3">
        <w:rPr>
          <w:noProof/>
          <w:spacing w:val="-6"/>
          <w:lang w:val="sk-SK"/>
        </w:rPr>
        <w:t xml:space="preserve"> o </w:t>
      </w:r>
      <w:r w:rsidRPr="00AB26B3">
        <w:rPr>
          <w:noProof/>
          <w:spacing w:val="-6"/>
          <w:lang w:val="sk-SK"/>
        </w:rPr>
        <w:t>financovaní zakladalo na spoľahlivých hospodárskych kritériách;</w:t>
      </w:r>
    </w:p>
    <w:p w14:paraId="24D12F90" w14:textId="5BD79321" w:rsidR="00302FC1" w:rsidRPr="00AB26B3" w:rsidRDefault="00D64F26">
      <w:pPr>
        <w:pStyle w:val="P68B1DB1-Normal5"/>
        <w:numPr>
          <w:ilvl w:val="0"/>
          <w:numId w:val="78"/>
        </w:numPr>
        <w:tabs>
          <w:tab w:val="left" w:pos="0"/>
        </w:tabs>
        <w:spacing w:before="120" w:after="120" w:line="240" w:lineRule="auto"/>
        <w:jc w:val="both"/>
        <w:rPr>
          <w:rFonts w:cs="Times New Roman"/>
          <w:noProof/>
          <w:spacing w:val="-6"/>
          <w:szCs w:val="24"/>
          <w:lang w:val="sk-SK"/>
        </w:rPr>
      </w:pPr>
      <w:r w:rsidRPr="00AB26B3">
        <w:rPr>
          <w:noProof/>
          <w:spacing w:val="-6"/>
          <w:lang w:val="sk-SK"/>
        </w:rPr>
        <w:t>sú</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piatimi strategickými piliermi stanovenými pre úverový nástroj, konkrétne so zelenou transformáciou, digitalizáciou, extroverziou, úsporami</w:t>
      </w:r>
      <w:r w:rsidR="00AB26B3" w:rsidRPr="00AB26B3">
        <w:rPr>
          <w:noProof/>
          <w:spacing w:val="-6"/>
          <w:lang w:val="sk-SK"/>
        </w:rPr>
        <w:t xml:space="preserve"> z </w:t>
      </w:r>
      <w:r w:rsidRPr="00AB26B3">
        <w:rPr>
          <w:noProof/>
          <w:spacing w:val="-6"/>
          <w:lang w:val="sk-SK"/>
        </w:rPr>
        <w:t>rozsahu prostredníctvom fúzií</w:t>
      </w:r>
      <w:r w:rsidR="00AB26B3" w:rsidRPr="00AB26B3">
        <w:rPr>
          <w:noProof/>
          <w:spacing w:val="-6"/>
          <w:lang w:val="sk-SK"/>
        </w:rPr>
        <w:t xml:space="preserve"> a </w:t>
      </w:r>
      <w:r w:rsidRPr="00AB26B3">
        <w:rPr>
          <w:noProof/>
          <w:spacing w:val="-6"/>
          <w:lang w:val="sk-SK"/>
        </w:rPr>
        <w:t>akvizícií, inováciami;</w:t>
      </w:r>
    </w:p>
    <w:p w14:paraId="592358A0" w14:textId="77777777" w:rsidR="00AB26B3" w:rsidRPr="00AB26B3" w:rsidRDefault="00D64F26">
      <w:pPr>
        <w:pStyle w:val="P68B1DB1-Normal5"/>
        <w:numPr>
          <w:ilvl w:val="0"/>
          <w:numId w:val="78"/>
        </w:numPr>
        <w:tabs>
          <w:tab w:val="left" w:pos="0"/>
        </w:tabs>
        <w:spacing w:before="120" w:after="120" w:line="240" w:lineRule="auto"/>
        <w:jc w:val="both"/>
        <w:rPr>
          <w:noProof/>
          <w:spacing w:val="-6"/>
          <w:lang w:val="sk-SK"/>
        </w:rPr>
      </w:pPr>
      <w:r w:rsidRPr="00AB26B3">
        <w:rPr>
          <w:noProof/>
          <w:spacing w:val="-6"/>
          <w:lang w:val="sk-SK"/>
        </w:rPr>
        <w:t>dodržiavať pravidlá štátnej pomoci</w:t>
      </w:r>
      <w:r w:rsidR="00AB26B3" w:rsidRPr="00AB26B3">
        <w:rPr>
          <w:noProof/>
          <w:spacing w:val="-6"/>
          <w:lang w:val="sk-SK"/>
        </w:rPr>
        <w:t>.</w:t>
      </w:r>
    </w:p>
    <w:p w14:paraId="77F6F395" w14:textId="42FF4D74"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S cieľom zabezpečiť, aby opatrenie bolo</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technickými usmerneniami Do No No Significant Harm Technical Guidance (2021/C58/01), dohody</w:t>
      </w:r>
      <w:r w:rsidR="00AB26B3" w:rsidRPr="00AB26B3">
        <w:rPr>
          <w:noProof/>
          <w:spacing w:val="-6"/>
          <w:lang w:val="sk-SK"/>
        </w:rPr>
        <w:t xml:space="preserve"> v </w:t>
      </w:r>
      <w:r w:rsidRPr="00AB26B3">
        <w:rPr>
          <w:noProof/>
          <w:spacing w:val="-6"/>
          <w:lang w:val="sk-SK"/>
        </w:rPr>
        <w:t>kontexte úverového nástroja:</w:t>
      </w:r>
    </w:p>
    <w:p w14:paraId="57EBA153" w14:textId="1EE4DFA1" w:rsidR="00302FC1" w:rsidRPr="00AB26B3" w:rsidRDefault="00D64F26">
      <w:pPr>
        <w:pStyle w:val="P68B1DB1-Normal5"/>
        <w:numPr>
          <w:ilvl w:val="0"/>
          <w:numId w:val="88"/>
        </w:numPr>
        <w:tabs>
          <w:tab w:val="left" w:pos="0"/>
        </w:tabs>
        <w:spacing w:before="120" w:after="120" w:line="240" w:lineRule="auto"/>
        <w:jc w:val="both"/>
        <w:rPr>
          <w:rFonts w:cs="Times New Roman"/>
          <w:noProof/>
          <w:spacing w:val="-6"/>
          <w:lang w:val="sk-SK"/>
        </w:rPr>
      </w:pPr>
      <w:r w:rsidRPr="00AB26B3">
        <w:rPr>
          <w:noProof/>
          <w:spacing w:val="-6"/>
          <w:lang w:val="sk-SK"/>
        </w:rPr>
        <w:t>požadovať uplatňovanie technických usmernení Komisie týkajúcich sa preverovania udržateľnosti pre Fond InvestEU;</w:t>
      </w:r>
    </w:p>
    <w:p w14:paraId="0598D349" w14:textId="25214710" w:rsidR="00302FC1" w:rsidRPr="00AB26B3" w:rsidRDefault="00D64F26">
      <w:pPr>
        <w:pStyle w:val="P68B1DB1-Normal7"/>
        <w:numPr>
          <w:ilvl w:val="0"/>
          <w:numId w:val="88"/>
        </w:numPr>
        <w:tabs>
          <w:tab w:val="left" w:pos="0"/>
        </w:tabs>
        <w:spacing w:before="120" w:after="120" w:line="240" w:lineRule="auto"/>
        <w:jc w:val="both"/>
        <w:rPr>
          <w:rFonts w:cs="Times New Roman"/>
          <w:noProof/>
          <w:spacing w:val="-6"/>
          <w:lang w:val="sk-SK"/>
        </w:rPr>
      </w:pPr>
      <w:r w:rsidRPr="00AB26B3">
        <w:rPr>
          <w:noProof/>
          <w:spacing w:val="-6"/>
          <w:lang w:val="sk-SK"/>
        </w:rPr>
        <w:t>vylúčiť</w:t>
      </w:r>
      <w:r w:rsidR="00AB26B3" w:rsidRPr="00AB26B3">
        <w:rPr>
          <w:noProof/>
          <w:spacing w:val="-6"/>
          <w:lang w:val="sk-SK"/>
        </w:rPr>
        <w:t xml:space="preserve"> z </w:t>
      </w:r>
      <w:r w:rsidRPr="00AB26B3">
        <w:rPr>
          <w:noProof/>
          <w:spacing w:val="-6"/>
          <w:lang w:val="sk-SK"/>
        </w:rPr>
        <w:t>oprávnenosti tieto činnosti</w:t>
      </w:r>
      <w:r w:rsidR="00AB26B3" w:rsidRPr="00AB26B3">
        <w:rPr>
          <w:noProof/>
          <w:spacing w:val="-6"/>
          <w:lang w:val="sk-SK"/>
        </w:rPr>
        <w:t xml:space="preserve"> a </w:t>
      </w:r>
      <w:r w:rsidRPr="00AB26B3">
        <w:rPr>
          <w:noProof/>
          <w:spacing w:val="-6"/>
          <w:lang w:val="sk-SK"/>
        </w:rPr>
        <w:t>aktíva: I) činnosti</w:t>
      </w:r>
      <w:r w:rsidR="00AB26B3" w:rsidRPr="00AB26B3">
        <w:rPr>
          <w:noProof/>
          <w:spacing w:val="-6"/>
          <w:lang w:val="sk-SK"/>
        </w:rPr>
        <w:t xml:space="preserve"> a </w:t>
      </w:r>
      <w:r w:rsidRPr="00AB26B3">
        <w:rPr>
          <w:noProof/>
          <w:spacing w:val="-6"/>
          <w:lang w:val="sk-SK"/>
        </w:rPr>
        <w:t>aktíva súvisiace</w:t>
      </w:r>
      <w:r w:rsidR="00AB26B3" w:rsidRPr="00AB26B3">
        <w:rPr>
          <w:noProof/>
          <w:spacing w:val="-6"/>
          <w:lang w:val="sk-SK"/>
        </w:rPr>
        <w:t xml:space="preserve"> s </w:t>
      </w:r>
      <w:r w:rsidRPr="00AB26B3">
        <w:rPr>
          <w:noProof/>
          <w:spacing w:val="-6"/>
          <w:lang w:val="sk-SK"/>
        </w:rPr>
        <w:t>fosílnymi palivami vrátane následného použitia</w:t>
      </w:r>
      <w:r w:rsidRPr="00AB26B3">
        <w:rPr>
          <w:noProof/>
          <w:spacing w:val="-6"/>
          <w:lang w:val="sk-SK"/>
        </w:rPr>
        <w:footnoteReference w:id="4"/>
      </w:r>
      <w:r w:rsidRPr="00AB26B3">
        <w:rPr>
          <w:noProof/>
          <w:spacing w:val="-6"/>
          <w:lang w:val="sk-SK"/>
        </w:rPr>
        <w:t>; II) činnosti</w:t>
      </w:r>
      <w:r w:rsidR="00AB26B3" w:rsidRPr="00AB26B3">
        <w:rPr>
          <w:noProof/>
          <w:spacing w:val="-6"/>
          <w:lang w:val="sk-SK"/>
        </w:rPr>
        <w:t xml:space="preserve"> a </w:t>
      </w:r>
      <w:r w:rsidRPr="00AB26B3">
        <w:rPr>
          <w:noProof/>
          <w:spacing w:val="-6"/>
          <w:lang w:val="sk-SK"/>
        </w:rPr>
        <w:t>aktíva</w:t>
      </w:r>
      <w:r w:rsidR="00AB26B3" w:rsidRPr="00AB26B3">
        <w:rPr>
          <w:noProof/>
          <w:spacing w:val="-6"/>
          <w:lang w:val="sk-SK"/>
        </w:rPr>
        <w:t xml:space="preserve"> v </w:t>
      </w:r>
      <w:r w:rsidRPr="00AB26B3">
        <w:rPr>
          <w:noProof/>
          <w:spacing w:val="-6"/>
          <w:lang w:val="sk-SK"/>
        </w:rPr>
        <w:t>rámci systému EÚ na obchodovanie</w:t>
      </w:r>
      <w:r w:rsidR="00AB26B3" w:rsidRPr="00AB26B3">
        <w:rPr>
          <w:noProof/>
          <w:spacing w:val="-6"/>
          <w:lang w:val="sk-SK"/>
        </w:rPr>
        <w:t xml:space="preserve"> s </w:t>
      </w:r>
      <w:r w:rsidRPr="00AB26B3">
        <w:rPr>
          <w:noProof/>
          <w:spacing w:val="-6"/>
          <w:lang w:val="sk-SK"/>
        </w:rPr>
        <w:t>emisiami (ETS), ktorými sa dosahujú predpokladané emisie skleníkových plynov, ktoré nie sú nižšie ako príslušné referenčné hodnoty</w:t>
      </w:r>
      <w:r w:rsidRPr="00AB26B3">
        <w:rPr>
          <w:noProof/>
          <w:spacing w:val="-6"/>
          <w:lang w:val="sk-SK"/>
        </w:rPr>
        <w:footnoteReference w:id="5"/>
      </w:r>
      <w:r w:rsidRPr="00AB26B3">
        <w:rPr>
          <w:noProof/>
          <w:spacing w:val="-6"/>
          <w:lang w:val="sk-SK"/>
        </w:rPr>
        <w:t>; III) činnosti</w:t>
      </w:r>
      <w:r w:rsidR="00AB26B3" w:rsidRPr="00AB26B3">
        <w:rPr>
          <w:noProof/>
          <w:spacing w:val="-6"/>
          <w:lang w:val="sk-SK"/>
        </w:rPr>
        <w:t xml:space="preserve"> a </w:t>
      </w:r>
      <w:r w:rsidRPr="00AB26B3">
        <w:rPr>
          <w:noProof/>
          <w:spacing w:val="-6"/>
          <w:lang w:val="sk-SK"/>
        </w:rPr>
        <w:t>aktíva súvisiace so skládkami odpadu, spaľovňami</w:t>
      </w:r>
      <w:r w:rsidRPr="00AB26B3">
        <w:rPr>
          <w:noProof/>
          <w:spacing w:val="-6"/>
          <w:lang w:val="sk-SK"/>
        </w:rPr>
        <w:footnoteReference w:id="6"/>
      </w:r>
      <w:r w:rsidR="00AB26B3" w:rsidRPr="00AB26B3">
        <w:rPr>
          <w:noProof/>
          <w:spacing w:val="-6"/>
          <w:lang w:val="sk-SK"/>
        </w:rPr>
        <w:t xml:space="preserve"> a </w:t>
      </w:r>
      <w:r w:rsidRPr="00AB26B3">
        <w:rPr>
          <w:noProof/>
          <w:spacing w:val="-6"/>
          <w:lang w:val="sk-SK"/>
        </w:rPr>
        <w:t>mechanickými biologickými čistiarňami</w:t>
      </w:r>
      <w:r w:rsidRPr="00AB26B3">
        <w:rPr>
          <w:noProof/>
          <w:spacing w:val="-6"/>
          <w:lang w:val="sk-SK"/>
        </w:rPr>
        <w:footnoteReference w:id="7"/>
      </w:r>
      <w:r w:rsidRPr="00AB26B3">
        <w:rPr>
          <w:noProof/>
          <w:spacing w:val="-6"/>
          <w:lang w:val="sk-SK"/>
        </w:rPr>
        <w:t>;</w:t>
      </w:r>
      <w:r w:rsidR="00AB26B3" w:rsidRPr="00AB26B3">
        <w:rPr>
          <w:noProof/>
          <w:spacing w:val="-6"/>
          <w:lang w:val="sk-SK"/>
        </w:rPr>
        <w:t xml:space="preserve"> a </w:t>
      </w:r>
      <w:r w:rsidRPr="00AB26B3">
        <w:rPr>
          <w:noProof/>
          <w:spacing w:val="-6"/>
          <w:lang w:val="sk-SK"/>
        </w:rPr>
        <w:t>iv) činnosti</w:t>
      </w:r>
      <w:r w:rsidR="00AB26B3" w:rsidRPr="00AB26B3">
        <w:rPr>
          <w:noProof/>
          <w:spacing w:val="-6"/>
          <w:lang w:val="sk-SK"/>
        </w:rPr>
        <w:t xml:space="preserve"> a </w:t>
      </w:r>
      <w:r w:rsidRPr="00AB26B3">
        <w:rPr>
          <w:noProof/>
          <w:spacing w:val="-6"/>
          <w:lang w:val="sk-SK"/>
        </w:rPr>
        <w:t>aktíva, pri ktorých môže dlhodobé zneškodňovanie odpadu poškodiť životné prostredie; podielu a</w:t>
      </w:r>
    </w:p>
    <w:p w14:paraId="52EE3ABC" w14:textId="602BCD2A" w:rsidR="00302FC1" w:rsidRPr="00AB26B3" w:rsidRDefault="00D64F26">
      <w:pPr>
        <w:pStyle w:val="P68B1DB1-Normal5"/>
        <w:numPr>
          <w:ilvl w:val="0"/>
          <w:numId w:val="88"/>
        </w:numPr>
        <w:tabs>
          <w:tab w:val="left" w:pos="0"/>
        </w:tabs>
        <w:spacing w:before="120" w:after="120" w:line="240" w:lineRule="auto"/>
        <w:jc w:val="both"/>
        <w:rPr>
          <w:rFonts w:cs="Times New Roman"/>
          <w:noProof/>
          <w:spacing w:val="-6"/>
          <w:lang w:val="sk-SK"/>
        </w:rPr>
      </w:pPr>
      <w:r w:rsidRPr="00AB26B3">
        <w:rPr>
          <w:noProof/>
          <w:spacing w:val="-6"/>
          <w:lang w:val="sk-SK"/>
        </w:rPr>
        <w:t>vyžadovať overenie právneho súladu projektov</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w:t>
      </w:r>
      <w:r w:rsidR="00AB26B3" w:rsidRPr="00AB26B3">
        <w:rPr>
          <w:noProof/>
          <w:spacing w:val="-6"/>
          <w:lang w:val="sk-SK"/>
        </w:rPr>
        <w:t xml:space="preserve"> v </w:t>
      </w:r>
      <w:r w:rsidRPr="00AB26B3">
        <w:rPr>
          <w:noProof/>
          <w:spacing w:val="-6"/>
          <w:lang w:val="sk-SK"/>
        </w:rPr>
        <w:t>prípade všetkých transakcií vrátane tých, ktoré sú oslobodené od overovania udržateľnosti.</w:t>
      </w:r>
    </w:p>
    <w:p w14:paraId="2C600B9C" w14:textId="53449965" w:rsidR="00AB26B3" w:rsidRPr="00AB26B3" w:rsidRDefault="00D64F26">
      <w:pPr>
        <w:pStyle w:val="P68B1DB1-Normal5"/>
        <w:spacing w:before="120" w:after="120" w:line="240" w:lineRule="auto"/>
        <w:jc w:val="both"/>
        <w:rPr>
          <w:noProof/>
          <w:spacing w:val="-6"/>
          <w:lang w:val="sk-SK"/>
        </w:rPr>
      </w:pPr>
      <w:r w:rsidRPr="00AB26B3">
        <w:rPr>
          <w:noProof/>
          <w:spacing w:val="-6"/>
          <w:lang w:val="sk-SK"/>
        </w:rPr>
        <w:t>Okrem toho sa</w:t>
      </w:r>
      <w:r w:rsidR="00AB26B3" w:rsidRPr="00AB26B3">
        <w:rPr>
          <w:noProof/>
          <w:spacing w:val="-6"/>
          <w:lang w:val="sk-SK"/>
        </w:rPr>
        <w:t xml:space="preserve"> v </w:t>
      </w:r>
      <w:r w:rsidRPr="00AB26B3">
        <w:rPr>
          <w:noProof/>
          <w:spacing w:val="-6"/>
          <w:lang w:val="sk-SK"/>
        </w:rPr>
        <w:t>rámci úverového nástroja stanoví záväzok pre distribučný kanál finančných inštitúcií investovať aspoň 48,98</w:t>
      </w:r>
      <w:r w:rsidR="00AB26B3" w:rsidRPr="00AB26B3">
        <w:rPr>
          <w:noProof/>
          <w:spacing w:val="-6"/>
          <w:lang w:val="sk-SK"/>
        </w:rPr>
        <w:t> %</w:t>
      </w:r>
      <w:r w:rsidRPr="00AB26B3">
        <w:rPr>
          <w:noProof/>
          <w:spacing w:val="-6"/>
          <w:lang w:val="sk-SK"/>
        </w:rPr>
        <w:t xml:space="preserve"> finančných prostriedkov na podporu klimatickej transformácie</w:t>
      </w:r>
      <w:r w:rsidR="00AB26B3" w:rsidRPr="00AB26B3">
        <w:rPr>
          <w:noProof/>
          <w:spacing w:val="-6"/>
          <w:lang w:val="sk-SK"/>
        </w:rPr>
        <w:t xml:space="preserve"> a </w:t>
      </w:r>
      <w:r w:rsidRPr="00AB26B3">
        <w:rPr>
          <w:noProof/>
          <w:spacing w:val="-6"/>
          <w:lang w:val="sk-SK"/>
        </w:rPr>
        <w:t>24,19</w:t>
      </w:r>
      <w:r w:rsidR="00AB26B3" w:rsidRPr="00AB26B3">
        <w:rPr>
          <w:noProof/>
          <w:spacing w:val="-6"/>
          <w:lang w:val="sk-SK"/>
        </w:rPr>
        <w:t> %</w:t>
      </w:r>
      <w:r w:rsidRPr="00AB26B3">
        <w:rPr>
          <w:noProof/>
          <w:spacing w:val="-6"/>
          <w:lang w:val="sk-SK"/>
        </w:rPr>
        <w:t xml:space="preserve"> finančných prostriedkov na podporu digitálnej transformácie, pričom sa použije metodika uvedená</w:t>
      </w:r>
      <w:r w:rsidR="00AB26B3" w:rsidRPr="00AB26B3">
        <w:rPr>
          <w:noProof/>
          <w:spacing w:val="-6"/>
          <w:lang w:val="sk-SK"/>
        </w:rPr>
        <w:t xml:space="preserve"> v </w:t>
      </w:r>
      <w:r w:rsidRPr="00AB26B3">
        <w:rPr>
          <w:noProof/>
          <w:spacing w:val="-6"/>
          <w:lang w:val="sk-SK"/>
        </w:rPr>
        <w:t>prílohách VI</w:t>
      </w:r>
      <w:r w:rsidR="00AB26B3" w:rsidRPr="00AB26B3">
        <w:rPr>
          <w:noProof/>
          <w:spacing w:val="-6"/>
          <w:lang w:val="sk-SK"/>
        </w:rPr>
        <w:t xml:space="preserve"> a </w:t>
      </w:r>
      <w:r w:rsidRPr="00AB26B3">
        <w:rPr>
          <w:noProof/>
          <w:spacing w:val="-6"/>
          <w:lang w:val="sk-SK"/>
        </w:rPr>
        <w:t>VII</w:t>
      </w:r>
      <w:r w:rsidR="00AB26B3" w:rsidRPr="00AB26B3">
        <w:rPr>
          <w:noProof/>
          <w:spacing w:val="-6"/>
          <w:lang w:val="sk-SK"/>
        </w:rPr>
        <w:t xml:space="preserve"> k </w:t>
      </w:r>
      <w:r w:rsidRPr="00AB26B3">
        <w:rPr>
          <w:noProof/>
          <w:spacing w:val="-6"/>
          <w:lang w:val="sk-SK"/>
        </w:rPr>
        <w:t>nariadeniu</w:t>
      </w:r>
      <w:r w:rsidR="00AB26B3" w:rsidRPr="00AB26B3">
        <w:rPr>
          <w:noProof/>
          <w:spacing w:val="-6"/>
          <w:lang w:val="sk-SK"/>
        </w:rPr>
        <w:t xml:space="preserve"> o </w:t>
      </w:r>
      <w:r w:rsidRPr="00AB26B3">
        <w:rPr>
          <w:noProof/>
          <w:spacing w:val="-6"/>
          <w:lang w:val="sk-SK"/>
        </w:rPr>
        <w:t>Mechanizme na podporu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w:t>
      </w:r>
    </w:p>
    <w:p w14:paraId="55DCEFD0" w14:textId="336A7E43"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Nezávislí audítori overia súlad so zásadou „výrazne nenarušiť“</w:t>
      </w:r>
      <w:r w:rsidR="00AB26B3" w:rsidRPr="00AB26B3">
        <w:rPr>
          <w:noProof/>
          <w:spacing w:val="-6"/>
          <w:lang w:val="sk-SK"/>
        </w:rPr>
        <w:t xml:space="preserve"> a s </w:t>
      </w:r>
      <w:r w:rsidRPr="00AB26B3">
        <w:rPr>
          <w:noProof/>
          <w:spacing w:val="-6"/>
          <w:lang w:val="sk-SK"/>
        </w:rPr>
        <w:t>cieľom 48,98</w:t>
      </w:r>
      <w:r w:rsidR="00AB26B3" w:rsidRPr="00AB26B3">
        <w:rPr>
          <w:noProof/>
          <w:spacing w:val="-6"/>
          <w:lang w:val="sk-SK"/>
        </w:rPr>
        <w:t> % v </w:t>
      </w:r>
      <w:r w:rsidRPr="00AB26B3">
        <w:rPr>
          <w:noProof/>
          <w:spacing w:val="-6"/>
          <w:lang w:val="sk-SK"/>
        </w:rPr>
        <w:t>oblasti klímy</w:t>
      </w:r>
      <w:r w:rsidR="00AB26B3" w:rsidRPr="00AB26B3">
        <w:rPr>
          <w:noProof/>
          <w:spacing w:val="-6"/>
          <w:lang w:val="sk-SK"/>
        </w:rPr>
        <w:t xml:space="preserve"> a s </w:t>
      </w:r>
      <w:r w:rsidRPr="00AB26B3">
        <w:rPr>
          <w:noProof/>
          <w:spacing w:val="-6"/>
          <w:lang w:val="sk-SK"/>
        </w:rPr>
        <w:t>digitálnym cieľom 24,19</w:t>
      </w:r>
      <w:r w:rsidR="00AB26B3" w:rsidRPr="00AB26B3">
        <w:rPr>
          <w:noProof/>
          <w:spacing w:val="-6"/>
          <w:lang w:val="sk-SK"/>
        </w:rPr>
        <w:t> %</w:t>
      </w:r>
      <w:r w:rsidRPr="00AB26B3">
        <w:rPr>
          <w:noProof/>
          <w:spacing w:val="-6"/>
          <w:lang w:val="sk-SK"/>
        </w:rPr>
        <w:t xml:space="preserve"> pred každou žiadosťou</w:t>
      </w:r>
      <w:r w:rsidR="00AB26B3" w:rsidRPr="00AB26B3">
        <w:rPr>
          <w:noProof/>
          <w:spacing w:val="-6"/>
          <w:lang w:val="sk-SK"/>
        </w:rPr>
        <w:t xml:space="preserve"> o </w:t>
      </w:r>
      <w:r w:rsidRPr="00AB26B3">
        <w:rPr>
          <w:noProof/>
          <w:spacing w:val="-6"/>
          <w:lang w:val="sk-SK"/>
        </w:rPr>
        <w:t>vyplatenie.</w:t>
      </w:r>
    </w:p>
    <w:p w14:paraId="7E400D08" w14:textId="77777777" w:rsidR="00AB26B3" w:rsidRPr="00AB26B3" w:rsidRDefault="00D64F26">
      <w:pPr>
        <w:pStyle w:val="P68B1DB1-Normal17"/>
        <w:rPr>
          <w:rFonts w:ascii="Times New Roman" w:hAnsi="Times New Roman" w:cs="Times New Roman"/>
          <w:b/>
          <w:noProof/>
          <w:spacing w:val="-6"/>
          <w:szCs w:val="24"/>
          <w:u w:val="single"/>
          <w:lang w:val="sk-SK"/>
        </w:rPr>
      </w:pPr>
      <w:r w:rsidRPr="00AB26B3">
        <w:rPr>
          <w:rFonts w:ascii="Times New Roman" w:hAnsi="Times New Roman" w:cs="Times New Roman"/>
          <w:b/>
          <w:noProof/>
          <w:spacing w:val="-6"/>
          <w:szCs w:val="24"/>
          <w:lang w:val="sk-SK"/>
        </w:rPr>
        <w:t xml:space="preserve">Investície: </w:t>
      </w:r>
      <w:r w:rsidRPr="00AB26B3">
        <w:rPr>
          <w:rFonts w:ascii="Times New Roman" w:hAnsi="Times New Roman" w:cs="Times New Roman"/>
          <w:noProof/>
          <w:spacing w:val="-6"/>
          <w:szCs w:val="24"/>
          <w:lang w:val="sk-SK"/>
        </w:rPr>
        <w:t>Kapitálová injekcia do Helénskej rozvojovej banky</w:t>
      </w:r>
      <w:r w:rsidRPr="00AB26B3">
        <w:rPr>
          <w:rFonts w:ascii="Times New Roman" w:hAnsi="Times New Roman" w:cs="Times New Roman"/>
          <w:b/>
          <w:noProof/>
          <w:spacing w:val="-6"/>
          <w:szCs w:val="24"/>
          <w:lang w:val="sk-SK"/>
        </w:rPr>
        <w:t xml:space="preserve"> </w:t>
      </w:r>
      <w:r w:rsidRPr="00AB26B3">
        <w:rPr>
          <w:rFonts w:ascii="Times New Roman" w:hAnsi="Times New Roman"/>
          <w:noProof/>
          <w:spacing w:val="-6"/>
          <w:lang w:val="sk-SK"/>
        </w:rPr>
        <w:t>(opatrenie ID 16403)</w:t>
      </w:r>
    </w:p>
    <w:p w14:paraId="4A9B7D36" w14:textId="4A38C08F" w:rsidR="00AB26B3" w:rsidRPr="00AB26B3" w:rsidRDefault="00D64F26">
      <w:pPr>
        <w:pStyle w:val="NormalWeb"/>
        <w:spacing w:line="240" w:lineRule="auto"/>
        <w:jc w:val="both"/>
        <w:rPr>
          <w:noProof/>
          <w:spacing w:val="-6"/>
          <w:lang w:val="sk-SK"/>
        </w:rPr>
      </w:pPr>
      <w:r w:rsidRPr="00AB26B3">
        <w:rPr>
          <w:noProof/>
          <w:spacing w:val="-6"/>
          <w:lang w:val="sk-SK"/>
        </w:rPr>
        <w:t>Cieľom tohto opatrenia je podporiť rastový potenciál gréckeho hospodárstva štrukturálnou úpravou úrovne verejnej podpory dostupnej na riešenie zlyhaní trhu</w:t>
      </w:r>
      <w:r w:rsidR="00AB26B3" w:rsidRPr="00AB26B3">
        <w:rPr>
          <w:noProof/>
          <w:spacing w:val="-6"/>
          <w:lang w:val="sk-SK"/>
        </w:rPr>
        <w:t xml:space="preserve"> a </w:t>
      </w:r>
      <w:r w:rsidRPr="00AB26B3">
        <w:rPr>
          <w:noProof/>
          <w:spacing w:val="-6"/>
          <w:lang w:val="sk-SK"/>
        </w:rPr>
        <w:t>neefektívnosti</w:t>
      </w:r>
      <w:r w:rsidR="00AB26B3" w:rsidRPr="00AB26B3">
        <w:rPr>
          <w:noProof/>
          <w:spacing w:val="-6"/>
          <w:lang w:val="sk-SK"/>
        </w:rPr>
        <w:t xml:space="preserve"> v </w:t>
      </w:r>
      <w:r w:rsidRPr="00AB26B3">
        <w:rPr>
          <w:noProof/>
          <w:spacing w:val="-6"/>
          <w:lang w:val="sk-SK"/>
        </w:rPr>
        <w:t>rámci hospodárstva. Opatrenie pozostáva</w:t>
      </w:r>
      <w:r w:rsidR="00AB26B3" w:rsidRPr="00AB26B3">
        <w:rPr>
          <w:noProof/>
          <w:spacing w:val="-6"/>
          <w:lang w:val="sk-SK"/>
        </w:rPr>
        <w:t xml:space="preserve"> z </w:t>
      </w:r>
      <w:r w:rsidRPr="00AB26B3">
        <w:rPr>
          <w:noProof/>
          <w:spacing w:val="-6"/>
          <w:lang w:val="sk-SK"/>
        </w:rPr>
        <w:t>kapitálovej injekcie vo výške 2 miliárd EUR do Helénskej rozvojovej banky</w:t>
      </w:r>
      <w:r w:rsidR="00AB26B3" w:rsidRPr="00AB26B3">
        <w:rPr>
          <w:noProof/>
          <w:spacing w:val="-6"/>
          <w:lang w:val="sk-SK"/>
        </w:rPr>
        <w:t>.</w:t>
      </w:r>
    </w:p>
    <w:p w14:paraId="66D77102" w14:textId="774844FE" w:rsidR="00302FC1" w:rsidRPr="00AB26B3" w:rsidRDefault="00D64F26">
      <w:pPr>
        <w:spacing w:line="240" w:lineRule="auto"/>
        <w:jc w:val="both"/>
        <w:rPr>
          <w:rFonts w:ascii="Times New Roman" w:hAnsi="Times New Roman" w:cs="Times New Roman"/>
          <w:noProof/>
          <w:spacing w:val="-6"/>
          <w:sz w:val="24"/>
          <w:szCs w:val="24"/>
          <w:lang w:val="sk-SK"/>
        </w:rPr>
      </w:pPr>
      <w:r w:rsidRPr="00AB26B3">
        <w:rPr>
          <w:rFonts w:ascii="Times New Roman" w:hAnsi="Times New Roman" w:cs="Times New Roman"/>
          <w:noProof/>
          <w:spacing w:val="-6"/>
          <w:sz w:val="24"/>
          <w:szCs w:val="24"/>
          <w:lang w:val="sk-SK"/>
        </w:rPr>
        <w:t>Helénska rozvojová banka prijme novú investičnú politiku využívania dodatočného kapitálu. Investičná politika zahŕňa opis finančného produktu (finančných produktov)</w:t>
      </w:r>
      <w:r w:rsidR="00AB26B3" w:rsidRPr="00AB26B3">
        <w:rPr>
          <w:rFonts w:ascii="Times New Roman" w:hAnsi="Times New Roman" w:cs="Times New Roman"/>
          <w:noProof/>
          <w:spacing w:val="-6"/>
          <w:sz w:val="24"/>
          <w:szCs w:val="24"/>
          <w:lang w:val="sk-SK"/>
        </w:rPr>
        <w:t xml:space="preserve"> s </w:t>
      </w:r>
      <w:r w:rsidRPr="00AB26B3">
        <w:rPr>
          <w:rFonts w:ascii="Times New Roman" w:hAnsi="Times New Roman" w:cs="Times New Roman"/>
          <w:noProof/>
          <w:spacing w:val="-6"/>
          <w:sz w:val="24"/>
          <w:szCs w:val="24"/>
          <w:lang w:val="sk-SK"/>
        </w:rPr>
        <w:t>očakávaným typom oprávnených konečných príjemcov, ktorý má dodatočný kapitál pôvodne podporiť, vrátane očakávaného harmonogramu implementácie</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očakávanej sumy každého finančného produktu. Helénska rozvojová banka použije pre dodatočný kapitál rovnaký systém auditu</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kontroly, ktorý Komisia posúdila kladne</w:t>
      </w:r>
      <w:r w:rsidR="00AB26B3" w:rsidRPr="00AB26B3">
        <w:rPr>
          <w:rFonts w:ascii="Times New Roman" w:hAnsi="Times New Roman" w:cs="Times New Roman"/>
          <w:noProof/>
          <w:spacing w:val="-6"/>
          <w:sz w:val="24"/>
          <w:szCs w:val="24"/>
          <w:lang w:val="sk-SK"/>
        </w:rPr>
        <w:t xml:space="preserve"> v </w:t>
      </w:r>
      <w:r w:rsidRPr="00AB26B3">
        <w:rPr>
          <w:rFonts w:ascii="Times New Roman" w:hAnsi="Times New Roman" w:cs="Times New Roman"/>
          <w:noProof/>
          <w:spacing w:val="-6"/>
          <w:sz w:val="24"/>
          <w:szCs w:val="24"/>
          <w:lang w:val="sk-SK"/>
        </w:rPr>
        <w:t>súlade</w:t>
      </w:r>
      <w:r w:rsidR="00AB26B3" w:rsidRPr="00AB26B3">
        <w:rPr>
          <w:rFonts w:ascii="Times New Roman" w:hAnsi="Times New Roman" w:cs="Times New Roman"/>
          <w:noProof/>
          <w:spacing w:val="-6"/>
          <w:sz w:val="24"/>
          <w:szCs w:val="24"/>
          <w:lang w:val="sk-SK"/>
        </w:rPr>
        <w:t xml:space="preserve"> s </w:t>
      </w:r>
      <w:r w:rsidRPr="00AB26B3">
        <w:rPr>
          <w:rFonts w:ascii="Times New Roman" w:hAnsi="Times New Roman" w:cs="Times New Roman"/>
          <w:noProof/>
          <w:spacing w:val="-6"/>
          <w:sz w:val="24"/>
          <w:szCs w:val="24"/>
          <w:lang w:val="sk-SK"/>
        </w:rPr>
        <w:t>článkom 157 nariadenia (EÚ, Euratom) 2024/2509.</w:t>
      </w:r>
      <w:r w:rsidR="00AB26B3" w:rsidRPr="00AB26B3">
        <w:rPr>
          <w:rFonts w:ascii="Times New Roman" w:hAnsi="Times New Roman" w:cs="Times New Roman"/>
          <w:noProof/>
          <w:spacing w:val="-6"/>
          <w:sz w:val="24"/>
          <w:szCs w:val="24"/>
          <w:lang w:val="sk-SK"/>
        </w:rPr>
        <w:t xml:space="preserve"> V </w:t>
      </w:r>
      <w:r w:rsidRPr="00AB26B3">
        <w:rPr>
          <w:rFonts w:ascii="Times New Roman" w:hAnsi="Times New Roman" w:cs="Times New Roman"/>
          <w:noProof/>
          <w:spacing w:val="-6"/>
          <w:sz w:val="24"/>
          <w:szCs w:val="24"/>
          <w:lang w:val="sk-SK"/>
        </w:rPr>
        <w:t>investičnej politike sa vyžaduje, aby finančný produkt, resp. finančné produkty, ktoré dodatočná kapitálová podpora podporuje, boli</w:t>
      </w:r>
      <w:r w:rsidR="00AB26B3" w:rsidRPr="00AB26B3">
        <w:rPr>
          <w:rFonts w:ascii="Times New Roman" w:hAnsi="Times New Roman" w:cs="Times New Roman"/>
          <w:noProof/>
          <w:spacing w:val="-6"/>
          <w:sz w:val="24"/>
          <w:szCs w:val="24"/>
          <w:lang w:val="sk-SK"/>
        </w:rPr>
        <w:t xml:space="preserve"> v </w:t>
      </w:r>
      <w:r w:rsidRPr="00AB26B3">
        <w:rPr>
          <w:rFonts w:ascii="Times New Roman" w:hAnsi="Times New Roman" w:cs="Times New Roman"/>
          <w:noProof/>
          <w:spacing w:val="-6"/>
          <w:sz w:val="24"/>
          <w:szCs w:val="24"/>
          <w:lang w:val="sk-SK"/>
        </w:rPr>
        <w:t>súlade so zásadou „výrazne nenarušiť“ stanovenou</w:t>
      </w:r>
      <w:r w:rsidR="00AB26B3" w:rsidRPr="00AB26B3">
        <w:rPr>
          <w:rFonts w:ascii="Times New Roman" w:hAnsi="Times New Roman" w:cs="Times New Roman"/>
          <w:noProof/>
          <w:spacing w:val="-6"/>
          <w:sz w:val="24"/>
          <w:szCs w:val="24"/>
          <w:lang w:val="sk-SK"/>
        </w:rPr>
        <w:t xml:space="preserve"> v </w:t>
      </w:r>
      <w:r w:rsidRPr="00AB26B3">
        <w:rPr>
          <w:rFonts w:ascii="Times New Roman" w:hAnsi="Times New Roman" w:cs="Times New Roman"/>
          <w:noProof/>
          <w:spacing w:val="-6"/>
          <w:sz w:val="24"/>
          <w:szCs w:val="24"/>
          <w:lang w:val="sk-SK"/>
        </w:rPr>
        <w:t>technickom usmernení týkajúcom sa zásady „výrazne nenarušiť“ (2021/C58/01). Investičná politika vylučuje</w:t>
      </w:r>
      <w:r w:rsidR="00AB26B3" w:rsidRPr="00AB26B3">
        <w:rPr>
          <w:rFonts w:ascii="Times New Roman" w:hAnsi="Times New Roman" w:cs="Times New Roman"/>
          <w:noProof/>
          <w:spacing w:val="-6"/>
          <w:sz w:val="24"/>
          <w:szCs w:val="24"/>
          <w:lang w:val="sk-SK"/>
        </w:rPr>
        <w:t xml:space="preserve"> z </w:t>
      </w:r>
      <w:r w:rsidRPr="00AB26B3">
        <w:rPr>
          <w:rFonts w:ascii="Times New Roman" w:hAnsi="Times New Roman" w:cs="Times New Roman"/>
          <w:noProof/>
          <w:spacing w:val="-6"/>
          <w:sz w:val="24"/>
          <w:szCs w:val="24"/>
          <w:lang w:val="sk-SK"/>
        </w:rPr>
        <w:t>oprávnenosti najmä tento zoznam činností</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aktív: I) činnosti</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aktíva súvisiace</w:t>
      </w:r>
      <w:r w:rsidR="00AB26B3" w:rsidRPr="00AB26B3">
        <w:rPr>
          <w:rFonts w:ascii="Times New Roman" w:hAnsi="Times New Roman" w:cs="Times New Roman"/>
          <w:noProof/>
          <w:spacing w:val="-6"/>
          <w:sz w:val="24"/>
          <w:szCs w:val="24"/>
          <w:lang w:val="sk-SK"/>
        </w:rPr>
        <w:t xml:space="preserve"> s </w:t>
      </w:r>
      <w:r w:rsidRPr="00AB26B3">
        <w:rPr>
          <w:rFonts w:ascii="Times New Roman" w:hAnsi="Times New Roman" w:cs="Times New Roman"/>
          <w:noProof/>
          <w:spacing w:val="-6"/>
          <w:sz w:val="24"/>
          <w:szCs w:val="24"/>
          <w:lang w:val="sk-SK"/>
        </w:rPr>
        <w:t>fosílnymi palivami vrátane následného využívania</w:t>
      </w:r>
      <w:r w:rsidRPr="00AB26B3">
        <w:rPr>
          <w:rFonts w:ascii="Times New Roman" w:hAnsi="Times New Roman" w:cs="Times New Roman"/>
          <w:noProof/>
          <w:spacing w:val="-6"/>
          <w:sz w:val="24"/>
          <w:szCs w:val="24"/>
          <w:lang w:val="sk-SK"/>
        </w:rPr>
        <w:footnoteReference w:id="8"/>
      </w:r>
      <w:r w:rsidRPr="00AB26B3">
        <w:rPr>
          <w:rFonts w:ascii="Times New Roman" w:hAnsi="Times New Roman" w:cs="Times New Roman"/>
          <w:noProof/>
          <w:spacing w:val="-6"/>
          <w:sz w:val="24"/>
          <w:szCs w:val="24"/>
          <w:lang w:val="sk-SK"/>
        </w:rPr>
        <w:t>, ii) činnosti</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aktíva</w:t>
      </w:r>
      <w:r w:rsidR="00AB26B3" w:rsidRPr="00AB26B3">
        <w:rPr>
          <w:rFonts w:ascii="Times New Roman" w:hAnsi="Times New Roman" w:cs="Times New Roman"/>
          <w:noProof/>
          <w:spacing w:val="-6"/>
          <w:sz w:val="24"/>
          <w:szCs w:val="24"/>
          <w:lang w:val="sk-SK"/>
        </w:rPr>
        <w:t xml:space="preserve"> v </w:t>
      </w:r>
      <w:r w:rsidRPr="00AB26B3">
        <w:rPr>
          <w:rFonts w:ascii="Times New Roman" w:hAnsi="Times New Roman" w:cs="Times New Roman"/>
          <w:noProof/>
          <w:spacing w:val="-6"/>
          <w:sz w:val="24"/>
          <w:szCs w:val="24"/>
          <w:lang w:val="sk-SK"/>
        </w:rPr>
        <w:t>rámci systému EÚ na obchodovanie</w:t>
      </w:r>
      <w:r w:rsidR="00AB26B3" w:rsidRPr="00AB26B3">
        <w:rPr>
          <w:rFonts w:ascii="Times New Roman" w:hAnsi="Times New Roman" w:cs="Times New Roman"/>
          <w:noProof/>
          <w:spacing w:val="-6"/>
          <w:sz w:val="24"/>
          <w:szCs w:val="24"/>
          <w:lang w:val="sk-SK"/>
        </w:rPr>
        <w:t xml:space="preserve"> s </w:t>
      </w:r>
      <w:r w:rsidRPr="00AB26B3">
        <w:rPr>
          <w:rFonts w:ascii="Times New Roman" w:hAnsi="Times New Roman" w:cs="Times New Roman"/>
          <w:noProof/>
          <w:spacing w:val="-6"/>
          <w:sz w:val="24"/>
          <w:szCs w:val="24"/>
          <w:lang w:val="sk-SK"/>
        </w:rPr>
        <w:t>emisiami (ETS), ktorými sa dosahujú predpokladané emisie skleníkových plynov, ktoré nie sú nižšie ako príslušné referenčné hodnoty</w:t>
      </w:r>
      <w:r w:rsidRPr="00AB26B3">
        <w:rPr>
          <w:rFonts w:ascii="Times New Roman" w:hAnsi="Times New Roman" w:cs="Times New Roman"/>
          <w:noProof/>
          <w:spacing w:val="-6"/>
          <w:sz w:val="24"/>
          <w:szCs w:val="24"/>
          <w:lang w:val="sk-SK"/>
        </w:rPr>
        <w:footnoteReference w:id="9"/>
      </w:r>
      <w:r w:rsidRPr="00AB26B3">
        <w:rPr>
          <w:rFonts w:ascii="Times New Roman" w:hAnsi="Times New Roman" w:cs="Times New Roman"/>
          <w:noProof/>
          <w:spacing w:val="-6"/>
          <w:sz w:val="24"/>
          <w:szCs w:val="24"/>
          <w:lang w:val="sk-SK"/>
        </w:rPr>
        <w:t>, iii) činnosti</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aktíva súvisiace so skládkami odpadu, spaľovňami</w:t>
      </w:r>
      <w:r w:rsidRPr="00AB26B3">
        <w:rPr>
          <w:rStyle w:val="FootnoteReference"/>
          <w:rFonts w:ascii="Times New Roman" w:hAnsi="Times New Roman" w:cs="Times New Roman"/>
          <w:noProof/>
          <w:spacing w:val="-6"/>
          <w:sz w:val="24"/>
          <w:szCs w:val="24"/>
          <w:lang w:val="sk-SK"/>
        </w:rPr>
        <w:footnoteReference w:id="10"/>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mechanickými biologickými čistiarňami</w:t>
      </w:r>
      <w:r w:rsidRPr="00AB26B3">
        <w:rPr>
          <w:rStyle w:val="FootnoteReference"/>
          <w:rFonts w:ascii="Times New Roman" w:hAnsi="Times New Roman" w:cs="Times New Roman"/>
          <w:noProof/>
          <w:spacing w:val="-6"/>
          <w:sz w:val="24"/>
          <w:szCs w:val="24"/>
          <w:lang w:val="sk-SK"/>
        </w:rPr>
        <w:footnoteReference w:id="11"/>
      </w:r>
      <w:r w:rsidRPr="00AB26B3">
        <w:rPr>
          <w:rFonts w:ascii="Times New Roman" w:hAnsi="Times New Roman" w:cs="Times New Roman"/>
          <w:noProof/>
          <w:spacing w:val="-6"/>
          <w:sz w:val="24"/>
          <w:szCs w:val="24"/>
          <w:lang w:val="sk-SK"/>
        </w:rPr>
        <w:t>. Okrem toho</w:t>
      </w:r>
      <w:r w:rsidR="00AB26B3" w:rsidRPr="00AB26B3">
        <w:rPr>
          <w:rFonts w:ascii="Times New Roman" w:hAnsi="Times New Roman" w:cs="Times New Roman"/>
          <w:noProof/>
          <w:spacing w:val="-6"/>
          <w:sz w:val="24"/>
          <w:szCs w:val="24"/>
          <w:lang w:val="sk-SK"/>
        </w:rPr>
        <w:t xml:space="preserve"> v </w:t>
      </w:r>
      <w:r w:rsidRPr="00AB26B3">
        <w:rPr>
          <w:rFonts w:ascii="Times New Roman" w:hAnsi="Times New Roman" w:cs="Times New Roman"/>
          <w:noProof/>
          <w:spacing w:val="-6"/>
          <w:sz w:val="24"/>
          <w:szCs w:val="24"/>
          <w:lang w:val="sk-SK"/>
        </w:rPr>
        <w:t>prípade všeobecnej podpory podnikov investičná politika vylučuje spoločnosti</w:t>
      </w:r>
      <w:r w:rsidR="00AB26B3" w:rsidRPr="00AB26B3">
        <w:rPr>
          <w:rFonts w:ascii="Times New Roman" w:hAnsi="Times New Roman" w:cs="Times New Roman"/>
          <w:noProof/>
          <w:spacing w:val="-6"/>
          <w:sz w:val="24"/>
          <w:szCs w:val="24"/>
          <w:lang w:val="sk-SK"/>
        </w:rPr>
        <w:t xml:space="preserve"> s </w:t>
      </w:r>
      <w:r w:rsidRPr="00AB26B3">
        <w:rPr>
          <w:rFonts w:ascii="Times New Roman" w:hAnsi="Times New Roman" w:cs="Times New Roman"/>
          <w:noProof/>
          <w:spacing w:val="-6"/>
          <w:sz w:val="24"/>
          <w:szCs w:val="24"/>
          <w:lang w:val="sk-SK"/>
        </w:rPr>
        <w:t>podstatným zameraním</w:t>
      </w:r>
      <w:r w:rsidRPr="00AB26B3">
        <w:rPr>
          <w:rFonts w:ascii="Times New Roman" w:hAnsi="Times New Roman" w:cs="Times New Roman"/>
          <w:noProof/>
          <w:spacing w:val="-6"/>
          <w:sz w:val="24"/>
          <w:szCs w:val="24"/>
          <w:lang w:val="sk-SK"/>
        </w:rPr>
        <w:footnoteReference w:id="12"/>
      </w:r>
      <w:r w:rsidRPr="00AB26B3">
        <w:rPr>
          <w:rFonts w:ascii="Times New Roman" w:hAnsi="Times New Roman" w:cs="Times New Roman"/>
          <w:noProof/>
          <w:spacing w:val="-6"/>
          <w:sz w:val="24"/>
          <w:szCs w:val="24"/>
          <w:lang w:val="sk-SK"/>
        </w:rPr>
        <w:t xml:space="preserve"> na tieto odvetvia: I) výroba energie</w:t>
      </w:r>
      <w:r w:rsidR="00AB26B3" w:rsidRPr="00AB26B3">
        <w:rPr>
          <w:rFonts w:ascii="Times New Roman" w:hAnsi="Times New Roman" w:cs="Times New Roman"/>
          <w:noProof/>
          <w:spacing w:val="-6"/>
          <w:sz w:val="24"/>
          <w:szCs w:val="24"/>
          <w:lang w:val="sk-SK"/>
        </w:rPr>
        <w:t xml:space="preserve"> z </w:t>
      </w:r>
      <w:r w:rsidRPr="00AB26B3">
        <w:rPr>
          <w:rFonts w:ascii="Times New Roman" w:hAnsi="Times New Roman" w:cs="Times New Roman"/>
          <w:noProof/>
          <w:spacing w:val="-6"/>
          <w:sz w:val="24"/>
          <w:szCs w:val="24"/>
          <w:lang w:val="sk-SK"/>
        </w:rPr>
        <w:t>fosílnych palív</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súvisiace činnosti</w:t>
      </w:r>
      <w:r w:rsidRPr="00AB26B3">
        <w:rPr>
          <w:rFonts w:ascii="Times New Roman" w:hAnsi="Times New Roman" w:cs="Times New Roman"/>
          <w:noProof/>
          <w:spacing w:val="-6"/>
          <w:sz w:val="24"/>
          <w:szCs w:val="24"/>
          <w:lang w:val="sk-SK"/>
        </w:rPr>
        <w:footnoteReference w:id="13"/>
      </w:r>
      <w:r w:rsidRPr="00AB26B3">
        <w:rPr>
          <w:rFonts w:ascii="Times New Roman" w:hAnsi="Times New Roman" w:cs="Times New Roman"/>
          <w:noProof/>
          <w:spacing w:val="-6"/>
          <w:sz w:val="24"/>
          <w:szCs w:val="24"/>
          <w:lang w:val="sk-SK"/>
        </w:rPr>
        <w:t>; II) energeticky náročné odvetvia a/alebo odvetvia</w:t>
      </w:r>
      <w:r w:rsidR="00AB26B3" w:rsidRPr="00AB26B3">
        <w:rPr>
          <w:rFonts w:ascii="Times New Roman" w:hAnsi="Times New Roman" w:cs="Times New Roman"/>
          <w:noProof/>
          <w:spacing w:val="-6"/>
          <w:sz w:val="24"/>
          <w:szCs w:val="24"/>
          <w:lang w:val="sk-SK"/>
        </w:rPr>
        <w:t xml:space="preserve"> s </w:t>
      </w:r>
      <w:r w:rsidRPr="00AB26B3">
        <w:rPr>
          <w:rFonts w:ascii="Times New Roman" w:hAnsi="Times New Roman" w:cs="Times New Roman"/>
          <w:noProof/>
          <w:spacing w:val="-6"/>
          <w:sz w:val="24"/>
          <w:szCs w:val="24"/>
          <w:lang w:val="sk-SK"/>
        </w:rPr>
        <w:t>vysokými emisiami CO2</w:t>
      </w:r>
      <w:r w:rsidRPr="00AB26B3">
        <w:rPr>
          <w:rFonts w:ascii="Times New Roman" w:hAnsi="Times New Roman" w:cs="Times New Roman"/>
          <w:noProof/>
          <w:spacing w:val="-6"/>
          <w:sz w:val="24"/>
          <w:szCs w:val="24"/>
          <w:lang w:val="sk-SK"/>
        </w:rPr>
        <w:footnoteReference w:id="14"/>
      </w:r>
      <w:r w:rsidRPr="00AB26B3">
        <w:rPr>
          <w:rFonts w:ascii="Times New Roman" w:hAnsi="Times New Roman" w:cs="Times New Roman"/>
          <w:noProof/>
          <w:spacing w:val="-6"/>
          <w:sz w:val="24"/>
          <w:szCs w:val="24"/>
          <w:lang w:val="sk-SK"/>
        </w:rPr>
        <w:t>; III) výroba, prenájom alebo predaj znečisťujúcich vozidiel</w:t>
      </w:r>
      <w:r w:rsidRPr="00AB26B3">
        <w:rPr>
          <w:rFonts w:ascii="Times New Roman" w:hAnsi="Times New Roman" w:cs="Times New Roman"/>
          <w:noProof/>
          <w:spacing w:val="-6"/>
          <w:sz w:val="24"/>
          <w:szCs w:val="24"/>
          <w:lang w:val="sk-SK"/>
        </w:rPr>
        <w:footnoteReference w:id="15"/>
      </w:r>
      <w:r w:rsidRPr="00AB26B3">
        <w:rPr>
          <w:rFonts w:ascii="Times New Roman" w:hAnsi="Times New Roman" w:cs="Times New Roman"/>
          <w:noProof/>
          <w:spacing w:val="-6"/>
          <w:sz w:val="24"/>
          <w:szCs w:val="24"/>
          <w:lang w:val="sk-SK"/>
        </w:rPr>
        <w:t>; IV) zber odpadu, spracovanie</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likvidácia</w:t>
      </w:r>
      <w:r w:rsidRPr="00AB26B3">
        <w:rPr>
          <w:rFonts w:ascii="Times New Roman" w:hAnsi="Times New Roman" w:cs="Times New Roman"/>
          <w:noProof/>
          <w:spacing w:val="-6"/>
          <w:sz w:val="24"/>
          <w:szCs w:val="24"/>
          <w:lang w:val="sk-SK"/>
        </w:rPr>
        <w:footnoteReference w:id="16"/>
      </w:r>
      <w:r w:rsidRPr="00AB26B3">
        <w:rPr>
          <w:rFonts w:ascii="Times New Roman" w:hAnsi="Times New Roman" w:cs="Times New Roman"/>
          <w:noProof/>
          <w:spacing w:val="-6"/>
          <w:sz w:val="24"/>
          <w:szCs w:val="24"/>
          <w:lang w:val="sk-SK"/>
        </w:rPr>
        <w:t>odpadu, v) spracovanie jadrového paliva, výroba jadrovej energie. Investičná politika si okrem toho vyžaduje súlad konečných príjemcov</w:t>
      </w:r>
      <w:r w:rsidR="00AB26B3" w:rsidRPr="00AB26B3">
        <w:rPr>
          <w:rFonts w:ascii="Times New Roman" w:hAnsi="Times New Roman" w:cs="Times New Roman"/>
          <w:b/>
          <w:noProof/>
          <w:spacing w:val="-6"/>
          <w:sz w:val="24"/>
          <w:szCs w:val="24"/>
          <w:lang w:val="sk-SK"/>
        </w:rPr>
        <w:t xml:space="preserve"> s </w:t>
      </w:r>
      <w:r w:rsidRPr="00AB26B3">
        <w:rPr>
          <w:rFonts w:ascii="Times New Roman" w:hAnsi="Times New Roman" w:cs="Times New Roman"/>
          <w:noProof/>
          <w:spacing w:val="-6"/>
          <w:sz w:val="24"/>
          <w:szCs w:val="24"/>
          <w:lang w:val="sk-SK"/>
        </w:rPr>
        <w:t>príslušnými právnymi predpismi EÚ</w:t>
      </w:r>
      <w:r w:rsidR="00AB26B3" w:rsidRPr="00AB26B3">
        <w:rPr>
          <w:rFonts w:ascii="Times New Roman" w:hAnsi="Times New Roman" w:cs="Times New Roman"/>
          <w:noProof/>
          <w:spacing w:val="-6"/>
          <w:sz w:val="24"/>
          <w:szCs w:val="24"/>
          <w:lang w:val="sk-SK"/>
        </w:rPr>
        <w:t xml:space="preserve"> a </w:t>
      </w:r>
      <w:r w:rsidRPr="00AB26B3">
        <w:rPr>
          <w:rFonts w:ascii="Times New Roman" w:hAnsi="Times New Roman" w:cs="Times New Roman"/>
          <w:noProof/>
          <w:spacing w:val="-6"/>
          <w:sz w:val="24"/>
          <w:szCs w:val="24"/>
          <w:lang w:val="sk-SK"/>
        </w:rPr>
        <w:t>vnútroštátnymi právnymi predpismi</w:t>
      </w:r>
      <w:r w:rsidR="00AB26B3" w:rsidRPr="00AB26B3">
        <w:rPr>
          <w:rFonts w:ascii="Times New Roman" w:hAnsi="Times New Roman" w:cs="Times New Roman"/>
          <w:noProof/>
          <w:spacing w:val="-6"/>
          <w:sz w:val="24"/>
          <w:szCs w:val="24"/>
          <w:lang w:val="sk-SK"/>
        </w:rPr>
        <w:t xml:space="preserve"> v </w:t>
      </w:r>
      <w:r w:rsidRPr="00AB26B3">
        <w:rPr>
          <w:rFonts w:ascii="Times New Roman" w:hAnsi="Times New Roman" w:cs="Times New Roman"/>
          <w:noProof/>
          <w:spacing w:val="-6"/>
          <w:sz w:val="24"/>
          <w:szCs w:val="24"/>
          <w:lang w:val="sk-SK"/>
        </w:rPr>
        <w:t>oblasti životného prostredia.</w:t>
      </w:r>
    </w:p>
    <w:p w14:paraId="72174CAA" w14:textId="197F0DAE" w:rsidR="00302FC1" w:rsidRPr="00AB26B3" w:rsidRDefault="00D64F26">
      <w:pPr>
        <w:pStyle w:val="NormalWeb"/>
        <w:spacing w:before="120" w:after="120" w:line="240" w:lineRule="auto"/>
        <w:jc w:val="both"/>
        <w:rPr>
          <w:noProof/>
          <w:spacing w:val="-6"/>
          <w:lang w:val="sk-SK"/>
        </w:rPr>
      </w:pPr>
      <w:r w:rsidRPr="00AB26B3">
        <w:rPr>
          <w:noProof/>
          <w:spacing w:val="-6"/>
          <w:lang w:val="sk-SK"/>
        </w:rPr>
        <w:t>Uspokojivé splnenie míľnikov</w:t>
      </w:r>
      <w:r w:rsidR="00AB26B3" w:rsidRPr="00AB26B3">
        <w:rPr>
          <w:noProof/>
          <w:spacing w:val="-6"/>
          <w:lang w:val="sk-SK"/>
        </w:rPr>
        <w:t xml:space="preserve"> v </w:t>
      </w:r>
      <w:r w:rsidRPr="00AB26B3">
        <w:rPr>
          <w:noProof/>
          <w:spacing w:val="-6"/>
          <w:lang w:val="sk-SK"/>
        </w:rPr>
        <w:t>rámci tohto opatrenia je podmienené uspokojivým splnením míľnika 384 reformy 16405 – Posúdenie pilierov Helénskej rozvojovej banky.</w:t>
      </w:r>
    </w:p>
    <w:p w14:paraId="02E50807" w14:textId="77777777" w:rsidR="00302FC1" w:rsidRPr="00AB26B3" w:rsidRDefault="00D64F26">
      <w:pPr>
        <w:pStyle w:val="P68B1DB1-Normal17"/>
        <w:rPr>
          <w:rFonts w:ascii="Times New Roman" w:hAnsi="Times New Roman" w:cs="Times New Roman"/>
          <w:b/>
          <w:bCs/>
          <w:noProof/>
          <w:spacing w:val="-6"/>
          <w:szCs w:val="24"/>
          <w:u w:val="single"/>
          <w:lang w:val="sk-SK"/>
        </w:rPr>
      </w:pPr>
      <w:r w:rsidRPr="00AB26B3">
        <w:rPr>
          <w:rFonts w:ascii="Times New Roman" w:hAnsi="Times New Roman" w:cs="Times New Roman"/>
          <w:b/>
          <w:noProof/>
          <w:spacing w:val="-6"/>
          <w:szCs w:val="24"/>
          <w:lang w:val="sk-SK"/>
        </w:rPr>
        <w:t xml:space="preserve">Reforma: </w:t>
      </w:r>
      <w:r w:rsidRPr="00AB26B3">
        <w:rPr>
          <w:rFonts w:ascii="Times New Roman" w:hAnsi="Times New Roman" w:cs="Times New Roman"/>
          <w:noProof/>
          <w:spacing w:val="-6"/>
          <w:szCs w:val="24"/>
          <w:lang w:val="sk-SK"/>
        </w:rPr>
        <w:t>Posúdenie pilierov Helénskej rozvojovej banky</w:t>
      </w:r>
      <w:r w:rsidRPr="00AB26B3">
        <w:rPr>
          <w:rFonts w:ascii="Times New Roman" w:hAnsi="Times New Roman" w:cs="Times New Roman"/>
          <w:b/>
          <w:noProof/>
          <w:spacing w:val="-6"/>
          <w:szCs w:val="24"/>
          <w:lang w:val="sk-SK"/>
        </w:rPr>
        <w:t xml:space="preserve"> </w:t>
      </w:r>
      <w:r w:rsidRPr="00AB26B3">
        <w:rPr>
          <w:rFonts w:ascii="Times New Roman" w:hAnsi="Times New Roman"/>
          <w:noProof/>
          <w:spacing w:val="-6"/>
          <w:lang w:val="sk-SK"/>
        </w:rPr>
        <w:t>(opatrenie ID 16405)</w:t>
      </w:r>
    </w:p>
    <w:p w14:paraId="2771A82C" w14:textId="418A8B9D" w:rsidR="00302FC1" w:rsidRPr="00AB26B3" w:rsidRDefault="00D64F26">
      <w:pPr>
        <w:pStyle w:val="NormalWeb"/>
        <w:jc w:val="both"/>
        <w:rPr>
          <w:noProof/>
          <w:spacing w:val="-6"/>
          <w:lang w:val="sk-SK"/>
        </w:rPr>
      </w:pPr>
      <w:r w:rsidRPr="00AB26B3">
        <w:rPr>
          <w:noProof/>
          <w:spacing w:val="-6"/>
          <w:lang w:val="sk-SK"/>
        </w:rPr>
        <w:t>Cieľom tohto opatrenia je zabezpečiť, aby Helénska rozvojová banka zaviedla vhodné opatrenia na využívanie finančných prostriedkov EÚ. Toto opatrenie spočíva</w:t>
      </w:r>
      <w:r w:rsidR="00AB26B3" w:rsidRPr="00AB26B3">
        <w:rPr>
          <w:noProof/>
          <w:spacing w:val="-6"/>
          <w:lang w:val="sk-SK"/>
        </w:rPr>
        <w:t xml:space="preserve"> v </w:t>
      </w:r>
      <w:r w:rsidRPr="00AB26B3">
        <w:rPr>
          <w:noProof/>
          <w:spacing w:val="-6"/>
          <w:lang w:val="sk-SK"/>
        </w:rPr>
        <w:t>posúdení piliera Helénskej rozvojovej banky.</w:t>
      </w:r>
    </w:p>
    <w:p w14:paraId="28D38467" w14:textId="77777777" w:rsidR="00302FC1" w:rsidRPr="00AB26B3" w:rsidRDefault="00302FC1">
      <w:pPr>
        <w:spacing w:before="120" w:after="120" w:line="240" w:lineRule="auto"/>
        <w:jc w:val="both"/>
        <w:rPr>
          <w:rFonts w:ascii="Times New Roman" w:hAnsi="Times New Roman" w:cs="Times New Roman"/>
          <w:i/>
          <w:noProof/>
          <w:spacing w:val="-6"/>
          <w:sz w:val="24"/>
          <w:u w:val="single"/>
          <w:lang w:val="sk-SK"/>
        </w:rPr>
      </w:pPr>
    </w:p>
    <w:p w14:paraId="558B28F3" w14:textId="77777777" w:rsidR="00302FC1" w:rsidRPr="00AB26B3" w:rsidRDefault="00302FC1">
      <w:pPr>
        <w:spacing w:after="160" w:line="259" w:lineRule="auto"/>
        <w:ind w:left="709"/>
        <w:contextualSpacing/>
        <w:jc w:val="both"/>
        <w:rPr>
          <w:rFonts w:ascii="Times New Roman" w:hAnsi="Times New Roman"/>
          <w:noProof/>
          <w:spacing w:val="-6"/>
          <w:lang w:val="sk-SK"/>
        </w:rPr>
      </w:pPr>
    </w:p>
    <w:p w14:paraId="56AEE1B2" w14:textId="77777777" w:rsidR="00302FC1" w:rsidRPr="00AB26B3" w:rsidRDefault="00302FC1">
      <w:pPr>
        <w:spacing w:after="160" w:line="259" w:lineRule="auto"/>
        <w:ind w:left="709"/>
        <w:contextualSpacing/>
        <w:jc w:val="both"/>
        <w:rPr>
          <w:rFonts w:ascii="Times New Roman" w:hAnsi="Times New Roman"/>
          <w:noProof/>
          <w:spacing w:val="-6"/>
          <w:lang w:val="sk-SK"/>
        </w:rPr>
        <w:sectPr w:rsidR="00302FC1" w:rsidRPr="00AB26B3" w:rsidSect="00315FC0">
          <w:headerReference w:type="even" r:id="rId324"/>
          <w:headerReference w:type="default" r:id="rId325"/>
          <w:footerReference w:type="even" r:id="rId326"/>
          <w:footerReference w:type="default" r:id="rId327"/>
          <w:headerReference w:type="first" r:id="rId328"/>
          <w:footerReference w:type="first" r:id="rId329"/>
          <w:pgSz w:w="11907" w:h="16839"/>
          <w:pgMar w:top="1134" w:right="1417" w:bottom="1134" w:left="1417" w:header="709" w:footer="326" w:gutter="0"/>
          <w:cols w:space="720"/>
          <w:docGrid w:linePitch="360"/>
        </w:sectPr>
      </w:pPr>
    </w:p>
    <w:p w14:paraId="13FAB451" w14:textId="77777777" w:rsidR="00AB26B3" w:rsidRPr="00AB26B3" w:rsidRDefault="00D64F26">
      <w:pPr>
        <w:pStyle w:val="P68B1DB1-Normal6"/>
        <w:spacing w:before="120" w:after="120" w:line="240" w:lineRule="auto"/>
        <w:jc w:val="both"/>
        <w:rPr>
          <w:noProof/>
          <w:spacing w:val="-6"/>
          <w:lang w:val="sk-SK"/>
        </w:rPr>
      </w:pPr>
      <w:r w:rsidRPr="00AB26B3">
        <w:rPr>
          <w:noProof/>
          <w:spacing w:val="-6"/>
          <w:lang w:val="sk-SK"/>
        </w:rPr>
        <w:t>R.4.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w:t>
      </w:r>
      <w:r w:rsidR="00AB26B3" w:rsidRPr="00AB26B3">
        <w:rPr>
          <w:noProof/>
          <w:spacing w:val="-6"/>
          <w:lang w:val="sk-SK"/>
        </w:rPr>
        <w:t xml:space="preserve"> v </w:t>
      </w:r>
      <w:r w:rsidRPr="00AB26B3">
        <w:rPr>
          <w:noProof/>
          <w:spacing w:val="-6"/>
          <w:lang w:val="sk-SK"/>
        </w:rPr>
        <w:t>súvislosti</w:t>
      </w:r>
      <w:r w:rsidR="00AB26B3" w:rsidRPr="00AB26B3">
        <w:rPr>
          <w:noProof/>
          <w:spacing w:val="-6"/>
          <w:lang w:val="sk-SK"/>
        </w:rPr>
        <w:t xml:space="preserve"> s </w:t>
      </w:r>
      <w:r w:rsidRPr="00AB26B3">
        <w:rPr>
          <w:noProof/>
          <w:spacing w:val="-6"/>
          <w:lang w:val="sk-SK"/>
        </w:rPr>
        <w:t>úverom</w:t>
      </w:r>
    </w:p>
    <w:p w14:paraId="615E16F0" w14:textId="1DDF20D1" w:rsidR="00302FC1" w:rsidRPr="00AB26B3" w:rsidRDefault="00D64F26">
      <w:pPr>
        <w:pStyle w:val="P68B1DB1-Normal9"/>
        <w:keepNext/>
        <w:keepLines/>
        <w:spacing w:before="40" w:after="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Úverový nástroj (16980)</w:t>
      </w:r>
    </w:p>
    <w:tbl>
      <w:tblPr>
        <w:tblW w:w="15883" w:type="dxa"/>
        <w:jc w:val="center"/>
        <w:tblLayout w:type="fixed"/>
        <w:tblLook w:val="04A0" w:firstRow="1" w:lastRow="0" w:firstColumn="1" w:lastColumn="0" w:noHBand="0" w:noVBand="1"/>
      </w:tblPr>
      <w:tblGrid>
        <w:gridCol w:w="602"/>
        <w:gridCol w:w="1673"/>
        <w:gridCol w:w="1200"/>
        <w:gridCol w:w="1340"/>
        <w:gridCol w:w="1660"/>
        <w:gridCol w:w="1080"/>
        <w:gridCol w:w="1080"/>
        <w:gridCol w:w="840"/>
        <w:gridCol w:w="960"/>
        <w:gridCol w:w="840"/>
        <w:gridCol w:w="4608"/>
      </w:tblGrid>
      <w:tr w:rsidR="00302FC1" w:rsidRPr="00AB26B3" w14:paraId="6859C915" w14:textId="77777777">
        <w:trPr>
          <w:trHeight w:val="810"/>
          <w:tblHeader/>
          <w:jc w:val="center"/>
        </w:trPr>
        <w:tc>
          <w:tcPr>
            <w:tcW w:w="60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A2E295"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A nasl. Nie.</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0DB4F77"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Súvisiace opatrenie (reforma alebo investícia)</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88439E8"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Míľnik/cieľ</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AE6388"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Názov</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42D219D" w14:textId="671E584A"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Kvalitatívne ukazovatele (pre míľniky)</w:t>
            </w:r>
          </w:p>
        </w:tc>
        <w:tc>
          <w:tcPr>
            <w:tcW w:w="300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26F4944" w14:textId="6E76BAA5"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Kvantitatívne ukazovatele (pre ciele)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325AAF9D"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Orientačný harmonogram dokončenia</w:t>
            </w:r>
          </w:p>
        </w:tc>
        <w:tc>
          <w:tcPr>
            <w:tcW w:w="46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C0FE1E4" w14:textId="7CE72CF9"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64129FF" w14:textId="77777777">
        <w:trPr>
          <w:trHeight w:val="581"/>
          <w:tblHeader/>
          <w:jc w:val="center"/>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578421FD"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0318CE51"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9AFA003"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119A81D7"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F73CB0D"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c>
          <w:tcPr>
            <w:tcW w:w="108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841A988"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Merná jednotka</w:t>
            </w:r>
          </w:p>
        </w:tc>
        <w:tc>
          <w:tcPr>
            <w:tcW w:w="108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A11B155"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Základná</w:t>
            </w:r>
          </w:p>
        </w:tc>
        <w:tc>
          <w:tcPr>
            <w:tcW w:w="84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3CCC513"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Cieľ</w:t>
            </w:r>
          </w:p>
        </w:tc>
        <w:tc>
          <w:tcPr>
            <w:tcW w:w="9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1B13069"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Štvrtina</w:t>
            </w:r>
          </w:p>
        </w:tc>
        <w:tc>
          <w:tcPr>
            <w:tcW w:w="84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59B0310"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Rok</w:t>
            </w:r>
          </w:p>
        </w:tc>
        <w:tc>
          <w:tcPr>
            <w:tcW w:w="4608" w:type="dxa"/>
            <w:vMerge/>
            <w:tcBorders>
              <w:top w:val="single" w:sz="4" w:space="0" w:color="auto"/>
              <w:bottom w:val="single" w:sz="4" w:space="0" w:color="auto"/>
              <w:right w:val="single" w:sz="4" w:space="0" w:color="auto"/>
            </w:tcBorders>
            <w:vAlign w:val="center"/>
            <w:hideMark/>
          </w:tcPr>
          <w:p w14:paraId="76D14B42" w14:textId="77777777" w:rsidR="00302FC1" w:rsidRPr="00AB26B3" w:rsidRDefault="00302FC1">
            <w:pPr>
              <w:spacing w:after="0" w:line="240" w:lineRule="auto"/>
              <w:rPr>
                <w:rFonts w:ascii="Times New Roman" w:eastAsia="Times New Roman" w:hAnsi="Times New Roman" w:cs="Times New Roman"/>
                <w:b/>
                <w:noProof/>
                <w:spacing w:val="-6"/>
                <w:sz w:val="18"/>
                <w:szCs w:val="18"/>
                <w:lang w:val="sk-SK"/>
              </w:rPr>
            </w:pPr>
          </w:p>
        </w:tc>
      </w:tr>
      <w:tr w:rsidR="00302FC1" w:rsidRPr="00AB26B3" w14:paraId="20D1E229"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1CF501C4" w14:textId="77777777" w:rsidR="00302FC1" w:rsidRPr="00AB26B3" w:rsidRDefault="00D64F26">
            <w:pPr>
              <w:pStyle w:val="P68B1DB1-Normal12"/>
              <w:spacing w:after="0" w:line="240" w:lineRule="auto"/>
              <w:rPr>
                <w:rFonts w:eastAsia="Times New Roman"/>
                <w:noProof/>
                <w:spacing w:val="-6"/>
                <w:lang w:val="sk-SK"/>
              </w:rPr>
            </w:pPr>
            <w:bookmarkStart w:id="6" w:name="_Hlk214356057"/>
            <w:r w:rsidRPr="00AB26B3">
              <w:rPr>
                <w:noProof/>
                <w:spacing w:val="-6"/>
                <w:lang w:val="sk-SK"/>
              </w:rPr>
              <w:t>320</w:t>
            </w:r>
          </w:p>
        </w:tc>
        <w:tc>
          <w:tcPr>
            <w:tcW w:w="1673" w:type="dxa"/>
            <w:tcBorders>
              <w:top w:val="single" w:sz="4" w:space="0" w:color="auto"/>
              <w:left w:val="nil"/>
              <w:bottom w:val="single" w:sz="4" w:space="0" w:color="auto"/>
              <w:right w:val="single" w:sz="4" w:space="0" w:color="auto"/>
            </w:tcBorders>
            <w:shd w:val="clear" w:color="auto" w:fill="C6EFCE"/>
            <w:noWrap/>
          </w:tcPr>
          <w:p w14:paraId="7E5185C7" w14:textId="063175A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188631B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40" w:type="dxa"/>
            <w:tcBorders>
              <w:top w:val="single" w:sz="4" w:space="0" w:color="auto"/>
              <w:left w:val="nil"/>
              <w:bottom w:val="single" w:sz="4" w:space="0" w:color="auto"/>
              <w:right w:val="single" w:sz="4" w:space="0" w:color="auto"/>
            </w:tcBorders>
            <w:shd w:val="clear" w:color="auto" w:fill="C6EFCE"/>
            <w:noWrap/>
          </w:tcPr>
          <w:p w14:paraId="6F2EB84F" w14:textId="3E97862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Operačné dohody</w:t>
            </w:r>
            <w:r w:rsidR="00AB26B3" w:rsidRPr="00AB26B3">
              <w:rPr>
                <w:noProof/>
                <w:spacing w:val="-6"/>
                <w:lang w:val="sk-SK"/>
              </w:rPr>
              <w:t xml:space="preserve"> s </w:t>
            </w:r>
            <w:r w:rsidRPr="00AB26B3">
              <w:rPr>
                <w:noProof/>
                <w:spacing w:val="-6"/>
                <w:lang w:val="sk-SK"/>
              </w:rPr>
              <w:t>medzinárodnými finančnými inštitúciami</w:t>
            </w:r>
          </w:p>
        </w:tc>
        <w:tc>
          <w:tcPr>
            <w:tcW w:w="1660" w:type="dxa"/>
            <w:tcBorders>
              <w:top w:val="single" w:sz="4" w:space="0" w:color="auto"/>
              <w:left w:val="nil"/>
              <w:bottom w:val="single" w:sz="4" w:space="0" w:color="auto"/>
              <w:right w:val="single" w:sz="4" w:space="0" w:color="auto"/>
            </w:tcBorders>
            <w:shd w:val="clear" w:color="auto" w:fill="C6EFCE"/>
            <w:noWrap/>
          </w:tcPr>
          <w:p w14:paraId="6E61A5AF" w14:textId="133839D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Podpísaná operačná dohoda</w:t>
            </w:r>
            <w:r w:rsidR="00AB26B3" w:rsidRPr="00AB26B3">
              <w:rPr>
                <w:noProof/>
                <w:spacing w:val="-6"/>
                <w:lang w:val="sk-SK"/>
              </w:rPr>
              <w:t xml:space="preserve"> s </w:t>
            </w:r>
            <w:r w:rsidRPr="00AB26B3">
              <w:rPr>
                <w:noProof/>
                <w:spacing w:val="-6"/>
                <w:lang w:val="sk-SK"/>
              </w:rPr>
              <w:t>jednou medzinárodnou finančnou inštitúciou</w:t>
            </w:r>
          </w:p>
        </w:tc>
        <w:tc>
          <w:tcPr>
            <w:tcW w:w="1080" w:type="dxa"/>
            <w:tcBorders>
              <w:top w:val="single" w:sz="4" w:space="0" w:color="auto"/>
              <w:left w:val="nil"/>
              <w:bottom w:val="single" w:sz="4" w:space="0" w:color="auto"/>
              <w:right w:val="single" w:sz="4" w:space="0" w:color="auto"/>
            </w:tcBorders>
            <w:shd w:val="clear" w:color="auto" w:fill="C6EFCE"/>
            <w:noWrap/>
          </w:tcPr>
          <w:p w14:paraId="331E157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242B8AC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0" w:type="dxa"/>
            <w:tcBorders>
              <w:top w:val="single" w:sz="4" w:space="0" w:color="auto"/>
              <w:left w:val="nil"/>
              <w:bottom w:val="single" w:sz="4" w:space="0" w:color="auto"/>
              <w:right w:val="single" w:sz="4" w:space="0" w:color="auto"/>
            </w:tcBorders>
            <w:shd w:val="clear" w:color="auto" w:fill="C6EFCE"/>
            <w:noWrap/>
          </w:tcPr>
          <w:p w14:paraId="3577750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single" w:sz="4" w:space="0" w:color="auto"/>
              <w:left w:val="nil"/>
              <w:bottom w:val="single" w:sz="4" w:space="0" w:color="auto"/>
              <w:right w:val="single" w:sz="4" w:space="0" w:color="auto"/>
            </w:tcBorders>
            <w:shd w:val="clear" w:color="auto" w:fill="C6EFCE"/>
            <w:noWrap/>
          </w:tcPr>
          <w:p w14:paraId="42D1F9C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840" w:type="dxa"/>
            <w:tcBorders>
              <w:top w:val="single" w:sz="4" w:space="0" w:color="auto"/>
              <w:left w:val="nil"/>
              <w:bottom w:val="single" w:sz="4" w:space="0" w:color="auto"/>
              <w:right w:val="single" w:sz="4" w:space="0" w:color="auto"/>
            </w:tcBorders>
            <w:shd w:val="clear" w:color="auto" w:fill="C6EFCE"/>
            <w:noWrap/>
          </w:tcPr>
          <w:p w14:paraId="0C68AF9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608" w:type="dxa"/>
            <w:tcBorders>
              <w:top w:val="single" w:sz="4" w:space="0" w:color="auto"/>
              <w:left w:val="nil"/>
              <w:bottom w:val="single" w:sz="4" w:space="0" w:color="auto"/>
              <w:right w:val="single" w:sz="4" w:space="0" w:color="auto"/>
            </w:tcBorders>
            <w:shd w:val="clear" w:color="auto" w:fill="C6EFCE"/>
            <w:noWrap/>
          </w:tcPr>
          <w:p w14:paraId="2724512D" w14:textId="76115D3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Prijať rámcovú operačnú dohodu, ktorá sa má používať pri všetkých dohodách</w:t>
            </w:r>
            <w:r w:rsidR="00AB26B3" w:rsidRPr="00AB26B3">
              <w:rPr>
                <w:noProof/>
                <w:spacing w:val="-6"/>
                <w:lang w:val="sk-SK"/>
              </w:rPr>
              <w:t xml:space="preserve"> o </w:t>
            </w:r>
            <w:r w:rsidRPr="00AB26B3">
              <w:rPr>
                <w:noProof/>
                <w:spacing w:val="-6"/>
                <w:lang w:val="sk-SK"/>
              </w:rPr>
              <w:t>úvere</w:t>
            </w:r>
            <w:r w:rsidR="00AB26B3" w:rsidRPr="00AB26B3">
              <w:rPr>
                <w:noProof/>
                <w:spacing w:val="-6"/>
                <w:lang w:val="sk-SK"/>
              </w:rPr>
              <w:t xml:space="preserve"> s </w:t>
            </w:r>
            <w:r w:rsidRPr="00AB26B3">
              <w:rPr>
                <w:noProof/>
                <w:spacing w:val="-6"/>
                <w:lang w:val="sk-SK"/>
              </w:rPr>
              <w:t>medzinárodnými finančnými inštitúciami,</w:t>
            </w:r>
            <w:r w:rsidR="00AB26B3" w:rsidRPr="00AB26B3">
              <w:rPr>
                <w:noProof/>
                <w:spacing w:val="-6"/>
                <w:lang w:val="sk-SK"/>
              </w:rPr>
              <w:t xml:space="preserve"> a </w:t>
            </w:r>
            <w:r w:rsidRPr="00AB26B3">
              <w:rPr>
                <w:noProof/>
                <w:spacing w:val="-6"/>
                <w:lang w:val="sk-SK"/>
              </w:rPr>
              <w:t>podpísať operačné dohody medzi ministerstvom financií</w:t>
            </w:r>
            <w:r w:rsidR="00AB26B3" w:rsidRPr="00AB26B3">
              <w:rPr>
                <w:noProof/>
                <w:spacing w:val="-6"/>
                <w:lang w:val="sk-SK"/>
              </w:rPr>
              <w:t xml:space="preserve"> a </w:t>
            </w:r>
            <w:r w:rsidRPr="00AB26B3">
              <w:rPr>
                <w:noProof/>
                <w:spacing w:val="-6"/>
                <w:lang w:val="sk-SK"/>
              </w:rPr>
              <w:t>aspoň jednou medzinárodnou finančnou inštitúciou.</w:t>
            </w:r>
            <w:r w:rsidR="00AB26B3" w:rsidRPr="00AB26B3">
              <w:rPr>
                <w:noProof/>
                <w:spacing w:val="-6"/>
                <w:lang w:val="sk-SK"/>
              </w:rPr>
              <w:t xml:space="preserve"> V </w:t>
            </w:r>
            <w:r w:rsidRPr="00AB26B3">
              <w:rPr>
                <w:noProof/>
                <w:spacing w:val="-6"/>
                <w:lang w:val="sk-SK"/>
              </w:rPr>
              <w:t>rámcovej prevádzkovej dohode sa stanovia:</w:t>
            </w:r>
          </w:p>
          <w:p w14:paraId="5A991EC6" w14:textId="5D2C5965" w:rsidR="00AB26B3" w:rsidRPr="00AB26B3" w:rsidRDefault="00D64F26">
            <w:pPr>
              <w:pStyle w:val="P68B1DB1-Normal12"/>
              <w:spacing w:after="0" w:line="240" w:lineRule="auto"/>
              <w:rPr>
                <w:noProof/>
                <w:spacing w:val="-6"/>
                <w:lang w:val="sk-SK"/>
              </w:rPr>
            </w:pPr>
            <w:r w:rsidRPr="00AB26B3">
              <w:rPr>
                <w:noProof/>
                <w:spacing w:val="-6"/>
                <w:lang w:val="sk-SK"/>
              </w:rPr>
              <w:t>a) Kritériá riadenia, výberu, monitorovania</w:t>
            </w:r>
            <w:r w:rsidR="00AB26B3" w:rsidRPr="00AB26B3">
              <w:rPr>
                <w:noProof/>
                <w:spacing w:val="-6"/>
                <w:lang w:val="sk-SK"/>
              </w:rPr>
              <w:t xml:space="preserve"> a </w:t>
            </w:r>
            <w:r w:rsidRPr="00AB26B3">
              <w:rPr>
                <w:noProof/>
                <w:spacing w:val="-6"/>
                <w:lang w:val="sk-SK"/>
              </w:rPr>
              <w:t>auditu</w:t>
            </w:r>
            <w:r w:rsidR="00AB26B3" w:rsidRPr="00AB26B3">
              <w:rPr>
                <w:noProof/>
                <w:spacing w:val="-6"/>
                <w:lang w:val="sk-SK"/>
              </w:rPr>
              <w:t xml:space="preserve"> a </w:t>
            </w:r>
            <w:r w:rsidRPr="00AB26B3">
              <w:rPr>
                <w:noProof/>
                <w:spacing w:val="-6"/>
                <w:lang w:val="sk-SK"/>
              </w:rPr>
              <w:t>rozdelenia strát</w:t>
            </w:r>
            <w:r w:rsidR="00AB26B3" w:rsidRPr="00AB26B3">
              <w:rPr>
                <w:noProof/>
                <w:spacing w:val="-6"/>
                <w:lang w:val="sk-SK"/>
              </w:rPr>
              <w:t>:</w:t>
            </w:r>
          </w:p>
          <w:p w14:paraId="52CE02B9" w14:textId="137DC271" w:rsidR="00302FC1" w:rsidRPr="00AB26B3" w:rsidRDefault="00D64F26">
            <w:pPr>
              <w:pStyle w:val="P68B1DB1-Normal12"/>
              <w:numPr>
                <w:ilvl w:val="0"/>
                <w:numId w:val="79"/>
              </w:numPr>
              <w:tabs>
                <w:tab w:val="left" w:pos="0"/>
              </w:tabs>
              <w:spacing w:after="0" w:line="240" w:lineRule="auto"/>
              <w:jc w:val="both"/>
              <w:rPr>
                <w:rFonts w:eastAsia="Times New Roman"/>
                <w:noProof/>
                <w:spacing w:val="-6"/>
                <w:lang w:val="sk-SK"/>
              </w:rPr>
            </w:pPr>
            <w:r w:rsidRPr="00AB26B3">
              <w:rPr>
                <w:noProof/>
                <w:spacing w:val="-6"/>
                <w:lang w:val="sk-SK"/>
              </w:rPr>
              <w:t>Rámec riadenia:</w:t>
            </w:r>
          </w:p>
          <w:p w14:paraId="444B51EB" w14:textId="6968727F" w:rsidR="00302FC1" w:rsidRPr="00AB26B3" w:rsidRDefault="00D64F26">
            <w:pPr>
              <w:pStyle w:val="P68B1DB1-Normal12"/>
              <w:numPr>
                <w:ilvl w:val="1"/>
                <w:numId w:val="79"/>
              </w:numPr>
              <w:tabs>
                <w:tab w:val="left" w:pos="0"/>
              </w:tabs>
              <w:spacing w:after="0" w:line="240" w:lineRule="auto"/>
              <w:jc w:val="both"/>
              <w:rPr>
                <w:rFonts w:eastAsia="Times New Roman"/>
                <w:noProof/>
                <w:spacing w:val="-6"/>
                <w:lang w:val="sk-SK"/>
              </w:rPr>
            </w:pPr>
            <w:r w:rsidRPr="00AB26B3">
              <w:rPr>
                <w:noProof/>
                <w:spacing w:val="-6"/>
                <w:lang w:val="sk-SK"/>
              </w:rPr>
              <w:t>Rozhodovanie sa zakladá na spoľahlivých hospodárskych kritériách</w:t>
            </w:r>
            <w:r w:rsidR="00AB26B3" w:rsidRPr="00AB26B3">
              <w:rPr>
                <w:noProof/>
                <w:spacing w:val="-6"/>
                <w:lang w:val="sk-SK"/>
              </w:rPr>
              <w:t xml:space="preserve"> a </w:t>
            </w:r>
            <w:r w:rsidRPr="00AB26B3">
              <w:rPr>
                <w:noProof/>
                <w:spacing w:val="-6"/>
                <w:lang w:val="sk-SK"/>
              </w:rPr>
              <w:t>je nezávislé od vlády.</w:t>
            </w:r>
          </w:p>
          <w:p w14:paraId="18926EA1" w14:textId="40BEC116" w:rsidR="00302FC1" w:rsidRPr="00AB26B3" w:rsidRDefault="00D64F26">
            <w:pPr>
              <w:pStyle w:val="P68B1DB1-Normal12"/>
              <w:numPr>
                <w:ilvl w:val="1"/>
                <w:numId w:val="79"/>
              </w:numPr>
              <w:tabs>
                <w:tab w:val="left" w:pos="0"/>
              </w:tabs>
              <w:spacing w:after="0" w:line="240" w:lineRule="auto"/>
              <w:jc w:val="both"/>
              <w:rPr>
                <w:rFonts w:eastAsia="Times New Roman"/>
                <w:noProof/>
                <w:spacing w:val="-6"/>
                <w:lang w:val="sk-SK"/>
              </w:rPr>
            </w:pPr>
            <w:r w:rsidRPr="00AB26B3">
              <w:rPr>
                <w:noProof/>
                <w:spacing w:val="-6"/>
                <w:lang w:val="sk-SK"/>
              </w:rPr>
              <w:t>MFI vyhodnotí žiadosti</w:t>
            </w:r>
            <w:r w:rsidR="00AB26B3" w:rsidRPr="00AB26B3">
              <w:rPr>
                <w:noProof/>
                <w:spacing w:val="-6"/>
                <w:lang w:val="sk-SK"/>
              </w:rPr>
              <w:t xml:space="preserve"> o </w:t>
            </w:r>
            <w:r w:rsidRPr="00AB26B3">
              <w:rPr>
                <w:noProof/>
                <w:spacing w:val="-6"/>
                <w:lang w:val="sk-SK"/>
              </w:rPr>
              <w:t>financovanie</w:t>
            </w:r>
            <w:r w:rsidR="00AB26B3" w:rsidRPr="00AB26B3">
              <w:rPr>
                <w:noProof/>
                <w:spacing w:val="-6"/>
                <w:lang w:val="sk-SK"/>
              </w:rPr>
              <w:t xml:space="preserve"> a </w:t>
            </w:r>
            <w:r w:rsidRPr="00AB26B3">
              <w:rPr>
                <w:noProof/>
                <w:spacing w:val="-6"/>
                <w:lang w:val="sk-SK"/>
              </w:rPr>
              <w:t>rozhodne na základe svojich interných kritérií. MFI zabezpečí, aby financované investície mali kladné čisté súčasné hodnoty, boli</w:t>
            </w:r>
            <w:r w:rsidR="00AB26B3" w:rsidRPr="00AB26B3">
              <w:rPr>
                <w:noProof/>
                <w:spacing w:val="-6"/>
                <w:lang w:val="sk-SK"/>
              </w:rPr>
              <w:t xml:space="preserve"> v </w:t>
            </w:r>
            <w:r w:rsidRPr="00AB26B3">
              <w:rPr>
                <w:noProof/>
                <w:spacing w:val="-6"/>
                <w:lang w:val="sk-SK"/>
              </w:rPr>
              <w:t>súlade so strategickými piliermi úverového nástroja</w:t>
            </w:r>
            <w:r w:rsidR="00AB26B3" w:rsidRPr="00AB26B3">
              <w:rPr>
                <w:noProof/>
                <w:spacing w:val="-6"/>
                <w:lang w:val="sk-SK"/>
              </w:rPr>
              <w:t xml:space="preserve"> a </w:t>
            </w:r>
            <w:r w:rsidRPr="00AB26B3">
              <w:rPr>
                <w:noProof/>
                <w:spacing w:val="-6"/>
                <w:lang w:val="sk-SK"/>
              </w:rPr>
              <w:t>boli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pravidlami štátnej pomoci.</w:t>
            </w:r>
          </w:p>
          <w:p w14:paraId="65831070" w14:textId="5823566E" w:rsidR="00AB26B3" w:rsidRPr="00AB26B3" w:rsidRDefault="00D64F26">
            <w:pPr>
              <w:pStyle w:val="P68B1DB1-Normal12"/>
              <w:numPr>
                <w:ilvl w:val="1"/>
                <w:numId w:val="79"/>
              </w:numPr>
              <w:tabs>
                <w:tab w:val="left" w:pos="0"/>
              </w:tabs>
              <w:spacing w:after="0" w:line="240" w:lineRule="auto"/>
              <w:jc w:val="both"/>
              <w:rPr>
                <w:noProof/>
                <w:spacing w:val="-6"/>
                <w:lang w:val="sk-SK"/>
              </w:rPr>
            </w:pPr>
            <w:r w:rsidRPr="00AB26B3">
              <w:rPr>
                <w:noProof/>
                <w:spacing w:val="-6"/>
                <w:lang w:val="sk-SK"/>
              </w:rPr>
              <w:t>Osobitný výbor investičnej rady monitoruje vykonávanie bez toho, aby bol zapojený do výberového procesu. Medzinárodná finančná inštitúcia</w:t>
            </w:r>
            <w:r w:rsidR="00AB26B3" w:rsidRPr="00AB26B3">
              <w:rPr>
                <w:noProof/>
                <w:spacing w:val="-6"/>
                <w:lang w:val="sk-SK"/>
              </w:rPr>
              <w:t xml:space="preserve"> v </w:t>
            </w:r>
            <w:r w:rsidRPr="00AB26B3">
              <w:rPr>
                <w:noProof/>
                <w:spacing w:val="-6"/>
                <w:lang w:val="sk-SK"/>
              </w:rPr>
              <w:t>pravidelných intervaloch podáva správy Výboru investičnej rady</w:t>
            </w:r>
            <w:r w:rsidR="00AB26B3" w:rsidRPr="00AB26B3">
              <w:rPr>
                <w:noProof/>
                <w:spacing w:val="-6"/>
                <w:lang w:val="sk-SK"/>
              </w:rPr>
              <w:t>.</w:t>
            </w:r>
          </w:p>
          <w:p w14:paraId="671B7A03" w14:textId="6D66A1DF" w:rsidR="00302FC1" w:rsidRPr="00AB26B3" w:rsidRDefault="00D64F26">
            <w:pPr>
              <w:pStyle w:val="P68B1DB1-Normal12"/>
              <w:numPr>
                <w:ilvl w:val="0"/>
                <w:numId w:val="79"/>
              </w:numPr>
              <w:tabs>
                <w:tab w:val="left" w:pos="0"/>
              </w:tabs>
              <w:spacing w:after="0" w:line="240" w:lineRule="auto"/>
              <w:jc w:val="both"/>
              <w:rPr>
                <w:rFonts w:eastAsia="Times New Roman"/>
                <w:noProof/>
                <w:spacing w:val="-6"/>
                <w:lang w:val="sk-SK"/>
              </w:rPr>
            </w:pPr>
            <w:r w:rsidRPr="00AB26B3">
              <w:rPr>
                <w:noProof/>
                <w:spacing w:val="-6"/>
                <w:lang w:val="sk-SK"/>
              </w:rPr>
              <w:t>Výška vyplatených prostriedkov, ktoré sa vyplatia</w:t>
            </w:r>
            <w:r w:rsidR="00AB26B3" w:rsidRPr="00AB26B3">
              <w:rPr>
                <w:noProof/>
                <w:spacing w:val="-6"/>
                <w:lang w:val="sk-SK"/>
              </w:rPr>
              <w:t xml:space="preserve"> v </w:t>
            </w:r>
            <w:r w:rsidRPr="00AB26B3">
              <w:rPr>
                <w:noProof/>
                <w:spacing w:val="-6"/>
                <w:lang w:val="sk-SK"/>
              </w:rPr>
              <w:t>tranžiach,</w:t>
            </w:r>
            <w:r w:rsidR="00AB26B3" w:rsidRPr="00AB26B3">
              <w:rPr>
                <w:noProof/>
                <w:spacing w:val="-6"/>
                <w:lang w:val="sk-SK"/>
              </w:rPr>
              <w:t xml:space="preserve"> a </w:t>
            </w:r>
            <w:r w:rsidRPr="00AB26B3">
              <w:rPr>
                <w:noProof/>
                <w:spacing w:val="-6"/>
                <w:lang w:val="sk-SK"/>
              </w:rPr>
              <w:t>spôsoby monitorovania</w:t>
            </w:r>
            <w:r w:rsidR="00AB26B3" w:rsidRPr="00AB26B3">
              <w:rPr>
                <w:noProof/>
                <w:spacing w:val="-6"/>
                <w:lang w:val="sk-SK"/>
              </w:rPr>
              <w:t xml:space="preserve"> a </w:t>
            </w:r>
            <w:r w:rsidRPr="00AB26B3">
              <w:rPr>
                <w:noProof/>
                <w:spacing w:val="-6"/>
                <w:lang w:val="sk-SK"/>
              </w:rPr>
              <w:t>auditu:</w:t>
            </w:r>
          </w:p>
          <w:p w14:paraId="2424B87B" w14:textId="77777777" w:rsidR="00302FC1" w:rsidRPr="00AB26B3" w:rsidRDefault="00D64F26">
            <w:pPr>
              <w:pStyle w:val="P68B1DB1-Normal12"/>
              <w:numPr>
                <w:ilvl w:val="1"/>
                <w:numId w:val="79"/>
              </w:numPr>
              <w:tabs>
                <w:tab w:val="left" w:pos="0"/>
              </w:tabs>
              <w:spacing w:after="0" w:line="240" w:lineRule="auto"/>
              <w:jc w:val="both"/>
              <w:rPr>
                <w:rFonts w:eastAsia="Times New Roman"/>
                <w:noProof/>
                <w:spacing w:val="-6"/>
                <w:lang w:val="sk-SK"/>
              </w:rPr>
            </w:pPr>
            <w:r w:rsidRPr="00AB26B3">
              <w:rPr>
                <w:noProof/>
                <w:spacing w:val="-6"/>
                <w:lang w:val="sk-SK"/>
              </w:rPr>
              <w:t>Na monitorovanie vyplatených úverov sa stanovia kľúčové ukazovatele výkonnosti (KPI), ktoré môžu slúžiť aj ako referenčné hodnoty pre podmienené uvoľnenie ďalších tranží.</w:t>
            </w:r>
          </w:p>
          <w:p w14:paraId="433AE49C" w14:textId="38FDFC95" w:rsidR="00AB26B3" w:rsidRPr="00AB26B3" w:rsidRDefault="00D64F26">
            <w:pPr>
              <w:pStyle w:val="P68B1DB1-Normal12"/>
              <w:numPr>
                <w:ilvl w:val="1"/>
                <w:numId w:val="79"/>
              </w:numPr>
              <w:tabs>
                <w:tab w:val="left" w:pos="0"/>
              </w:tabs>
              <w:spacing w:after="0" w:line="240" w:lineRule="auto"/>
              <w:jc w:val="both"/>
              <w:rPr>
                <w:noProof/>
                <w:spacing w:val="-6"/>
                <w:lang w:val="sk-SK"/>
              </w:rPr>
            </w:pPr>
            <w:r w:rsidRPr="00AB26B3">
              <w:rPr>
                <w:noProof/>
                <w:spacing w:val="-6"/>
                <w:lang w:val="sk-SK"/>
              </w:rPr>
              <w:t>Predpokladajú sa tri úrovne kontrol oprávnenosti: I) posúdenie finančnou inštitúciou poskytujúcou financovanie; II) posúdenie nezávislým certifikovaným audítorom pred poskytnutím financovania;</w:t>
            </w:r>
            <w:r w:rsidR="00AB26B3" w:rsidRPr="00AB26B3">
              <w:rPr>
                <w:noProof/>
                <w:spacing w:val="-6"/>
                <w:lang w:val="sk-SK"/>
              </w:rPr>
              <w:t xml:space="preserve"> a </w:t>
            </w:r>
            <w:r w:rsidRPr="00AB26B3">
              <w:rPr>
                <w:noProof/>
                <w:spacing w:val="-6"/>
                <w:lang w:val="sk-SK"/>
              </w:rPr>
              <w:t>iii) následné posúdenie nezávislým certifikovaným audítorom.</w:t>
            </w:r>
            <w:r w:rsidRPr="00AB26B3">
              <w:rPr>
                <w:noProof/>
                <w:spacing w:val="-6"/>
                <w:highlight w:val="yellow"/>
                <w:lang w:val="sk-SK"/>
              </w:rPr>
              <w:t xml:space="preserve"> </w:t>
            </w:r>
            <w:r w:rsidRPr="00AB26B3">
              <w:rPr>
                <w:noProof/>
                <w:spacing w:val="-6"/>
                <w:lang w:val="sk-SK"/>
              </w:rPr>
              <w:t>Nezávislí audítori posudzujú oprávnenosť investícií podľa výberových kritérií</w:t>
            </w:r>
            <w:r w:rsidR="00AB26B3" w:rsidRPr="00AB26B3">
              <w:rPr>
                <w:noProof/>
                <w:spacing w:val="-6"/>
                <w:lang w:val="sk-SK"/>
              </w:rPr>
              <w:t xml:space="preserve"> a </w:t>
            </w:r>
            <w:r w:rsidRPr="00AB26B3">
              <w:rPr>
                <w:noProof/>
                <w:spacing w:val="-6"/>
                <w:lang w:val="sk-SK"/>
              </w:rPr>
              <w:t>súlad</w:t>
            </w:r>
            <w:r w:rsidR="00AB26B3" w:rsidRPr="00AB26B3">
              <w:rPr>
                <w:noProof/>
                <w:spacing w:val="-6"/>
                <w:lang w:val="sk-SK"/>
              </w:rPr>
              <w:t xml:space="preserve"> s </w:t>
            </w:r>
            <w:r w:rsidRPr="00AB26B3">
              <w:rPr>
                <w:noProof/>
                <w:spacing w:val="-6"/>
                <w:lang w:val="sk-SK"/>
              </w:rPr>
              <w:t>príslušnými pravidlami štátnej pomoci</w:t>
            </w:r>
            <w:r w:rsidR="00AB26B3" w:rsidRPr="00AB26B3">
              <w:rPr>
                <w:noProof/>
                <w:spacing w:val="-6"/>
                <w:lang w:val="sk-SK"/>
              </w:rPr>
              <w:t>.</w:t>
            </w:r>
          </w:p>
          <w:p w14:paraId="37318C5E" w14:textId="758017E0" w:rsidR="00AB26B3" w:rsidRPr="00AB26B3" w:rsidRDefault="00D64F26">
            <w:pPr>
              <w:pStyle w:val="P68B1DB1-Normal12"/>
              <w:numPr>
                <w:ilvl w:val="0"/>
                <w:numId w:val="79"/>
              </w:numPr>
              <w:tabs>
                <w:tab w:val="left" w:pos="0"/>
              </w:tabs>
              <w:spacing w:after="0" w:line="240" w:lineRule="auto"/>
              <w:jc w:val="both"/>
              <w:rPr>
                <w:noProof/>
                <w:spacing w:val="-6"/>
                <w:lang w:val="sk-SK"/>
              </w:rPr>
            </w:pPr>
            <w:r w:rsidRPr="00AB26B3">
              <w:rPr>
                <w:noProof/>
                <w:spacing w:val="-6"/>
                <w:lang w:val="sk-SK"/>
              </w:rPr>
              <w:t>Straty</w:t>
            </w:r>
            <w:r w:rsidR="00AB26B3" w:rsidRPr="00AB26B3">
              <w:rPr>
                <w:noProof/>
                <w:spacing w:val="-6"/>
                <w:lang w:val="sk-SK"/>
              </w:rPr>
              <w:t xml:space="preserve"> z </w:t>
            </w:r>
            <w:r w:rsidRPr="00AB26B3">
              <w:rPr>
                <w:noProof/>
                <w:spacing w:val="-6"/>
                <w:lang w:val="sk-SK"/>
              </w:rPr>
              <w:t>úverov (dlhopisov alebo syndikovaných): Štát</w:t>
            </w:r>
            <w:r w:rsidR="00AB26B3" w:rsidRPr="00AB26B3">
              <w:rPr>
                <w:noProof/>
                <w:spacing w:val="-6"/>
                <w:lang w:val="sk-SK"/>
              </w:rPr>
              <w:t xml:space="preserve"> a </w:t>
            </w:r>
            <w:r w:rsidRPr="00AB26B3">
              <w:rPr>
                <w:noProof/>
                <w:spacing w:val="-6"/>
                <w:lang w:val="sk-SK"/>
              </w:rPr>
              <w:t>MFI sa zúčastňujú pari passu. Všetky rozhodnutia týkajúce sa reštrukturalizácie sa pridelia finančným inštitúciám</w:t>
            </w:r>
            <w:r w:rsidR="00AB26B3" w:rsidRPr="00AB26B3">
              <w:rPr>
                <w:noProof/>
                <w:spacing w:val="-6"/>
                <w:lang w:val="sk-SK"/>
              </w:rPr>
              <w:t>.</w:t>
            </w:r>
          </w:p>
          <w:p w14:paraId="4F3A574B" w14:textId="77777777" w:rsidR="00AB26B3" w:rsidRPr="00AB26B3" w:rsidRDefault="00D64F26">
            <w:pPr>
              <w:pStyle w:val="P68B1DB1-Normal12"/>
              <w:numPr>
                <w:ilvl w:val="0"/>
                <w:numId w:val="79"/>
              </w:numPr>
              <w:tabs>
                <w:tab w:val="left" w:pos="0"/>
              </w:tabs>
              <w:spacing w:after="0" w:line="240" w:lineRule="auto"/>
              <w:jc w:val="both"/>
              <w:rPr>
                <w:noProof/>
                <w:spacing w:val="-6"/>
                <w:lang w:val="sk-SK"/>
              </w:rPr>
            </w:pPr>
            <w:r w:rsidRPr="00AB26B3">
              <w:rPr>
                <w:noProof/>
                <w:spacing w:val="-6"/>
                <w:lang w:val="sk-SK"/>
              </w:rPr>
              <w:t>Refinancovanie nesplatených úverov je vylúčené</w:t>
            </w:r>
            <w:r w:rsidR="00AB26B3" w:rsidRPr="00AB26B3">
              <w:rPr>
                <w:noProof/>
                <w:spacing w:val="-6"/>
                <w:lang w:val="sk-SK"/>
              </w:rPr>
              <w:t>.</w:t>
            </w:r>
          </w:p>
          <w:p w14:paraId="572AB1D4" w14:textId="018C4613" w:rsidR="00302FC1" w:rsidRPr="00AB26B3" w:rsidRDefault="00D64F26">
            <w:pPr>
              <w:pStyle w:val="P68B1DB1-Normal12"/>
              <w:tabs>
                <w:tab w:val="left" w:pos="0"/>
              </w:tabs>
              <w:spacing w:after="0" w:line="240" w:lineRule="auto"/>
              <w:jc w:val="both"/>
              <w:rPr>
                <w:rFonts w:eastAsia="Times New Roman"/>
                <w:noProof/>
                <w:spacing w:val="-6"/>
                <w:lang w:val="sk-SK"/>
              </w:rPr>
            </w:pPr>
            <w:r w:rsidRPr="00AB26B3">
              <w:rPr>
                <w:noProof/>
                <w:spacing w:val="-6"/>
                <w:lang w:val="sk-SK"/>
              </w:rPr>
              <w:t>b) Výberové kritériá súladu podporovaných činností</w:t>
            </w:r>
            <w:r w:rsidR="00AB26B3" w:rsidRPr="00AB26B3">
              <w:rPr>
                <w:noProof/>
                <w:spacing w:val="-6"/>
                <w:lang w:val="sk-SK"/>
              </w:rPr>
              <w:t xml:space="preserve"> s </w:t>
            </w:r>
            <w:r w:rsidRPr="00AB26B3">
              <w:rPr>
                <w:noProof/>
                <w:spacing w:val="-6"/>
                <w:lang w:val="sk-SK"/>
              </w:rPr>
              <w:t>technickými usmerneniami Do No No Significant Harm Technical Guidance (2021/C58/01),</w:t>
            </w:r>
            <w:r w:rsidR="00AB26B3" w:rsidRPr="00AB26B3">
              <w:rPr>
                <w:noProof/>
                <w:spacing w:val="-6"/>
                <w:lang w:val="sk-SK"/>
              </w:rPr>
              <w:t xml:space="preserve"> v </w:t>
            </w:r>
            <w:r w:rsidRPr="00AB26B3">
              <w:rPr>
                <w:noProof/>
                <w:spacing w:val="-6"/>
                <w:lang w:val="sk-SK"/>
              </w:rPr>
              <w:t>ktorých sa vyžaduje používanie overovania udržateľnosti, zoznamu vylúčených subjektov</w:t>
            </w:r>
            <w:r w:rsidR="00AB26B3" w:rsidRPr="00AB26B3">
              <w:rPr>
                <w:noProof/>
                <w:spacing w:val="-6"/>
                <w:lang w:val="sk-SK"/>
              </w:rPr>
              <w:t xml:space="preserve"> a </w:t>
            </w:r>
            <w:r w:rsidRPr="00AB26B3">
              <w:rPr>
                <w:noProof/>
                <w:spacing w:val="-6"/>
                <w:lang w:val="sk-SK"/>
              </w:rPr>
              <w:t>povinných kontrol dodržiavania právnych predpisov</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 nezávislým audítorom.</w:t>
            </w:r>
          </w:p>
          <w:p w14:paraId="1BF4FE70" w14:textId="6FC8926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 Záväzok investovať aspoň 38,5</w:t>
            </w:r>
            <w:r w:rsidR="00AB26B3" w:rsidRPr="00AB26B3">
              <w:rPr>
                <w:noProof/>
                <w:spacing w:val="-6"/>
                <w:lang w:val="sk-SK"/>
              </w:rPr>
              <w:t> %</w:t>
            </w:r>
            <w:r w:rsidRPr="00AB26B3">
              <w:rPr>
                <w:noProof/>
                <w:spacing w:val="-6"/>
                <w:lang w:val="sk-SK"/>
              </w:rPr>
              <w:t xml:space="preserve"> finančných prostriedkov na podporu klimatickej transformácie</w:t>
            </w:r>
            <w:r w:rsidR="00AB26B3" w:rsidRPr="00AB26B3">
              <w:rPr>
                <w:noProof/>
                <w:spacing w:val="-6"/>
                <w:lang w:val="sk-SK"/>
              </w:rPr>
              <w:t xml:space="preserve"> a </w:t>
            </w:r>
            <w:r w:rsidRPr="00AB26B3">
              <w:rPr>
                <w:noProof/>
                <w:spacing w:val="-6"/>
                <w:lang w:val="sk-SK"/>
              </w:rPr>
              <w:t>20,8</w:t>
            </w:r>
            <w:r w:rsidR="00AB26B3" w:rsidRPr="00AB26B3">
              <w:rPr>
                <w:noProof/>
                <w:spacing w:val="-6"/>
                <w:lang w:val="sk-SK"/>
              </w:rPr>
              <w:t> %</w:t>
            </w:r>
            <w:r w:rsidRPr="00AB26B3">
              <w:rPr>
                <w:noProof/>
                <w:spacing w:val="-6"/>
                <w:lang w:val="sk-SK"/>
              </w:rPr>
              <w:t xml:space="preserve"> finančných prostriedkov na podporu digitálnej transformácie pomocou metodiky uvedenej</w:t>
            </w:r>
            <w:r w:rsidR="00AB26B3" w:rsidRPr="00AB26B3">
              <w:rPr>
                <w:noProof/>
                <w:spacing w:val="-6"/>
                <w:lang w:val="sk-SK"/>
              </w:rPr>
              <w:t xml:space="preserve"> v </w:t>
            </w:r>
            <w:r w:rsidRPr="00AB26B3">
              <w:rPr>
                <w:noProof/>
                <w:spacing w:val="-6"/>
                <w:lang w:val="sk-SK"/>
              </w:rPr>
              <w:t>prílohách VI</w:t>
            </w:r>
            <w:r w:rsidR="00AB26B3" w:rsidRPr="00AB26B3">
              <w:rPr>
                <w:noProof/>
                <w:spacing w:val="-6"/>
                <w:lang w:val="sk-SK"/>
              </w:rPr>
              <w:t xml:space="preserve"> a </w:t>
            </w:r>
            <w:r w:rsidRPr="00AB26B3">
              <w:rPr>
                <w:noProof/>
                <w:spacing w:val="-6"/>
                <w:lang w:val="sk-SK"/>
              </w:rPr>
              <w:t>VII</w:t>
            </w:r>
            <w:r w:rsidR="00AB26B3" w:rsidRPr="00AB26B3">
              <w:rPr>
                <w:noProof/>
                <w:spacing w:val="-6"/>
                <w:lang w:val="sk-SK"/>
              </w:rPr>
              <w:t xml:space="preserve"> k </w:t>
            </w:r>
            <w:r w:rsidRPr="00AB26B3">
              <w:rPr>
                <w:noProof/>
                <w:spacing w:val="-6"/>
                <w:lang w:val="sk-SK"/>
              </w:rPr>
              <w:t>nariadeniu</w:t>
            </w:r>
            <w:r w:rsidR="00AB26B3" w:rsidRPr="00AB26B3">
              <w:rPr>
                <w:noProof/>
                <w:spacing w:val="-6"/>
                <w:lang w:val="sk-SK"/>
              </w:rPr>
              <w:t xml:space="preserve"> o </w:t>
            </w:r>
            <w:r w:rsidRPr="00AB26B3">
              <w:rPr>
                <w:noProof/>
                <w:spacing w:val="-6"/>
                <w:lang w:val="sk-SK"/>
              </w:rPr>
              <w:t>Mechanizme na podporu obnovy</w:t>
            </w:r>
            <w:r w:rsidR="00AB26B3" w:rsidRPr="00AB26B3">
              <w:rPr>
                <w:noProof/>
                <w:spacing w:val="-6"/>
                <w:lang w:val="sk-SK"/>
              </w:rPr>
              <w:t xml:space="preserve"> a </w:t>
            </w:r>
            <w:r w:rsidRPr="00AB26B3">
              <w:rPr>
                <w:noProof/>
                <w:spacing w:val="-6"/>
                <w:lang w:val="sk-SK"/>
              </w:rPr>
              <w:t>odolnosti.</w:t>
            </w:r>
          </w:p>
        </w:tc>
      </w:tr>
      <w:bookmarkEnd w:id="6"/>
      <w:tr w:rsidR="00302FC1" w:rsidRPr="00AB26B3" w14:paraId="2DDFD87B" w14:textId="77777777">
        <w:trPr>
          <w:trHeight w:val="314"/>
          <w:jc w:val="center"/>
        </w:trPr>
        <w:tc>
          <w:tcPr>
            <w:tcW w:w="602" w:type="dxa"/>
            <w:tcBorders>
              <w:top w:val="nil"/>
              <w:left w:val="single" w:sz="4" w:space="0" w:color="auto"/>
              <w:bottom w:val="single" w:sz="4" w:space="0" w:color="auto"/>
              <w:right w:val="single" w:sz="4" w:space="0" w:color="auto"/>
            </w:tcBorders>
            <w:shd w:val="clear" w:color="auto" w:fill="C6EFCE"/>
            <w:noWrap/>
          </w:tcPr>
          <w:p w14:paraId="2EDDFFB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321</w:t>
            </w:r>
          </w:p>
        </w:tc>
        <w:tc>
          <w:tcPr>
            <w:tcW w:w="1673" w:type="dxa"/>
            <w:tcBorders>
              <w:top w:val="nil"/>
              <w:left w:val="nil"/>
              <w:bottom w:val="single" w:sz="4" w:space="0" w:color="auto"/>
              <w:right w:val="single" w:sz="4" w:space="0" w:color="auto"/>
            </w:tcBorders>
            <w:shd w:val="clear" w:color="auto" w:fill="C6EFCE"/>
            <w:noWrap/>
          </w:tcPr>
          <w:p w14:paraId="15A7A12B" w14:textId="2888106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nil"/>
              <w:left w:val="nil"/>
              <w:bottom w:val="single" w:sz="4" w:space="0" w:color="auto"/>
              <w:right w:val="single" w:sz="4" w:space="0" w:color="auto"/>
            </w:tcBorders>
            <w:shd w:val="clear" w:color="auto" w:fill="C6EFCE"/>
            <w:noWrap/>
          </w:tcPr>
          <w:p w14:paraId="5ADE9D0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40" w:type="dxa"/>
            <w:tcBorders>
              <w:top w:val="nil"/>
              <w:left w:val="nil"/>
              <w:bottom w:val="single" w:sz="4" w:space="0" w:color="auto"/>
              <w:right w:val="single" w:sz="4" w:space="0" w:color="auto"/>
            </w:tcBorders>
            <w:shd w:val="clear" w:color="auto" w:fill="C6EFCE"/>
            <w:noWrap/>
          </w:tcPr>
          <w:p w14:paraId="2939F38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výzvy komerčných bánk</w:t>
            </w:r>
          </w:p>
        </w:tc>
        <w:tc>
          <w:tcPr>
            <w:tcW w:w="1660" w:type="dxa"/>
            <w:tcBorders>
              <w:top w:val="nil"/>
              <w:left w:val="nil"/>
              <w:bottom w:val="single" w:sz="4" w:space="0" w:color="auto"/>
              <w:right w:val="single" w:sz="4" w:space="0" w:color="auto"/>
            </w:tcBorders>
            <w:shd w:val="clear" w:color="auto" w:fill="C6EFCE"/>
            <w:noWrap/>
          </w:tcPr>
          <w:p w14:paraId="2F4126F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Vyhlásenie výzvy</w:t>
            </w:r>
          </w:p>
        </w:tc>
        <w:tc>
          <w:tcPr>
            <w:tcW w:w="1080" w:type="dxa"/>
            <w:tcBorders>
              <w:top w:val="nil"/>
              <w:left w:val="nil"/>
              <w:bottom w:val="single" w:sz="4" w:space="0" w:color="auto"/>
              <w:right w:val="single" w:sz="4" w:space="0" w:color="auto"/>
            </w:tcBorders>
            <w:shd w:val="clear" w:color="auto" w:fill="C6EFCE"/>
            <w:noWrap/>
          </w:tcPr>
          <w:p w14:paraId="717FA04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nil"/>
              <w:left w:val="nil"/>
              <w:bottom w:val="single" w:sz="4" w:space="0" w:color="auto"/>
              <w:right w:val="single" w:sz="4" w:space="0" w:color="auto"/>
            </w:tcBorders>
            <w:shd w:val="clear" w:color="auto" w:fill="C6EFCE"/>
            <w:noWrap/>
          </w:tcPr>
          <w:p w14:paraId="48357F0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0" w:type="dxa"/>
            <w:tcBorders>
              <w:top w:val="nil"/>
              <w:left w:val="nil"/>
              <w:bottom w:val="single" w:sz="4" w:space="0" w:color="auto"/>
              <w:right w:val="single" w:sz="4" w:space="0" w:color="auto"/>
            </w:tcBorders>
            <w:shd w:val="clear" w:color="auto" w:fill="C6EFCE"/>
            <w:noWrap/>
          </w:tcPr>
          <w:p w14:paraId="47569C9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nil"/>
              <w:left w:val="nil"/>
              <w:bottom w:val="single" w:sz="4" w:space="0" w:color="auto"/>
              <w:right w:val="single" w:sz="4" w:space="0" w:color="auto"/>
            </w:tcBorders>
            <w:shd w:val="clear" w:color="auto" w:fill="C6EFCE"/>
            <w:noWrap/>
          </w:tcPr>
          <w:p w14:paraId="60C2020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840" w:type="dxa"/>
            <w:tcBorders>
              <w:top w:val="nil"/>
              <w:left w:val="nil"/>
              <w:bottom w:val="single" w:sz="4" w:space="0" w:color="auto"/>
              <w:right w:val="single" w:sz="4" w:space="0" w:color="auto"/>
            </w:tcBorders>
            <w:shd w:val="clear" w:color="auto" w:fill="C6EFCE"/>
            <w:noWrap/>
          </w:tcPr>
          <w:p w14:paraId="0DD5AB9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608" w:type="dxa"/>
            <w:tcBorders>
              <w:top w:val="nil"/>
              <w:left w:val="nil"/>
              <w:bottom w:val="single" w:sz="4" w:space="0" w:color="auto"/>
              <w:right w:val="single" w:sz="4" w:space="0" w:color="auto"/>
            </w:tcBorders>
            <w:shd w:val="clear" w:color="auto" w:fill="C6EFCE"/>
            <w:noWrap/>
          </w:tcPr>
          <w:p w14:paraId="59241419" w14:textId="665D887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Prijať rámcovú prevádzkovú dohodu, ktorá sa bude používať pri všetkých úverových zmluvách</w:t>
            </w:r>
            <w:r w:rsidR="00AB26B3" w:rsidRPr="00AB26B3">
              <w:rPr>
                <w:noProof/>
                <w:spacing w:val="-6"/>
                <w:lang w:val="sk-SK"/>
              </w:rPr>
              <w:t xml:space="preserve"> s </w:t>
            </w:r>
            <w:r w:rsidRPr="00AB26B3">
              <w:rPr>
                <w:noProof/>
                <w:spacing w:val="-6"/>
                <w:lang w:val="sk-SK"/>
              </w:rPr>
              <w:t>komerčnými bankami,</w:t>
            </w:r>
            <w:r w:rsidR="00AB26B3" w:rsidRPr="00AB26B3">
              <w:rPr>
                <w:noProof/>
                <w:spacing w:val="-6"/>
                <w:lang w:val="sk-SK"/>
              </w:rPr>
              <w:t xml:space="preserve"> a </w:t>
            </w:r>
            <w:r w:rsidRPr="00AB26B3">
              <w:rPr>
                <w:noProof/>
                <w:spacing w:val="-6"/>
                <w:lang w:val="sk-SK"/>
              </w:rPr>
              <w:t>vyhlásiť výzvu na výber komerčných bánk vrátane:</w:t>
            </w:r>
          </w:p>
          <w:p w14:paraId="5823D9EC" w14:textId="442C816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 Kritériá správy, výberu, monitorovania</w:t>
            </w:r>
            <w:r w:rsidR="00AB26B3" w:rsidRPr="00AB26B3">
              <w:rPr>
                <w:noProof/>
                <w:spacing w:val="-6"/>
                <w:lang w:val="sk-SK"/>
              </w:rPr>
              <w:t xml:space="preserve"> a </w:t>
            </w:r>
            <w:r w:rsidRPr="00AB26B3">
              <w:rPr>
                <w:noProof/>
                <w:spacing w:val="-6"/>
                <w:lang w:val="sk-SK"/>
              </w:rPr>
              <w:t>auditu</w:t>
            </w:r>
            <w:r w:rsidR="00AB26B3" w:rsidRPr="00AB26B3">
              <w:rPr>
                <w:noProof/>
                <w:spacing w:val="-6"/>
                <w:lang w:val="sk-SK"/>
              </w:rPr>
              <w:t xml:space="preserve"> a </w:t>
            </w:r>
            <w:r w:rsidRPr="00AB26B3">
              <w:rPr>
                <w:noProof/>
                <w:spacing w:val="-6"/>
                <w:lang w:val="sk-SK"/>
              </w:rPr>
              <w:t>rozdelenia strát podľa rovnakých zásad ako</w:t>
            </w:r>
            <w:r w:rsidR="00AB26B3" w:rsidRPr="00AB26B3">
              <w:rPr>
                <w:noProof/>
                <w:spacing w:val="-6"/>
                <w:lang w:val="sk-SK"/>
              </w:rPr>
              <w:t xml:space="preserve"> v </w:t>
            </w:r>
            <w:r w:rsidRPr="00AB26B3">
              <w:rPr>
                <w:noProof/>
                <w:spacing w:val="-6"/>
                <w:lang w:val="sk-SK"/>
              </w:rPr>
              <w:t xml:space="preserve">prípade úverov poskytovaných prostredníctvom medzinárodných finančných inštitúcií, ako sa uvádza vyššie (míľnik </w:t>
            </w:r>
            <w:r w:rsidR="00AB26B3" w:rsidRPr="00AB26B3">
              <w:rPr>
                <w:noProof/>
                <w:spacing w:val="-6"/>
                <w:lang w:val="sk-SK"/>
              </w:rPr>
              <w:t>č. </w:t>
            </w:r>
            <w:r w:rsidRPr="00AB26B3">
              <w:rPr>
                <w:noProof/>
                <w:spacing w:val="-6"/>
                <w:lang w:val="sk-SK"/>
              </w:rPr>
              <w:t>320). Na úvery poskytnuté komerčnými bankami</w:t>
            </w:r>
            <w:r w:rsidR="00AB26B3" w:rsidRPr="00AB26B3">
              <w:rPr>
                <w:noProof/>
                <w:spacing w:val="-6"/>
                <w:lang w:val="sk-SK"/>
              </w:rPr>
              <w:t xml:space="preserve"> v </w:t>
            </w:r>
            <w:r w:rsidRPr="00AB26B3">
              <w:rPr>
                <w:noProof/>
                <w:spacing w:val="-6"/>
                <w:lang w:val="sk-SK"/>
              </w:rPr>
              <w:t>rámci úverového nástroja sa neposkytuje žiadna štátna záruka.</w:t>
            </w:r>
          </w:p>
          <w:p w14:paraId="726C2094" w14:textId="176D16B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 Výberové kritériá súladu podporovaných činností</w:t>
            </w:r>
            <w:r w:rsidR="00AB26B3" w:rsidRPr="00AB26B3">
              <w:rPr>
                <w:noProof/>
                <w:spacing w:val="-6"/>
                <w:lang w:val="sk-SK"/>
              </w:rPr>
              <w:t xml:space="preserve"> s </w:t>
            </w:r>
            <w:r w:rsidRPr="00AB26B3">
              <w:rPr>
                <w:noProof/>
                <w:spacing w:val="-6"/>
                <w:lang w:val="sk-SK"/>
              </w:rPr>
              <w:t>technickými usmerneniami Do No No Significant Harm Technical Guidance (2021/C58/01),</w:t>
            </w:r>
            <w:r w:rsidR="00AB26B3" w:rsidRPr="00AB26B3">
              <w:rPr>
                <w:noProof/>
                <w:spacing w:val="-6"/>
                <w:lang w:val="sk-SK"/>
              </w:rPr>
              <w:t xml:space="preserve"> v </w:t>
            </w:r>
            <w:r w:rsidRPr="00AB26B3">
              <w:rPr>
                <w:noProof/>
                <w:spacing w:val="-6"/>
                <w:lang w:val="sk-SK"/>
              </w:rPr>
              <w:t>ktorých sa vyžaduje používanie overovania udržateľnosti, zoznamu vylúčených subjektov</w:t>
            </w:r>
            <w:r w:rsidR="00AB26B3" w:rsidRPr="00AB26B3">
              <w:rPr>
                <w:noProof/>
                <w:spacing w:val="-6"/>
                <w:lang w:val="sk-SK"/>
              </w:rPr>
              <w:t xml:space="preserve"> a </w:t>
            </w:r>
            <w:r w:rsidRPr="00AB26B3">
              <w:rPr>
                <w:noProof/>
                <w:spacing w:val="-6"/>
                <w:lang w:val="sk-SK"/>
              </w:rPr>
              <w:t>povinných kontrol dodržiavania právnych predpisov</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 nezávislým audítorom.</w:t>
            </w:r>
          </w:p>
          <w:p w14:paraId="392AB28C" w14:textId="079F3B1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 Záväzok investovať aspoň 38,5</w:t>
            </w:r>
            <w:r w:rsidR="00AB26B3" w:rsidRPr="00AB26B3">
              <w:rPr>
                <w:noProof/>
                <w:spacing w:val="-6"/>
                <w:lang w:val="sk-SK"/>
              </w:rPr>
              <w:t> %</w:t>
            </w:r>
            <w:r w:rsidRPr="00AB26B3">
              <w:rPr>
                <w:noProof/>
                <w:spacing w:val="-6"/>
                <w:lang w:val="sk-SK"/>
              </w:rPr>
              <w:t xml:space="preserve"> finančných prostriedkov na podporu klimatickej transformácie</w:t>
            </w:r>
            <w:r w:rsidR="00AB26B3" w:rsidRPr="00AB26B3">
              <w:rPr>
                <w:noProof/>
                <w:spacing w:val="-6"/>
                <w:lang w:val="sk-SK"/>
              </w:rPr>
              <w:t xml:space="preserve"> a </w:t>
            </w:r>
            <w:r w:rsidRPr="00AB26B3">
              <w:rPr>
                <w:noProof/>
                <w:spacing w:val="-6"/>
                <w:lang w:val="sk-SK"/>
              </w:rPr>
              <w:t>20,8</w:t>
            </w:r>
            <w:r w:rsidR="00AB26B3" w:rsidRPr="00AB26B3">
              <w:rPr>
                <w:noProof/>
                <w:spacing w:val="-6"/>
                <w:lang w:val="sk-SK"/>
              </w:rPr>
              <w:t> %</w:t>
            </w:r>
            <w:r w:rsidRPr="00AB26B3">
              <w:rPr>
                <w:noProof/>
                <w:spacing w:val="-6"/>
                <w:lang w:val="sk-SK"/>
              </w:rPr>
              <w:t xml:space="preserve"> finančných prostriedkov na podporu digitálnej transformácie pomocou metodiky uvedenej</w:t>
            </w:r>
            <w:r w:rsidR="00AB26B3" w:rsidRPr="00AB26B3">
              <w:rPr>
                <w:noProof/>
                <w:spacing w:val="-6"/>
                <w:lang w:val="sk-SK"/>
              </w:rPr>
              <w:t xml:space="preserve"> v </w:t>
            </w:r>
            <w:r w:rsidRPr="00AB26B3">
              <w:rPr>
                <w:noProof/>
                <w:spacing w:val="-6"/>
                <w:lang w:val="sk-SK"/>
              </w:rPr>
              <w:t>prílohách VI</w:t>
            </w:r>
            <w:r w:rsidR="00AB26B3" w:rsidRPr="00AB26B3">
              <w:rPr>
                <w:noProof/>
                <w:spacing w:val="-6"/>
                <w:lang w:val="sk-SK"/>
              </w:rPr>
              <w:t xml:space="preserve"> a </w:t>
            </w:r>
            <w:r w:rsidRPr="00AB26B3">
              <w:rPr>
                <w:noProof/>
                <w:spacing w:val="-6"/>
                <w:lang w:val="sk-SK"/>
              </w:rPr>
              <w:t>VII</w:t>
            </w:r>
            <w:r w:rsidR="00AB26B3" w:rsidRPr="00AB26B3">
              <w:rPr>
                <w:noProof/>
                <w:spacing w:val="-6"/>
                <w:lang w:val="sk-SK"/>
              </w:rPr>
              <w:t xml:space="preserve"> k </w:t>
            </w:r>
            <w:r w:rsidRPr="00AB26B3">
              <w:rPr>
                <w:noProof/>
                <w:spacing w:val="-6"/>
                <w:lang w:val="sk-SK"/>
              </w:rPr>
              <w:t>nariadeniu</w:t>
            </w:r>
            <w:r w:rsidR="00AB26B3" w:rsidRPr="00AB26B3">
              <w:rPr>
                <w:noProof/>
                <w:spacing w:val="-6"/>
                <w:lang w:val="sk-SK"/>
              </w:rPr>
              <w:t xml:space="preserve"> o </w:t>
            </w:r>
            <w:r w:rsidRPr="00AB26B3">
              <w:rPr>
                <w:noProof/>
                <w:spacing w:val="-6"/>
                <w:lang w:val="sk-SK"/>
              </w:rPr>
              <w:t>Mechanizme na podporu obnovy</w:t>
            </w:r>
            <w:r w:rsidR="00AB26B3" w:rsidRPr="00AB26B3">
              <w:rPr>
                <w:noProof/>
                <w:spacing w:val="-6"/>
                <w:lang w:val="sk-SK"/>
              </w:rPr>
              <w:t xml:space="preserve"> a </w:t>
            </w:r>
            <w:r w:rsidRPr="00AB26B3">
              <w:rPr>
                <w:noProof/>
                <w:spacing w:val="-6"/>
                <w:lang w:val="sk-SK"/>
              </w:rPr>
              <w:t>odolnosti.</w:t>
            </w:r>
          </w:p>
          <w:p w14:paraId="3610642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22A35F45" w14:textId="77777777">
        <w:trPr>
          <w:trHeight w:val="314"/>
          <w:jc w:val="center"/>
        </w:trPr>
        <w:tc>
          <w:tcPr>
            <w:tcW w:w="602" w:type="dxa"/>
            <w:tcBorders>
              <w:top w:val="nil"/>
              <w:left w:val="single" w:sz="4" w:space="0" w:color="auto"/>
              <w:bottom w:val="single" w:sz="4" w:space="0" w:color="auto"/>
              <w:right w:val="single" w:sz="4" w:space="0" w:color="auto"/>
            </w:tcBorders>
            <w:shd w:val="clear" w:color="auto" w:fill="C6EFCE"/>
            <w:noWrap/>
            <w:hideMark/>
          </w:tcPr>
          <w:p w14:paraId="7F80C11E" w14:textId="77777777" w:rsidR="00302FC1" w:rsidRPr="00AB26B3" w:rsidRDefault="00D64F26">
            <w:pPr>
              <w:pStyle w:val="P68B1DB1-Normal12"/>
              <w:spacing w:after="0" w:line="240" w:lineRule="auto"/>
              <w:rPr>
                <w:noProof/>
                <w:spacing w:val="-6"/>
                <w:lang w:val="sk-SK"/>
              </w:rPr>
            </w:pPr>
            <w:r w:rsidRPr="00AB26B3">
              <w:rPr>
                <w:noProof/>
                <w:spacing w:val="-6"/>
                <w:lang w:val="sk-SK"/>
              </w:rPr>
              <w:t>322</w:t>
            </w:r>
          </w:p>
        </w:tc>
        <w:tc>
          <w:tcPr>
            <w:tcW w:w="1673" w:type="dxa"/>
            <w:tcBorders>
              <w:top w:val="nil"/>
              <w:left w:val="nil"/>
              <w:bottom w:val="single" w:sz="4" w:space="0" w:color="auto"/>
              <w:right w:val="single" w:sz="4" w:space="0" w:color="auto"/>
            </w:tcBorders>
            <w:shd w:val="clear" w:color="auto" w:fill="C6EFCE"/>
            <w:noWrap/>
            <w:hideMark/>
          </w:tcPr>
          <w:p w14:paraId="097DA552" w14:textId="7BE08AE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nil"/>
              <w:left w:val="nil"/>
              <w:bottom w:val="single" w:sz="4" w:space="0" w:color="auto"/>
              <w:right w:val="single" w:sz="4" w:space="0" w:color="auto"/>
            </w:tcBorders>
            <w:shd w:val="clear" w:color="auto" w:fill="C6EFCE"/>
            <w:noWrap/>
            <w:hideMark/>
          </w:tcPr>
          <w:p w14:paraId="343BF35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40" w:type="dxa"/>
            <w:tcBorders>
              <w:top w:val="nil"/>
              <w:left w:val="nil"/>
              <w:bottom w:val="single" w:sz="4" w:space="0" w:color="auto"/>
              <w:right w:val="single" w:sz="4" w:space="0" w:color="auto"/>
            </w:tcBorders>
            <w:shd w:val="clear" w:color="auto" w:fill="C6EFCE"/>
            <w:noWrap/>
            <w:hideMark/>
          </w:tcPr>
          <w:p w14:paraId="7AF3EF94" w14:textId="0340907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Dohoda</w:t>
            </w:r>
            <w:r w:rsidR="00AB26B3" w:rsidRPr="00AB26B3">
              <w:rPr>
                <w:noProof/>
                <w:spacing w:val="-6"/>
                <w:lang w:val="sk-SK"/>
              </w:rPr>
              <w:t xml:space="preserve"> o </w:t>
            </w:r>
            <w:r w:rsidRPr="00AB26B3">
              <w:rPr>
                <w:noProof/>
                <w:spacing w:val="-6"/>
                <w:lang w:val="sk-SK"/>
              </w:rPr>
              <w:t>platforme vlastného imania</w:t>
            </w:r>
          </w:p>
        </w:tc>
        <w:tc>
          <w:tcPr>
            <w:tcW w:w="1660" w:type="dxa"/>
            <w:tcBorders>
              <w:top w:val="nil"/>
              <w:left w:val="nil"/>
              <w:bottom w:val="single" w:sz="4" w:space="0" w:color="auto"/>
              <w:right w:val="single" w:sz="4" w:space="0" w:color="auto"/>
            </w:tcBorders>
            <w:shd w:val="clear" w:color="auto" w:fill="C6EFCE"/>
            <w:noWrap/>
            <w:hideMark/>
          </w:tcPr>
          <w:p w14:paraId="7B3AF4D4" w14:textId="3453FDF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Podpísaná dohoda</w:t>
            </w:r>
            <w:r w:rsidR="00AB26B3" w:rsidRPr="00AB26B3">
              <w:rPr>
                <w:noProof/>
                <w:spacing w:val="-6"/>
                <w:lang w:val="sk-SK"/>
              </w:rPr>
              <w:t xml:space="preserve"> o </w:t>
            </w:r>
            <w:r w:rsidRPr="00AB26B3">
              <w:rPr>
                <w:noProof/>
                <w:spacing w:val="-6"/>
                <w:lang w:val="sk-SK"/>
              </w:rPr>
              <w:t>mandáte</w:t>
            </w:r>
          </w:p>
        </w:tc>
        <w:tc>
          <w:tcPr>
            <w:tcW w:w="1080" w:type="dxa"/>
            <w:tcBorders>
              <w:top w:val="nil"/>
              <w:left w:val="nil"/>
              <w:bottom w:val="single" w:sz="4" w:space="0" w:color="auto"/>
              <w:right w:val="single" w:sz="4" w:space="0" w:color="auto"/>
            </w:tcBorders>
            <w:shd w:val="clear" w:color="auto" w:fill="C6EFCE"/>
            <w:noWrap/>
            <w:hideMark/>
          </w:tcPr>
          <w:p w14:paraId="1FCF50C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nil"/>
              <w:left w:val="nil"/>
              <w:bottom w:val="single" w:sz="4" w:space="0" w:color="auto"/>
              <w:right w:val="single" w:sz="4" w:space="0" w:color="auto"/>
            </w:tcBorders>
            <w:shd w:val="clear" w:color="auto" w:fill="C6EFCE"/>
            <w:noWrap/>
            <w:hideMark/>
          </w:tcPr>
          <w:p w14:paraId="6F5B454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0" w:type="dxa"/>
            <w:tcBorders>
              <w:top w:val="nil"/>
              <w:left w:val="nil"/>
              <w:bottom w:val="single" w:sz="4" w:space="0" w:color="auto"/>
              <w:right w:val="single" w:sz="4" w:space="0" w:color="auto"/>
            </w:tcBorders>
            <w:shd w:val="clear" w:color="auto" w:fill="C6EFCE"/>
            <w:noWrap/>
            <w:hideMark/>
          </w:tcPr>
          <w:p w14:paraId="1B7C895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nil"/>
              <w:left w:val="nil"/>
              <w:bottom w:val="single" w:sz="4" w:space="0" w:color="auto"/>
              <w:right w:val="single" w:sz="4" w:space="0" w:color="auto"/>
            </w:tcBorders>
            <w:shd w:val="clear" w:color="auto" w:fill="C6EFCE"/>
            <w:noWrap/>
            <w:hideMark/>
          </w:tcPr>
          <w:p w14:paraId="13AE517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40" w:type="dxa"/>
            <w:tcBorders>
              <w:top w:val="nil"/>
              <w:left w:val="nil"/>
              <w:bottom w:val="single" w:sz="4" w:space="0" w:color="auto"/>
              <w:right w:val="single" w:sz="4" w:space="0" w:color="auto"/>
            </w:tcBorders>
            <w:shd w:val="clear" w:color="auto" w:fill="C6EFCE"/>
            <w:noWrap/>
            <w:hideMark/>
          </w:tcPr>
          <w:p w14:paraId="2178CB5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608" w:type="dxa"/>
            <w:tcBorders>
              <w:top w:val="nil"/>
              <w:left w:val="nil"/>
              <w:bottom w:val="single" w:sz="4" w:space="0" w:color="auto"/>
              <w:right w:val="single" w:sz="4" w:space="0" w:color="auto"/>
            </w:tcBorders>
            <w:shd w:val="clear" w:color="auto" w:fill="C6EFCE"/>
            <w:noWrap/>
            <w:hideMark/>
          </w:tcPr>
          <w:p w14:paraId="321D21B8" w14:textId="6B59F11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Podpísanie dohody</w:t>
            </w:r>
            <w:r w:rsidR="00AB26B3" w:rsidRPr="00AB26B3">
              <w:rPr>
                <w:noProof/>
                <w:spacing w:val="-6"/>
                <w:lang w:val="sk-SK"/>
              </w:rPr>
              <w:t xml:space="preserve"> o </w:t>
            </w:r>
            <w:r w:rsidRPr="00AB26B3">
              <w:rPr>
                <w:noProof/>
                <w:spacing w:val="-6"/>
                <w:lang w:val="sk-SK"/>
              </w:rPr>
              <w:t>poverení medzi ministerstvom financií</w:t>
            </w:r>
            <w:r w:rsidR="00AB26B3" w:rsidRPr="00AB26B3">
              <w:rPr>
                <w:noProof/>
                <w:spacing w:val="-6"/>
                <w:lang w:val="sk-SK"/>
              </w:rPr>
              <w:t xml:space="preserve"> a </w:t>
            </w:r>
            <w:r w:rsidRPr="00AB26B3">
              <w:rPr>
                <w:noProof/>
                <w:spacing w:val="-6"/>
                <w:lang w:val="sk-SK"/>
              </w:rPr>
              <w:t>Helénskou rozvojovou bankou pre investície, ktorá spravuje mezanínový fond fondov</w:t>
            </w:r>
            <w:r w:rsidR="00AB26B3" w:rsidRPr="00AB26B3">
              <w:rPr>
                <w:noProof/>
                <w:spacing w:val="-6"/>
                <w:lang w:val="sk-SK"/>
              </w:rPr>
              <w:t xml:space="preserve"> a </w:t>
            </w:r>
            <w:r w:rsidRPr="00AB26B3">
              <w:rPr>
                <w:noProof/>
                <w:spacing w:val="-6"/>
                <w:lang w:val="sk-SK"/>
              </w:rPr>
              <w:t>fond Innovate Now Equifund. Dohoda</w:t>
            </w:r>
            <w:r w:rsidR="00AB26B3" w:rsidRPr="00AB26B3">
              <w:rPr>
                <w:noProof/>
                <w:spacing w:val="-6"/>
                <w:lang w:val="sk-SK"/>
              </w:rPr>
              <w:t xml:space="preserve"> o </w:t>
            </w:r>
            <w:r w:rsidRPr="00AB26B3">
              <w:rPr>
                <w:noProof/>
                <w:spacing w:val="-6"/>
                <w:lang w:val="sk-SK"/>
              </w:rPr>
              <w:t>poverení obsahuje kritériá výberu pre súlad podporovaných spoločností</w:t>
            </w:r>
            <w:r w:rsidR="00AB26B3" w:rsidRPr="00AB26B3">
              <w:rPr>
                <w:noProof/>
                <w:spacing w:val="-6"/>
                <w:lang w:val="sk-SK"/>
              </w:rPr>
              <w:t xml:space="preserve"> s </w:t>
            </w:r>
            <w:r w:rsidRPr="00AB26B3">
              <w:rPr>
                <w:noProof/>
                <w:spacing w:val="-6"/>
                <w:lang w:val="sk-SK"/>
              </w:rPr>
              <w:t>technickými usmerneniami Do No No Significant Harm Technical Guidance (2021/C58/01),</w:t>
            </w:r>
            <w:r w:rsidR="00AB26B3" w:rsidRPr="00AB26B3">
              <w:rPr>
                <w:noProof/>
                <w:spacing w:val="-6"/>
                <w:lang w:val="sk-SK"/>
              </w:rPr>
              <w:t xml:space="preserve"> v </w:t>
            </w:r>
            <w:r w:rsidRPr="00AB26B3">
              <w:rPr>
                <w:noProof/>
                <w:spacing w:val="-6"/>
                <w:lang w:val="sk-SK"/>
              </w:rPr>
              <w:t>ktorých sa vyžaduje používanie overovania udržateľnosti, zoznam vylúčených subjektov</w:t>
            </w:r>
            <w:r w:rsidR="00AB26B3" w:rsidRPr="00AB26B3">
              <w:rPr>
                <w:noProof/>
                <w:spacing w:val="-6"/>
                <w:lang w:val="sk-SK"/>
              </w:rPr>
              <w:t xml:space="preserve"> a </w:t>
            </w:r>
            <w:r w:rsidRPr="00AB26B3">
              <w:rPr>
                <w:noProof/>
                <w:spacing w:val="-6"/>
                <w:lang w:val="sk-SK"/>
              </w:rPr>
              <w:t>povinné kontroly dodržiavania právnych predpisov</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 nezávislým audítorom.</w:t>
            </w:r>
          </w:p>
        </w:tc>
      </w:tr>
      <w:tr w:rsidR="00302FC1" w:rsidRPr="00AB26B3" w14:paraId="6FEEEE10" w14:textId="77777777">
        <w:trPr>
          <w:trHeight w:val="314"/>
          <w:jc w:val="center"/>
        </w:trPr>
        <w:tc>
          <w:tcPr>
            <w:tcW w:w="602" w:type="dxa"/>
            <w:tcBorders>
              <w:top w:val="nil"/>
              <w:left w:val="single" w:sz="4" w:space="0" w:color="auto"/>
              <w:bottom w:val="single" w:sz="4" w:space="0" w:color="auto"/>
              <w:right w:val="single" w:sz="4" w:space="0" w:color="auto"/>
            </w:tcBorders>
            <w:shd w:val="clear" w:color="auto" w:fill="C6EFCE"/>
            <w:noWrap/>
            <w:hideMark/>
          </w:tcPr>
          <w:p w14:paraId="708AA238" w14:textId="77777777" w:rsidR="00302FC1" w:rsidRPr="00AB26B3" w:rsidRDefault="00D64F26">
            <w:pPr>
              <w:pStyle w:val="P68B1DB1-Normal12"/>
              <w:spacing w:after="0" w:line="240" w:lineRule="auto"/>
              <w:rPr>
                <w:noProof/>
                <w:spacing w:val="-6"/>
                <w:lang w:val="sk-SK"/>
              </w:rPr>
            </w:pPr>
            <w:r w:rsidRPr="00AB26B3">
              <w:rPr>
                <w:noProof/>
                <w:spacing w:val="-6"/>
                <w:lang w:val="sk-SK"/>
              </w:rPr>
              <w:t>323</w:t>
            </w:r>
          </w:p>
        </w:tc>
        <w:tc>
          <w:tcPr>
            <w:tcW w:w="1673" w:type="dxa"/>
            <w:tcBorders>
              <w:top w:val="nil"/>
              <w:left w:val="nil"/>
              <w:bottom w:val="single" w:sz="4" w:space="0" w:color="auto"/>
              <w:right w:val="single" w:sz="4" w:space="0" w:color="auto"/>
            </w:tcBorders>
            <w:shd w:val="clear" w:color="auto" w:fill="C6EFCE"/>
            <w:noWrap/>
            <w:hideMark/>
          </w:tcPr>
          <w:p w14:paraId="117E3B7A" w14:textId="65061AF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nil"/>
              <w:left w:val="nil"/>
              <w:bottom w:val="single" w:sz="4" w:space="0" w:color="auto"/>
              <w:right w:val="single" w:sz="4" w:space="0" w:color="auto"/>
            </w:tcBorders>
            <w:shd w:val="clear" w:color="auto" w:fill="C6EFCE"/>
            <w:noWrap/>
            <w:hideMark/>
          </w:tcPr>
          <w:p w14:paraId="32BC77F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40" w:type="dxa"/>
            <w:tcBorders>
              <w:top w:val="nil"/>
              <w:left w:val="nil"/>
              <w:bottom w:val="single" w:sz="4" w:space="0" w:color="auto"/>
              <w:right w:val="single" w:sz="4" w:space="0" w:color="auto"/>
            </w:tcBorders>
            <w:shd w:val="clear" w:color="auto" w:fill="C6EFCE"/>
            <w:noWrap/>
            <w:hideMark/>
          </w:tcPr>
          <w:p w14:paraId="0353CF06" w14:textId="68D8BAA2"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Dohoda</w:t>
            </w:r>
            <w:r w:rsidR="00AB26B3" w:rsidRPr="00AB26B3">
              <w:rPr>
                <w:noProof/>
                <w:spacing w:val="-6"/>
                <w:lang w:val="sk-SK"/>
              </w:rPr>
              <w:t xml:space="preserve"> o </w:t>
            </w:r>
            <w:r w:rsidRPr="00AB26B3">
              <w:rPr>
                <w:noProof/>
                <w:spacing w:val="-6"/>
                <w:lang w:val="sk-SK"/>
              </w:rPr>
              <w:t>príspevku</w:t>
            </w:r>
            <w:r w:rsidR="00AB26B3" w:rsidRPr="00AB26B3">
              <w:rPr>
                <w:noProof/>
                <w:spacing w:val="-6"/>
                <w:lang w:val="sk-SK"/>
              </w:rPr>
              <w:t xml:space="preserve"> z </w:t>
            </w:r>
            <w:r w:rsidRPr="00AB26B3">
              <w:rPr>
                <w:noProof/>
                <w:spacing w:val="-6"/>
                <w:lang w:val="sk-SK"/>
              </w:rPr>
              <w:t>Programu InvestEU</w:t>
            </w:r>
          </w:p>
        </w:tc>
        <w:tc>
          <w:tcPr>
            <w:tcW w:w="1660" w:type="dxa"/>
            <w:tcBorders>
              <w:top w:val="nil"/>
              <w:left w:val="nil"/>
              <w:bottom w:val="single" w:sz="4" w:space="0" w:color="auto"/>
              <w:right w:val="single" w:sz="4" w:space="0" w:color="auto"/>
            </w:tcBorders>
            <w:shd w:val="clear" w:color="auto" w:fill="C6EFCE"/>
            <w:noWrap/>
            <w:hideMark/>
          </w:tcPr>
          <w:p w14:paraId="4139CFCD" w14:textId="202E1AD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Podpísaná dohoda</w:t>
            </w:r>
            <w:r w:rsidR="00AB26B3" w:rsidRPr="00AB26B3">
              <w:rPr>
                <w:noProof/>
                <w:spacing w:val="-6"/>
                <w:lang w:val="sk-SK"/>
              </w:rPr>
              <w:t xml:space="preserve"> o </w:t>
            </w:r>
            <w:r w:rsidRPr="00AB26B3">
              <w:rPr>
                <w:noProof/>
                <w:spacing w:val="-6"/>
                <w:lang w:val="sk-SK"/>
              </w:rPr>
              <w:t>príspevku</w:t>
            </w:r>
          </w:p>
        </w:tc>
        <w:tc>
          <w:tcPr>
            <w:tcW w:w="1080" w:type="dxa"/>
            <w:tcBorders>
              <w:top w:val="nil"/>
              <w:left w:val="nil"/>
              <w:bottom w:val="single" w:sz="4" w:space="0" w:color="auto"/>
              <w:right w:val="single" w:sz="4" w:space="0" w:color="auto"/>
            </w:tcBorders>
            <w:shd w:val="clear" w:color="auto" w:fill="C6EFCE"/>
            <w:noWrap/>
            <w:hideMark/>
          </w:tcPr>
          <w:p w14:paraId="61E5D54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nil"/>
              <w:left w:val="nil"/>
              <w:bottom w:val="single" w:sz="4" w:space="0" w:color="auto"/>
              <w:right w:val="single" w:sz="4" w:space="0" w:color="auto"/>
            </w:tcBorders>
            <w:shd w:val="clear" w:color="auto" w:fill="C6EFCE"/>
            <w:noWrap/>
            <w:hideMark/>
          </w:tcPr>
          <w:p w14:paraId="4933BB3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0" w:type="dxa"/>
            <w:tcBorders>
              <w:top w:val="nil"/>
              <w:left w:val="nil"/>
              <w:bottom w:val="single" w:sz="4" w:space="0" w:color="auto"/>
              <w:right w:val="single" w:sz="4" w:space="0" w:color="auto"/>
            </w:tcBorders>
            <w:shd w:val="clear" w:color="auto" w:fill="C6EFCE"/>
            <w:noWrap/>
            <w:hideMark/>
          </w:tcPr>
          <w:p w14:paraId="60A11BB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nil"/>
              <w:left w:val="nil"/>
              <w:bottom w:val="single" w:sz="4" w:space="0" w:color="auto"/>
              <w:right w:val="single" w:sz="4" w:space="0" w:color="auto"/>
            </w:tcBorders>
            <w:shd w:val="clear" w:color="auto" w:fill="C6EFCE"/>
            <w:noWrap/>
            <w:hideMark/>
          </w:tcPr>
          <w:p w14:paraId="1FB04DC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40" w:type="dxa"/>
            <w:tcBorders>
              <w:top w:val="nil"/>
              <w:left w:val="nil"/>
              <w:bottom w:val="single" w:sz="4" w:space="0" w:color="auto"/>
              <w:right w:val="single" w:sz="4" w:space="0" w:color="auto"/>
            </w:tcBorders>
            <w:shd w:val="clear" w:color="auto" w:fill="C6EFCE"/>
            <w:noWrap/>
            <w:hideMark/>
          </w:tcPr>
          <w:p w14:paraId="49A4F4D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608" w:type="dxa"/>
            <w:tcBorders>
              <w:top w:val="nil"/>
              <w:left w:val="nil"/>
              <w:bottom w:val="single" w:sz="4" w:space="0" w:color="auto"/>
              <w:right w:val="single" w:sz="4" w:space="0" w:color="auto"/>
            </w:tcBorders>
            <w:shd w:val="clear" w:color="auto" w:fill="C6EFCE"/>
            <w:noWrap/>
            <w:hideMark/>
          </w:tcPr>
          <w:p w14:paraId="5852516B" w14:textId="2F6BC67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Podpísanie dohody</w:t>
            </w:r>
            <w:r w:rsidR="00AB26B3" w:rsidRPr="00AB26B3">
              <w:rPr>
                <w:noProof/>
                <w:spacing w:val="-6"/>
                <w:lang w:val="sk-SK"/>
              </w:rPr>
              <w:t xml:space="preserve"> o </w:t>
            </w:r>
            <w:r w:rsidRPr="00AB26B3">
              <w:rPr>
                <w:noProof/>
                <w:spacing w:val="-6"/>
                <w:lang w:val="sk-SK"/>
              </w:rPr>
              <w:t>príspevku</w:t>
            </w:r>
            <w:r w:rsidR="00AB26B3" w:rsidRPr="00AB26B3">
              <w:rPr>
                <w:noProof/>
                <w:spacing w:val="-6"/>
                <w:lang w:val="sk-SK"/>
              </w:rPr>
              <w:t xml:space="preserve"> z </w:t>
            </w:r>
            <w:r w:rsidRPr="00AB26B3">
              <w:rPr>
                <w:noProof/>
                <w:spacing w:val="-6"/>
                <w:lang w:val="sk-SK"/>
              </w:rPr>
              <w:t>Programu InvestEU medzi ministerstvom financií</w:t>
            </w:r>
            <w:r w:rsidR="00AB26B3" w:rsidRPr="00AB26B3">
              <w:rPr>
                <w:noProof/>
                <w:spacing w:val="-6"/>
                <w:lang w:val="sk-SK"/>
              </w:rPr>
              <w:t xml:space="preserve"> a </w:t>
            </w:r>
            <w:r w:rsidRPr="00AB26B3">
              <w:rPr>
                <w:noProof/>
                <w:spacing w:val="-6"/>
                <w:lang w:val="sk-SK"/>
              </w:rPr>
              <w:t>Európskou komisiou vrátane:</w:t>
            </w:r>
          </w:p>
          <w:p w14:paraId="690A6A3C" w14:textId="4AA8EFA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a) výberové kritériá súladu podporovaných spoločností</w:t>
            </w:r>
            <w:r w:rsidR="00AB26B3" w:rsidRPr="00AB26B3">
              <w:rPr>
                <w:noProof/>
                <w:spacing w:val="-6"/>
                <w:lang w:val="sk-SK"/>
              </w:rPr>
              <w:t xml:space="preserve"> s </w:t>
            </w:r>
            <w:r w:rsidRPr="00AB26B3">
              <w:rPr>
                <w:noProof/>
                <w:spacing w:val="-6"/>
                <w:lang w:val="sk-SK"/>
              </w:rPr>
              <w:t>technickými usmerneniami Do No No Significant Harm Technical Guidance (2021/C58/01),</w:t>
            </w:r>
            <w:r w:rsidR="00AB26B3" w:rsidRPr="00AB26B3">
              <w:rPr>
                <w:noProof/>
                <w:spacing w:val="-6"/>
                <w:lang w:val="sk-SK"/>
              </w:rPr>
              <w:t xml:space="preserve"> v </w:t>
            </w:r>
            <w:r w:rsidRPr="00AB26B3">
              <w:rPr>
                <w:noProof/>
                <w:spacing w:val="-6"/>
                <w:lang w:val="sk-SK"/>
              </w:rPr>
              <w:t>ktorých sa vyžaduje používanie overovania udržateľnosti, zoznamu vylúčených subjektov</w:t>
            </w:r>
            <w:r w:rsidR="00AB26B3" w:rsidRPr="00AB26B3">
              <w:rPr>
                <w:noProof/>
                <w:spacing w:val="-6"/>
                <w:lang w:val="sk-SK"/>
              </w:rPr>
              <w:t xml:space="preserve"> a </w:t>
            </w:r>
            <w:r w:rsidRPr="00AB26B3">
              <w:rPr>
                <w:noProof/>
                <w:spacing w:val="-6"/>
                <w:lang w:val="sk-SK"/>
              </w:rPr>
              <w:t>povinných kontrol dodržiavania právnych predpisov</w:t>
            </w:r>
            <w:r w:rsidR="00AB26B3" w:rsidRPr="00AB26B3">
              <w:rPr>
                <w:noProof/>
                <w:spacing w:val="-6"/>
                <w:lang w:val="sk-SK"/>
              </w:rPr>
              <w:t xml:space="preserve"> s </w:t>
            </w:r>
            <w:r w:rsidRPr="00AB26B3">
              <w:rPr>
                <w:noProof/>
                <w:spacing w:val="-6"/>
                <w:lang w:val="sk-SK"/>
              </w:rPr>
              <w:t>príslušnými právnymi predpismi EÚ</w:t>
            </w:r>
            <w:r w:rsidR="00AB26B3" w:rsidRPr="00AB26B3">
              <w:rPr>
                <w:noProof/>
                <w:spacing w:val="-6"/>
                <w:lang w:val="sk-SK"/>
              </w:rPr>
              <w:t xml:space="preserve"> a </w:t>
            </w:r>
            <w:r w:rsidRPr="00AB26B3">
              <w:rPr>
                <w:noProof/>
                <w:spacing w:val="-6"/>
                <w:lang w:val="sk-SK"/>
              </w:rPr>
              <w:t>vnútroštátnymi právnymi predpismi</w:t>
            </w:r>
            <w:r w:rsidR="00AB26B3" w:rsidRPr="00AB26B3">
              <w:rPr>
                <w:noProof/>
                <w:spacing w:val="-6"/>
                <w:lang w:val="sk-SK"/>
              </w:rPr>
              <w:t xml:space="preserve"> v </w:t>
            </w:r>
            <w:r w:rsidRPr="00AB26B3">
              <w:rPr>
                <w:noProof/>
                <w:spacing w:val="-6"/>
                <w:lang w:val="sk-SK"/>
              </w:rPr>
              <w:t>oblasti životného prostredia nezávislým audítorom.</w:t>
            </w:r>
          </w:p>
          <w:p w14:paraId="4F9A5D02" w14:textId="14A6E1C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b) Záväzok investovať aspoň 38,5</w:t>
            </w:r>
            <w:r w:rsidR="00AB26B3" w:rsidRPr="00AB26B3">
              <w:rPr>
                <w:noProof/>
                <w:spacing w:val="-6"/>
                <w:lang w:val="sk-SK"/>
              </w:rPr>
              <w:t> %</w:t>
            </w:r>
            <w:r w:rsidRPr="00AB26B3">
              <w:rPr>
                <w:noProof/>
                <w:spacing w:val="-6"/>
                <w:lang w:val="sk-SK"/>
              </w:rPr>
              <w:t xml:space="preserve"> finančných prostriedkov na podporu klimatickej transformácie</w:t>
            </w:r>
            <w:r w:rsidR="00AB26B3" w:rsidRPr="00AB26B3">
              <w:rPr>
                <w:noProof/>
                <w:spacing w:val="-6"/>
                <w:lang w:val="sk-SK"/>
              </w:rPr>
              <w:t xml:space="preserve"> a </w:t>
            </w:r>
            <w:r w:rsidRPr="00AB26B3">
              <w:rPr>
                <w:noProof/>
                <w:spacing w:val="-6"/>
                <w:lang w:val="sk-SK"/>
              </w:rPr>
              <w:t>20,8</w:t>
            </w:r>
            <w:r w:rsidR="00AB26B3" w:rsidRPr="00AB26B3">
              <w:rPr>
                <w:noProof/>
                <w:spacing w:val="-6"/>
                <w:lang w:val="sk-SK"/>
              </w:rPr>
              <w:t> %</w:t>
            </w:r>
            <w:r w:rsidRPr="00AB26B3">
              <w:rPr>
                <w:noProof/>
                <w:spacing w:val="-6"/>
                <w:lang w:val="sk-SK"/>
              </w:rPr>
              <w:t xml:space="preserve"> finančných prostriedkov na podporu digitálnej transformácie pomocou metodiky uvedenej</w:t>
            </w:r>
            <w:r w:rsidR="00AB26B3" w:rsidRPr="00AB26B3">
              <w:rPr>
                <w:noProof/>
                <w:spacing w:val="-6"/>
                <w:lang w:val="sk-SK"/>
              </w:rPr>
              <w:t xml:space="preserve"> v </w:t>
            </w:r>
            <w:r w:rsidRPr="00AB26B3">
              <w:rPr>
                <w:noProof/>
                <w:spacing w:val="-6"/>
                <w:lang w:val="sk-SK"/>
              </w:rPr>
              <w:t>prílohách VI</w:t>
            </w:r>
            <w:r w:rsidR="00AB26B3" w:rsidRPr="00AB26B3">
              <w:rPr>
                <w:noProof/>
                <w:spacing w:val="-6"/>
                <w:lang w:val="sk-SK"/>
              </w:rPr>
              <w:t xml:space="preserve"> a </w:t>
            </w:r>
            <w:r w:rsidRPr="00AB26B3">
              <w:rPr>
                <w:noProof/>
                <w:spacing w:val="-6"/>
                <w:lang w:val="sk-SK"/>
              </w:rPr>
              <w:t>VII</w:t>
            </w:r>
            <w:r w:rsidR="00AB26B3" w:rsidRPr="00AB26B3">
              <w:rPr>
                <w:noProof/>
                <w:spacing w:val="-6"/>
                <w:lang w:val="sk-SK"/>
              </w:rPr>
              <w:t xml:space="preserve"> k </w:t>
            </w:r>
            <w:r w:rsidRPr="00AB26B3">
              <w:rPr>
                <w:noProof/>
                <w:spacing w:val="-6"/>
                <w:lang w:val="sk-SK"/>
              </w:rPr>
              <w:t>nariadeniu</w:t>
            </w:r>
            <w:r w:rsidR="00AB26B3" w:rsidRPr="00AB26B3">
              <w:rPr>
                <w:noProof/>
                <w:spacing w:val="-6"/>
                <w:lang w:val="sk-SK"/>
              </w:rPr>
              <w:t xml:space="preserve"> o </w:t>
            </w:r>
            <w:r w:rsidRPr="00AB26B3">
              <w:rPr>
                <w:noProof/>
                <w:spacing w:val="-6"/>
                <w:lang w:val="sk-SK"/>
              </w:rPr>
              <w:t>Mechanizme na podporu obnovy</w:t>
            </w:r>
            <w:r w:rsidR="00AB26B3" w:rsidRPr="00AB26B3">
              <w:rPr>
                <w:noProof/>
                <w:spacing w:val="-6"/>
                <w:lang w:val="sk-SK"/>
              </w:rPr>
              <w:t xml:space="preserve"> a </w:t>
            </w:r>
            <w:r w:rsidRPr="00AB26B3">
              <w:rPr>
                <w:noProof/>
                <w:spacing w:val="-6"/>
                <w:lang w:val="sk-SK"/>
              </w:rPr>
              <w:t>odolnosti.</w:t>
            </w:r>
          </w:p>
        </w:tc>
      </w:tr>
      <w:tr w:rsidR="00302FC1" w:rsidRPr="00AB26B3" w14:paraId="1A871952"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3C2FE1EF" w14:textId="77777777" w:rsidR="00302FC1" w:rsidRPr="00AB26B3" w:rsidRDefault="00D64F26">
            <w:pPr>
              <w:pStyle w:val="P68B1DB1-Normal12"/>
              <w:spacing w:after="0" w:line="240" w:lineRule="auto"/>
              <w:rPr>
                <w:noProof/>
                <w:spacing w:val="-6"/>
                <w:lang w:val="sk-SK"/>
              </w:rPr>
            </w:pPr>
            <w:r w:rsidRPr="00AB26B3">
              <w:rPr>
                <w:noProof/>
                <w:spacing w:val="-6"/>
                <w:lang w:val="sk-SK"/>
              </w:rPr>
              <w:t>324</w:t>
            </w:r>
          </w:p>
        </w:tc>
        <w:tc>
          <w:tcPr>
            <w:tcW w:w="1673" w:type="dxa"/>
            <w:tcBorders>
              <w:top w:val="single" w:sz="4" w:space="0" w:color="auto"/>
              <w:left w:val="nil"/>
              <w:bottom w:val="single" w:sz="4" w:space="0" w:color="auto"/>
              <w:right w:val="single" w:sz="4" w:space="0" w:color="auto"/>
            </w:tcBorders>
            <w:shd w:val="clear" w:color="auto" w:fill="C6EFCE"/>
            <w:noWrap/>
          </w:tcPr>
          <w:p w14:paraId="13FB6D10" w14:textId="0EA406C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2F93AD1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4F653B7A" w14:textId="5E7F3C3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586,4 milióna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c>
          <w:tcPr>
            <w:tcW w:w="1660" w:type="dxa"/>
            <w:tcBorders>
              <w:top w:val="single" w:sz="4" w:space="0" w:color="auto"/>
              <w:left w:val="nil"/>
              <w:bottom w:val="single" w:sz="4" w:space="0" w:color="auto"/>
              <w:right w:val="single" w:sz="4" w:space="0" w:color="auto"/>
            </w:tcBorders>
            <w:shd w:val="clear" w:color="auto" w:fill="C6EFCE"/>
            <w:noWrap/>
          </w:tcPr>
          <w:p w14:paraId="79A7A08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2EC5E90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Percentuálny podiel podpísaných finančných prostriedkov</w:t>
            </w:r>
          </w:p>
        </w:tc>
        <w:tc>
          <w:tcPr>
            <w:tcW w:w="1080" w:type="dxa"/>
            <w:tcBorders>
              <w:top w:val="single" w:sz="4" w:space="0" w:color="auto"/>
              <w:left w:val="nil"/>
              <w:bottom w:val="single" w:sz="4" w:space="0" w:color="auto"/>
              <w:right w:val="single" w:sz="4" w:space="0" w:color="auto"/>
            </w:tcBorders>
            <w:shd w:val="clear" w:color="auto" w:fill="C6EFCE"/>
            <w:noWrap/>
          </w:tcPr>
          <w:p w14:paraId="798A96B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840" w:type="dxa"/>
            <w:tcBorders>
              <w:top w:val="single" w:sz="4" w:space="0" w:color="auto"/>
              <w:left w:val="nil"/>
              <w:bottom w:val="single" w:sz="4" w:space="0" w:color="auto"/>
              <w:right w:val="single" w:sz="4" w:space="0" w:color="auto"/>
            </w:tcBorders>
            <w:shd w:val="clear" w:color="auto" w:fill="C6EFCE"/>
            <w:noWrap/>
          </w:tcPr>
          <w:p w14:paraId="54C532D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w:t>
            </w:r>
          </w:p>
        </w:tc>
        <w:tc>
          <w:tcPr>
            <w:tcW w:w="960" w:type="dxa"/>
            <w:tcBorders>
              <w:top w:val="single" w:sz="4" w:space="0" w:color="auto"/>
              <w:left w:val="nil"/>
              <w:bottom w:val="single" w:sz="4" w:space="0" w:color="auto"/>
              <w:right w:val="single" w:sz="4" w:space="0" w:color="auto"/>
            </w:tcBorders>
            <w:shd w:val="clear" w:color="auto" w:fill="C6EFCE"/>
            <w:noWrap/>
          </w:tcPr>
          <w:p w14:paraId="2C3C30D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40" w:type="dxa"/>
            <w:tcBorders>
              <w:top w:val="single" w:sz="4" w:space="0" w:color="auto"/>
              <w:left w:val="nil"/>
              <w:bottom w:val="single" w:sz="4" w:space="0" w:color="auto"/>
              <w:right w:val="single" w:sz="4" w:space="0" w:color="auto"/>
            </w:tcBorders>
            <w:shd w:val="clear" w:color="auto" w:fill="C6EFCE"/>
            <w:noWrap/>
          </w:tcPr>
          <w:p w14:paraId="1C2B17B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2022</w:t>
            </w:r>
          </w:p>
        </w:tc>
        <w:tc>
          <w:tcPr>
            <w:tcW w:w="4608" w:type="dxa"/>
            <w:tcBorders>
              <w:top w:val="single" w:sz="4" w:space="0" w:color="auto"/>
              <w:left w:val="nil"/>
              <w:bottom w:val="single" w:sz="4" w:space="0" w:color="auto"/>
              <w:right w:val="single" w:sz="4" w:space="0" w:color="auto"/>
            </w:tcBorders>
            <w:shd w:val="clear" w:color="auto" w:fill="C6EFCE"/>
            <w:noWrap/>
          </w:tcPr>
          <w:p w14:paraId="3C3A1010" w14:textId="61A00F3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 konečnými príjemcami bolo podpísaných 586,4 milióna EUR (vrátane poplatkov za správu)</w:t>
            </w:r>
            <w:r w:rsidR="00AB26B3" w:rsidRPr="00AB26B3">
              <w:rPr>
                <w:noProof/>
                <w:spacing w:val="-6"/>
                <w:lang w:val="sk-SK"/>
              </w:rPr>
              <w:t xml:space="preserve"> z </w:t>
            </w:r>
            <w:r w:rsidRPr="00AB26B3">
              <w:rPr>
                <w:noProof/>
                <w:spacing w:val="-6"/>
                <w:lang w:val="sk-SK"/>
              </w:rPr>
              <w:t>finančných prostriedkov úverového nástroja Mechanizmu na podporu obnovy</w:t>
            </w:r>
            <w:r w:rsidR="00AB26B3" w:rsidRPr="00AB26B3">
              <w:rPr>
                <w:noProof/>
                <w:spacing w:val="-6"/>
                <w:lang w:val="sk-SK"/>
              </w:rPr>
              <w:t xml:space="preserve"> a </w:t>
            </w:r>
            <w:r w:rsidRPr="00AB26B3">
              <w:rPr>
                <w:noProof/>
                <w:spacing w:val="-6"/>
                <w:lang w:val="sk-SK"/>
              </w:rPr>
              <w:t>odolnosti súvisiacich</w:t>
            </w:r>
            <w:r w:rsidR="00AB26B3" w:rsidRPr="00AB26B3">
              <w:rPr>
                <w:noProof/>
                <w:spacing w:val="-6"/>
                <w:lang w:val="sk-SK"/>
              </w:rPr>
              <w:t xml:space="preserve"> s </w:t>
            </w:r>
            <w:r w:rsidRPr="00AB26B3">
              <w:rPr>
                <w:noProof/>
                <w:spacing w:val="-6"/>
                <w:lang w:val="sk-SK"/>
              </w:rPr>
              <w:t>medzinárodnými finančnými inštitúciami</w:t>
            </w:r>
            <w:r w:rsidR="00AB26B3" w:rsidRPr="00AB26B3">
              <w:rPr>
                <w:noProof/>
                <w:spacing w:val="-6"/>
                <w:lang w:val="sk-SK"/>
              </w:rPr>
              <w:t xml:space="preserve"> a </w:t>
            </w:r>
            <w:r w:rsidRPr="00AB26B3">
              <w:rPr>
                <w:noProof/>
                <w:spacing w:val="-6"/>
                <w:lang w:val="sk-SK"/>
              </w:rPr>
              <w:t>komerčnými bankami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mandátom vymedzeným</w:t>
            </w:r>
            <w:r w:rsidR="00AB26B3" w:rsidRPr="00AB26B3">
              <w:rPr>
                <w:noProof/>
                <w:spacing w:val="-6"/>
                <w:lang w:val="sk-SK"/>
              </w:rPr>
              <w:t xml:space="preserve"> v </w:t>
            </w:r>
            <w:r w:rsidRPr="00AB26B3">
              <w:rPr>
                <w:noProof/>
                <w:spacing w:val="-6"/>
                <w:lang w:val="sk-SK"/>
              </w:rPr>
              <w:t>míľniku</w:t>
            </w:r>
            <w:r w:rsidR="00AB26B3" w:rsidRPr="00AB26B3">
              <w:rPr>
                <w:noProof/>
                <w:spacing w:val="-6"/>
                <w:lang w:val="sk-SK"/>
              </w:rPr>
              <w:t xml:space="preserve"> a </w:t>
            </w:r>
            <w:r w:rsidRPr="00AB26B3">
              <w:rPr>
                <w:noProof/>
                <w:spacing w:val="-6"/>
                <w:lang w:val="sk-SK"/>
              </w:rPr>
              <w:t>po tom, ako nezávislí audítori ex ante overili súlad</w:t>
            </w:r>
            <w:r w:rsidR="00AB26B3" w:rsidRPr="00AB26B3">
              <w:rPr>
                <w:noProof/>
                <w:spacing w:val="-6"/>
                <w:lang w:val="sk-SK"/>
              </w:rPr>
              <w:t xml:space="preserve"> s </w:t>
            </w:r>
            <w:r w:rsidRPr="00AB26B3">
              <w:rPr>
                <w:noProof/>
                <w:spacing w:val="-6"/>
                <w:lang w:val="sk-SK"/>
              </w:rPr>
              <w:t>kritériami riadenia, výberu, monitorovania</w:t>
            </w:r>
            <w:r w:rsidR="00AB26B3" w:rsidRPr="00AB26B3">
              <w:rPr>
                <w:noProof/>
                <w:spacing w:val="-6"/>
                <w:lang w:val="sk-SK"/>
              </w:rPr>
              <w:t xml:space="preserve"> a </w:t>
            </w:r>
            <w:r w:rsidRPr="00AB26B3">
              <w:rPr>
                <w:noProof/>
                <w:spacing w:val="-6"/>
                <w:lang w:val="sk-SK"/>
              </w:rPr>
              <w:t>auditu</w:t>
            </w:r>
            <w:r w:rsidR="00AB26B3" w:rsidRPr="00AB26B3">
              <w:rPr>
                <w:noProof/>
                <w:spacing w:val="-6"/>
                <w:lang w:val="sk-SK"/>
              </w:rPr>
              <w:t xml:space="preserve"> a </w:t>
            </w:r>
            <w:r w:rsidRPr="00AB26B3">
              <w:rPr>
                <w:noProof/>
                <w:spacing w:val="-6"/>
                <w:lang w:val="sk-SK"/>
              </w:rPr>
              <w:t>rozdelenia strát, technickými usmerneniami Do No No No Significant Harm Technical Guidance (2021/C58/01)</w:t>
            </w:r>
            <w:r w:rsidR="00AB26B3" w:rsidRPr="00AB26B3">
              <w:rPr>
                <w:noProof/>
                <w:spacing w:val="-6"/>
                <w:lang w:val="sk-SK"/>
              </w:rPr>
              <w:t xml:space="preserve"> a s </w:t>
            </w:r>
            <w:r w:rsidRPr="00AB26B3">
              <w:rPr>
                <w:noProof/>
                <w:spacing w:val="-6"/>
                <w:lang w:val="sk-SK"/>
              </w:rPr>
              <w:t>cieľom 38,5</w:t>
            </w:r>
            <w:r w:rsidR="00AB26B3" w:rsidRPr="00AB26B3">
              <w:rPr>
                <w:noProof/>
                <w:spacing w:val="-6"/>
                <w:lang w:val="sk-SK"/>
              </w:rPr>
              <w:t> % v </w:t>
            </w:r>
            <w:r w:rsidRPr="00AB26B3">
              <w:rPr>
                <w:noProof/>
                <w:spacing w:val="-6"/>
                <w:lang w:val="sk-SK"/>
              </w:rPr>
              <w:t>oblasti klímy</w:t>
            </w:r>
            <w:r w:rsidR="00AB26B3" w:rsidRPr="00AB26B3">
              <w:rPr>
                <w:noProof/>
                <w:spacing w:val="-6"/>
                <w:lang w:val="sk-SK"/>
              </w:rPr>
              <w:t xml:space="preserve"> a s </w:t>
            </w:r>
            <w:r w:rsidRPr="00AB26B3">
              <w:rPr>
                <w:noProof/>
                <w:spacing w:val="-6"/>
                <w:lang w:val="sk-SK"/>
              </w:rPr>
              <w:t>digitálnym cieľom 20,8</w:t>
            </w:r>
            <w:r w:rsidR="00AB26B3" w:rsidRPr="00AB26B3">
              <w:rPr>
                <w:noProof/>
                <w:spacing w:val="-6"/>
                <w:lang w:val="sk-SK"/>
              </w:rPr>
              <w:t> %</w:t>
            </w:r>
            <w:r w:rsidRPr="00AB26B3">
              <w:rPr>
                <w:noProof/>
                <w:spacing w:val="-6"/>
                <w:lang w:val="sk-SK"/>
              </w:rPr>
              <w:t>.</w:t>
            </w:r>
          </w:p>
        </w:tc>
      </w:tr>
      <w:tr w:rsidR="00302FC1" w:rsidRPr="00AB26B3" w14:paraId="10302EE2"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4BE31AA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325</w:t>
            </w:r>
          </w:p>
        </w:tc>
        <w:tc>
          <w:tcPr>
            <w:tcW w:w="1673" w:type="dxa"/>
            <w:tcBorders>
              <w:top w:val="single" w:sz="4" w:space="0" w:color="auto"/>
              <w:left w:val="nil"/>
              <w:bottom w:val="single" w:sz="4" w:space="0" w:color="auto"/>
              <w:right w:val="single" w:sz="4" w:space="0" w:color="auto"/>
            </w:tcBorders>
            <w:shd w:val="clear" w:color="auto" w:fill="C6EFCE"/>
            <w:noWrap/>
          </w:tcPr>
          <w:p w14:paraId="62827DE4" w14:textId="798672E3" w:rsidR="00302FC1" w:rsidRPr="00AB26B3" w:rsidRDefault="00D64F26">
            <w:pPr>
              <w:pStyle w:val="P68B1DB1-Normal13"/>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43246C05"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6750CDA3" w14:textId="522D9BB2"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3518.4 mil.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c>
          <w:tcPr>
            <w:tcW w:w="1660" w:type="dxa"/>
            <w:tcBorders>
              <w:top w:val="single" w:sz="4" w:space="0" w:color="auto"/>
              <w:left w:val="nil"/>
              <w:bottom w:val="single" w:sz="4" w:space="0" w:color="auto"/>
              <w:right w:val="single" w:sz="4" w:space="0" w:color="auto"/>
            </w:tcBorders>
            <w:shd w:val="clear" w:color="auto" w:fill="C6EFCE"/>
            <w:noWrap/>
          </w:tcPr>
          <w:p w14:paraId="21EDCD8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3AF3137B"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Percentuálny podiel podpísaných finančných prostriedkov</w:t>
            </w:r>
          </w:p>
        </w:tc>
        <w:tc>
          <w:tcPr>
            <w:tcW w:w="1080" w:type="dxa"/>
            <w:tcBorders>
              <w:top w:val="single" w:sz="4" w:space="0" w:color="auto"/>
              <w:left w:val="nil"/>
              <w:bottom w:val="single" w:sz="4" w:space="0" w:color="auto"/>
              <w:right w:val="single" w:sz="4" w:space="0" w:color="auto"/>
            </w:tcBorders>
            <w:shd w:val="clear" w:color="auto" w:fill="C6EFCE"/>
            <w:noWrap/>
          </w:tcPr>
          <w:p w14:paraId="1A3F2230"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5</w:t>
            </w:r>
          </w:p>
        </w:tc>
        <w:tc>
          <w:tcPr>
            <w:tcW w:w="840" w:type="dxa"/>
            <w:tcBorders>
              <w:top w:val="single" w:sz="4" w:space="0" w:color="auto"/>
              <w:left w:val="nil"/>
              <w:bottom w:val="single" w:sz="4" w:space="0" w:color="auto"/>
              <w:right w:val="single" w:sz="4" w:space="0" w:color="auto"/>
            </w:tcBorders>
            <w:shd w:val="clear" w:color="auto" w:fill="C6EFCE"/>
            <w:noWrap/>
          </w:tcPr>
          <w:p w14:paraId="030F5060"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30</w:t>
            </w:r>
          </w:p>
        </w:tc>
        <w:tc>
          <w:tcPr>
            <w:tcW w:w="960" w:type="dxa"/>
            <w:tcBorders>
              <w:top w:val="single" w:sz="4" w:space="0" w:color="auto"/>
              <w:left w:val="nil"/>
              <w:bottom w:val="single" w:sz="4" w:space="0" w:color="auto"/>
              <w:right w:val="single" w:sz="4" w:space="0" w:color="auto"/>
            </w:tcBorders>
            <w:shd w:val="clear" w:color="auto" w:fill="C6EFCE"/>
            <w:noWrap/>
          </w:tcPr>
          <w:p w14:paraId="7D8B2A8B"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ŠTVRTÝ ŠTVRŤROK</w:t>
            </w:r>
          </w:p>
        </w:tc>
        <w:tc>
          <w:tcPr>
            <w:tcW w:w="840" w:type="dxa"/>
            <w:tcBorders>
              <w:top w:val="single" w:sz="4" w:space="0" w:color="auto"/>
              <w:left w:val="nil"/>
              <w:bottom w:val="single" w:sz="4" w:space="0" w:color="auto"/>
              <w:right w:val="single" w:sz="4" w:space="0" w:color="auto"/>
            </w:tcBorders>
            <w:shd w:val="clear" w:color="auto" w:fill="C6EFCE"/>
            <w:noWrap/>
          </w:tcPr>
          <w:p w14:paraId="5EEC1520"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2023</w:t>
            </w:r>
          </w:p>
        </w:tc>
        <w:tc>
          <w:tcPr>
            <w:tcW w:w="4608" w:type="dxa"/>
            <w:tcBorders>
              <w:top w:val="single" w:sz="4" w:space="0" w:color="auto"/>
              <w:left w:val="nil"/>
              <w:bottom w:val="single" w:sz="4" w:space="0" w:color="auto"/>
              <w:right w:val="single" w:sz="4" w:space="0" w:color="auto"/>
            </w:tcBorders>
            <w:shd w:val="clear" w:color="auto" w:fill="C6EFCE"/>
            <w:noWrap/>
          </w:tcPr>
          <w:p w14:paraId="21F35C7F" w14:textId="6C2DB32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 konečnými príjemcami bolo podpísaných 3518.4 milióna EUR (vrátane poplatkov za správu)</w:t>
            </w:r>
            <w:r w:rsidR="00AB26B3" w:rsidRPr="00AB26B3">
              <w:rPr>
                <w:noProof/>
                <w:spacing w:val="-6"/>
                <w:lang w:val="sk-SK"/>
              </w:rPr>
              <w:t xml:space="preserve"> z </w:t>
            </w:r>
            <w:r w:rsidRPr="00AB26B3">
              <w:rPr>
                <w:noProof/>
                <w:spacing w:val="-6"/>
                <w:lang w:val="sk-SK"/>
              </w:rPr>
              <w:t>finančných prostriedkov úverového nástroja Mechanizmu na podporu obnovy</w:t>
            </w:r>
            <w:r w:rsidR="00AB26B3" w:rsidRPr="00AB26B3">
              <w:rPr>
                <w:noProof/>
                <w:spacing w:val="-6"/>
                <w:lang w:val="sk-SK"/>
              </w:rPr>
              <w:t xml:space="preserve"> a </w:t>
            </w:r>
            <w:r w:rsidRPr="00AB26B3">
              <w:rPr>
                <w:noProof/>
                <w:spacing w:val="-6"/>
                <w:lang w:val="sk-SK"/>
              </w:rPr>
              <w:t>odolnosti súvisiacich</w:t>
            </w:r>
            <w:r w:rsidR="00AB26B3" w:rsidRPr="00AB26B3">
              <w:rPr>
                <w:noProof/>
                <w:spacing w:val="-6"/>
                <w:lang w:val="sk-SK"/>
              </w:rPr>
              <w:t xml:space="preserve"> s </w:t>
            </w:r>
            <w:r w:rsidRPr="00AB26B3">
              <w:rPr>
                <w:noProof/>
                <w:spacing w:val="-6"/>
                <w:lang w:val="sk-SK"/>
              </w:rPr>
              <w:t>medzinárodnými finančnými inštitúciami</w:t>
            </w:r>
            <w:r w:rsidR="00AB26B3" w:rsidRPr="00AB26B3">
              <w:rPr>
                <w:noProof/>
                <w:spacing w:val="-6"/>
                <w:lang w:val="sk-SK"/>
              </w:rPr>
              <w:t xml:space="preserve"> a </w:t>
            </w:r>
            <w:r w:rsidRPr="00AB26B3">
              <w:rPr>
                <w:noProof/>
                <w:spacing w:val="-6"/>
                <w:lang w:val="sk-SK"/>
              </w:rPr>
              <w:t>komerčnými bankami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mandátom vymedzeným</w:t>
            </w:r>
            <w:r w:rsidR="00AB26B3" w:rsidRPr="00AB26B3">
              <w:rPr>
                <w:noProof/>
                <w:spacing w:val="-6"/>
                <w:lang w:val="sk-SK"/>
              </w:rPr>
              <w:t xml:space="preserve"> v </w:t>
            </w:r>
            <w:r w:rsidRPr="00AB26B3">
              <w:rPr>
                <w:noProof/>
                <w:spacing w:val="-6"/>
                <w:lang w:val="sk-SK"/>
              </w:rPr>
              <w:t>míľniku</w:t>
            </w:r>
            <w:r w:rsidR="00AB26B3" w:rsidRPr="00AB26B3">
              <w:rPr>
                <w:noProof/>
                <w:spacing w:val="-6"/>
                <w:lang w:val="sk-SK"/>
              </w:rPr>
              <w:t xml:space="preserve"> a </w:t>
            </w:r>
            <w:r w:rsidRPr="00AB26B3">
              <w:rPr>
                <w:noProof/>
                <w:spacing w:val="-6"/>
                <w:lang w:val="sk-SK"/>
              </w:rPr>
              <w:t>po tom, ako nezávislí audítori ex ante overili súlad</w:t>
            </w:r>
            <w:r w:rsidR="00AB26B3" w:rsidRPr="00AB26B3">
              <w:rPr>
                <w:noProof/>
                <w:spacing w:val="-6"/>
                <w:lang w:val="sk-SK"/>
              </w:rPr>
              <w:t xml:space="preserve"> s </w:t>
            </w:r>
            <w:r w:rsidRPr="00AB26B3">
              <w:rPr>
                <w:noProof/>
                <w:spacing w:val="-6"/>
                <w:lang w:val="sk-SK"/>
              </w:rPr>
              <w:t>kritériami riadenia, výberu, monitorovania</w:t>
            </w:r>
            <w:r w:rsidR="00AB26B3" w:rsidRPr="00AB26B3">
              <w:rPr>
                <w:noProof/>
                <w:spacing w:val="-6"/>
                <w:lang w:val="sk-SK"/>
              </w:rPr>
              <w:t xml:space="preserve"> a </w:t>
            </w:r>
            <w:r w:rsidRPr="00AB26B3">
              <w:rPr>
                <w:noProof/>
                <w:spacing w:val="-6"/>
                <w:lang w:val="sk-SK"/>
              </w:rPr>
              <w:t>auditu</w:t>
            </w:r>
            <w:r w:rsidR="00AB26B3" w:rsidRPr="00AB26B3">
              <w:rPr>
                <w:noProof/>
                <w:spacing w:val="-6"/>
                <w:lang w:val="sk-SK"/>
              </w:rPr>
              <w:t xml:space="preserve"> a </w:t>
            </w:r>
            <w:r w:rsidRPr="00AB26B3">
              <w:rPr>
                <w:noProof/>
                <w:spacing w:val="-6"/>
                <w:lang w:val="sk-SK"/>
              </w:rPr>
              <w:t>rozdelenia strát, technickými usmerneniami Do No No No Significant Harm Technical Guidance (2021/C58/01)</w:t>
            </w:r>
            <w:r w:rsidR="00AB26B3" w:rsidRPr="00AB26B3">
              <w:rPr>
                <w:noProof/>
                <w:spacing w:val="-6"/>
                <w:lang w:val="sk-SK"/>
              </w:rPr>
              <w:t xml:space="preserve"> a s </w:t>
            </w:r>
            <w:r w:rsidRPr="00AB26B3">
              <w:rPr>
                <w:noProof/>
                <w:spacing w:val="-6"/>
                <w:lang w:val="sk-SK"/>
              </w:rPr>
              <w:t>cieľom 38,5</w:t>
            </w:r>
            <w:r w:rsidR="00AB26B3" w:rsidRPr="00AB26B3">
              <w:rPr>
                <w:noProof/>
                <w:spacing w:val="-6"/>
                <w:lang w:val="sk-SK"/>
              </w:rPr>
              <w:t> % v </w:t>
            </w:r>
            <w:r w:rsidRPr="00AB26B3">
              <w:rPr>
                <w:noProof/>
                <w:spacing w:val="-6"/>
                <w:lang w:val="sk-SK"/>
              </w:rPr>
              <w:t>oblasti klímy</w:t>
            </w:r>
            <w:r w:rsidR="00AB26B3" w:rsidRPr="00AB26B3">
              <w:rPr>
                <w:noProof/>
                <w:spacing w:val="-6"/>
                <w:lang w:val="sk-SK"/>
              </w:rPr>
              <w:t xml:space="preserve"> a </w:t>
            </w:r>
            <w:r w:rsidRPr="00AB26B3">
              <w:rPr>
                <w:noProof/>
                <w:spacing w:val="-6"/>
                <w:lang w:val="sk-SK"/>
              </w:rPr>
              <w:t>20,8</w:t>
            </w:r>
            <w:r w:rsidR="00AB26B3" w:rsidRPr="00AB26B3">
              <w:rPr>
                <w:noProof/>
                <w:spacing w:val="-6"/>
                <w:lang w:val="sk-SK"/>
              </w:rPr>
              <w:t> %</w:t>
            </w:r>
            <w:r w:rsidRPr="00AB26B3">
              <w:rPr>
                <w:noProof/>
                <w:spacing w:val="-6"/>
                <w:lang w:val="sk-SK"/>
              </w:rPr>
              <w:t xml:space="preserve"> digitálnym cieľom.</w:t>
            </w:r>
          </w:p>
        </w:tc>
      </w:tr>
      <w:tr w:rsidR="00302FC1" w:rsidRPr="00AB26B3" w14:paraId="3098B4C6"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2383572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325a</w:t>
            </w:r>
          </w:p>
        </w:tc>
        <w:tc>
          <w:tcPr>
            <w:tcW w:w="1673" w:type="dxa"/>
            <w:tcBorders>
              <w:top w:val="single" w:sz="4" w:space="0" w:color="auto"/>
              <w:left w:val="nil"/>
              <w:bottom w:val="single" w:sz="4" w:space="0" w:color="auto"/>
              <w:right w:val="single" w:sz="4" w:space="0" w:color="auto"/>
            </w:tcBorders>
            <w:shd w:val="clear" w:color="auto" w:fill="C6EFCE"/>
            <w:noWrap/>
          </w:tcPr>
          <w:p w14:paraId="00B3AF8B" w14:textId="5E192006" w:rsidR="00302FC1" w:rsidRPr="00AB26B3" w:rsidRDefault="00D64F26">
            <w:pPr>
              <w:pStyle w:val="P68B1DB1-Normal13"/>
              <w:spacing w:after="0" w:line="240" w:lineRule="auto"/>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08620D57"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34A66BAB" w14:textId="34914296"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4518.4 mil.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c>
          <w:tcPr>
            <w:tcW w:w="1660" w:type="dxa"/>
            <w:tcBorders>
              <w:top w:val="single" w:sz="4" w:space="0" w:color="auto"/>
              <w:left w:val="nil"/>
              <w:bottom w:val="single" w:sz="4" w:space="0" w:color="auto"/>
              <w:right w:val="single" w:sz="4" w:space="0" w:color="auto"/>
            </w:tcBorders>
            <w:shd w:val="clear" w:color="auto" w:fill="C6EFCE"/>
            <w:noWrap/>
          </w:tcPr>
          <w:p w14:paraId="6F7D52C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35DD81B6"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Výška podpísaných finančných prostriedkov (v EUR)</w:t>
            </w:r>
          </w:p>
        </w:tc>
        <w:tc>
          <w:tcPr>
            <w:tcW w:w="1080" w:type="dxa"/>
            <w:tcBorders>
              <w:top w:val="single" w:sz="4" w:space="0" w:color="auto"/>
              <w:left w:val="nil"/>
              <w:bottom w:val="single" w:sz="4" w:space="0" w:color="auto"/>
              <w:right w:val="single" w:sz="4" w:space="0" w:color="auto"/>
            </w:tcBorders>
            <w:shd w:val="clear" w:color="auto" w:fill="C6EFCE"/>
            <w:noWrap/>
          </w:tcPr>
          <w:p w14:paraId="0DC5E415"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3 518.4</w:t>
            </w:r>
          </w:p>
        </w:tc>
        <w:tc>
          <w:tcPr>
            <w:tcW w:w="840" w:type="dxa"/>
            <w:tcBorders>
              <w:top w:val="single" w:sz="4" w:space="0" w:color="auto"/>
              <w:left w:val="nil"/>
              <w:bottom w:val="single" w:sz="4" w:space="0" w:color="auto"/>
              <w:right w:val="single" w:sz="4" w:space="0" w:color="auto"/>
            </w:tcBorders>
            <w:shd w:val="clear" w:color="auto" w:fill="C6EFCE"/>
            <w:noWrap/>
          </w:tcPr>
          <w:p w14:paraId="7BCBBF9C"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4 518.4</w:t>
            </w:r>
          </w:p>
        </w:tc>
        <w:tc>
          <w:tcPr>
            <w:tcW w:w="960" w:type="dxa"/>
            <w:tcBorders>
              <w:top w:val="single" w:sz="4" w:space="0" w:color="auto"/>
              <w:left w:val="nil"/>
              <w:bottom w:val="single" w:sz="4" w:space="0" w:color="auto"/>
              <w:right w:val="single" w:sz="4" w:space="0" w:color="auto"/>
            </w:tcBorders>
            <w:shd w:val="clear" w:color="auto" w:fill="C6EFCE"/>
            <w:noWrap/>
          </w:tcPr>
          <w:p w14:paraId="5282B689"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ŠTVRŤROK</w:t>
            </w:r>
          </w:p>
        </w:tc>
        <w:tc>
          <w:tcPr>
            <w:tcW w:w="840" w:type="dxa"/>
            <w:tcBorders>
              <w:top w:val="single" w:sz="4" w:space="0" w:color="auto"/>
              <w:left w:val="nil"/>
              <w:bottom w:val="single" w:sz="4" w:space="0" w:color="auto"/>
              <w:right w:val="single" w:sz="4" w:space="0" w:color="auto"/>
            </w:tcBorders>
            <w:shd w:val="clear" w:color="auto" w:fill="C6EFCE"/>
            <w:noWrap/>
          </w:tcPr>
          <w:p w14:paraId="7BA19123"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2024</w:t>
            </w:r>
          </w:p>
        </w:tc>
        <w:tc>
          <w:tcPr>
            <w:tcW w:w="4608" w:type="dxa"/>
            <w:tcBorders>
              <w:top w:val="single" w:sz="4" w:space="0" w:color="auto"/>
              <w:left w:val="nil"/>
              <w:bottom w:val="single" w:sz="4" w:space="0" w:color="auto"/>
              <w:right w:val="single" w:sz="4" w:space="0" w:color="auto"/>
            </w:tcBorders>
            <w:shd w:val="clear" w:color="auto" w:fill="C6EFCE"/>
            <w:noWrap/>
          </w:tcPr>
          <w:p w14:paraId="0049F716" w14:textId="1C038D0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 konečnými príjemcami bolo podpísaných 4518.4 milióna EUR (vrátane poplatkov za správu)</w:t>
            </w:r>
            <w:r w:rsidR="00AB26B3" w:rsidRPr="00AB26B3">
              <w:rPr>
                <w:noProof/>
                <w:spacing w:val="-6"/>
                <w:lang w:val="sk-SK"/>
              </w:rPr>
              <w:t xml:space="preserve"> z </w:t>
            </w:r>
            <w:r w:rsidRPr="00AB26B3">
              <w:rPr>
                <w:noProof/>
                <w:spacing w:val="-6"/>
                <w:lang w:val="sk-SK"/>
              </w:rPr>
              <w:t>finančných prostriedkov úverového nástroja Mechanizmu na podporu obnovy</w:t>
            </w:r>
            <w:r w:rsidR="00AB26B3" w:rsidRPr="00AB26B3">
              <w:rPr>
                <w:noProof/>
                <w:spacing w:val="-6"/>
                <w:lang w:val="sk-SK"/>
              </w:rPr>
              <w:t xml:space="preserve"> a </w:t>
            </w:r>
            <w:r w:rsidRPr="00AB26B3">
              <w:rPr>
                <w:noProof/>
                <w:spacing w:val="-6"/>
                <w:lang w:val="sk-SK"/>
              </w:rPr>
              <w:t>odolnosti súvisiacich</w:t>
            </w:r>
            <w:r w:rsidR="00AB26B3" w:rsidRPr="00AB26B3">
              <w:rPr>
                <w:noProof/>
                <w:spacing w:val="-6"/>
                <w:lang w:val="sk-SK"/>
              </w:rPr>
              <w:t xml:space="preserve"> s </w:t>
            </w:r>
            <w:r w:rsidRPr="00AB26B3">
              <w:rPr>
                <w:noProof/>
                <w:spacing w:val="-6"/>
                <w:lang w:val="sk-SK"/>
              </w:rPr>
              <w:t>medzinárodnými finančnými inštitúciami</w:t>
            </w:r>
            <w:r w:rsidR="00AB26B3" w:rsidRPr="00AB26B3">
              <w:rPr>
                <w:noProof/>
                <w:spacing w:val="-6"/>
                <w:lang w:val="sk-SK"/>
              </w:rPr>
              <w:t xml:space="preserve"> a </w:t>
            </w:r>
            <w:r w:rsidRPr="00AB26B3">
              <w:rPr>
                <w:noProof/>
                <w:spacing w:val="-6"/>
                <w:lang w:val="sk-SK"/>
              </w:rPr>
              <w:t>komerčnými bankami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mandátom vymedzeným</w:t>
            </w:r>
            <w:r w:rsidR="00AB26B3" w:rsidRPr="00AB26B3">
              <w:rPr>
                <w:noProof/>
                <w:spacing w:val="-6"/>
                <w:lang w:val="sk-SK"/>
              </w:rPr>
              <w:t xml:space="preserve"> v </w:t>
            </w:r>
            <w:r w:rsidRPr="00AB26B3">
              <w:rPr>
                <w:noProof/>
                <w:spacing w:val="-6"/>
                <w:lang w:val="sk-SK"/>
              </w:rPr>
              <w:t>míľniku</w:t>
            </w:r>
            <w:r w:rsidR="00AB26B3" w:rsidRPr="00AB26B3">
              <w:rPr>
                <w:noProof/>
                <w:spacing w:val="-6"/>
                <w:lang w:val="sk-SK"/>
              </w:rPr>
              <w:t xml:space="preserve"> a </w:t>
            </w:r>
            <w:r w:rsidRPr="00AB26B3">
              <w:rPr>
                <w:noProof/>
                <w:spacing w:val="-6"/>
                <w:lang w:val="sk-SK"/>
              </w:rPr>
              <w:t>po tom, ako nezávislí audítori ex ante overili dodržiavanie kritérií riadenia, výberu, monitorovania</w:t>
            </w:r>
            <w:r w:rsidR="00AB26B3" w:rsidRPr="00AB26B3">
              <w:rPr>
                <w:noProof/>
                <w:spacing w:val="-6"/>
                <w:lang w:val="sk-SK"/>
              </w:rPr>
              <w:t xml:space="preserve"> a </w:t>
            </w:r>
            <w:r w:rsidRPr="00AB26B3">
              <w:rPr>
                <w:noProof/>
                <w:spacing w:val="-6"/>
                <w:lang w:val="sk-SK"/>
              </w:rPr>
              <w:t>auditu</w:t>
            </w:r>
            <w:r w:rsidR="00AB26B3" w:rsidRPr="00AB26B3">
              <w:rPr>
                <w:noProof/>
                <w:spacing w:val="-6"/>
                <w:lang w:val="sk-SK"/>
              </w:rPr>
              <w:t xml:space="preserve"> a </w:t>
            </w:r>
            <w:r w:rsidRPr="00AB26B3">
              <w:rPr>
                <w:noProof/>
                <w:spacing w:val="-6"/>
                <w:lang w:val="sk-SK"/>
              </w:rPr>
              <w:t>rozdelenia strát, technického usmernenia „výrazne nenarušiť“ (2021/C58/01)</w:t>
            </w:r>
            <w:r w:rsidR="00AB26B3" w:rsidRPr="00AB26B3">
              <w:rPr>
                <w:noProof/>
                <w:spacing w:val="-6"/>
                <w:lang w:val="sk-SK"/>
              </w:rPr>
              <w:t xml:space="preserve"> a </w:t>
            </w:r>
            <w:r w:rsidRPr="00AB26B3">
              <w:rPr>
                <w:noProof/>
                <w:spacing w:val="-6"/>
                <w:lang w:val="sk-SK"/>
              </w:rPr>
              <w:t>príspevku</w:t>
            </w:r>
            <w:r w:rsidR="00AB26B3" w:rsidRPr="00AB26B3">
              <w:rPr>
                <w:noProof/>
                <w:spacing w:val="-6"/>
                <w:lang w:val="sk-SK"/>
              </w:rPr>
              <w:t xml:space="preserve"> k </w:t>
            </w:r>
            <w:r w:rsidRPr="00AB26B3">
              <w:rPr>
                <w:noProof/>
                <w:spacing w:val="-6"/>
                <w:lang w:val="sk-SK"/>
              </w:rPr>
              <w:t>cieľu</w:t>
            </w:r>
            <w:r w:rsidR="00AB26B3" w:rsidRPr="00AB26B3">
              <w:rPr>
                <w:noProof/>
                <w:spacing w:val="-6"/>
                <w:lang w:val="sk-SK"/>
              </w:rPr>
              <w:t xml:space="preserve"> v </w:t>
            </w:r>
            <w:r w:rsidRPr="00AB26B3">
              <w:rPr>
                <w:noProof/>
                <w:spacing w:val="-6"/>
                <w:lang w:val="sk-SK"/>
              </w:rPr>
              <w:t>oblasti klímy na úrovni 38,5</w:t>
            </w:r>
            <w:r w:rsidR="00AB26B3" w:rsidRPr="00AB26B3">
              <w:rPr>
                <w:noProof/>
                <w:spacing w:val="-6"/>
                <w:lang w:val="sk-SK"/>
              </w:rPr>
              <w:t> % a k </w:t>
            </w:r>
            <w:r w:rsidRPr="00AB26B3">
              <w:rPr>
                <w:noProof/>
                <w:spacing w:val="-6"/>
                <w:lang w:val="sk-SK"/>
              </w:rPr>
              <w:t>digitálnemu cieľu na úrovni 20,8</w:t>
            </w:r>
            <w:r w:rsidR="00AB26B3" w:rsidRPr="00AB26B3">
              <w:rPr>
                <w:noProof/>
                <w:spacing w:val="-6"/>
                <w:lang w:val="sk-SK"/>
              </w:rPr>
              <w:t> %</w:t>
            </w:r>
            <w:r w:rsidRPr="00AB26B3">
              <w:rPr>
                <w:noProof/>
                <w:spacing w:val="-6"/>
                <w:lang w:val="sk-SK"/>
              </w:rPr>
              <w:t>.</w:t>
            </w:r>
          </w:p>
        </w:tc>
      </w:tr>
      <w:tr w:rsidR="00302FC1" w:rsidRPr="00AB26B3" w14:paraId="147BF06C"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6D5BE91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326</w:t>
            </w:r>
          </w:p>
        </w:tc>
        <w:tc>
          <w:tcPr>
            <w:tcW w:w="1673" w:type="dxa"/>
            <w:tcBorders>
              <w:top w:val="single" w:sz="4" w:space="0" w:color="auto"/>
              <w:left w:val="nil"/>
              <w:bottom w:val="single" w:sz="4" w:space="0" w:color="auto"/>
              <w:right w:val="single" w:sz="4" w:space="0" w:color="auto"/>
            </w:tcBorders>
            <w:shd w:val="clear" w:color="auto" w:fill="C6EFCE"/>
            <w:noWrap/>
          </w:tcPr>
          <w:p w14:paraId="7A0A2BC9" w14:textId="4EAF87A4" w:rsidR="00302FC1" w:rsidRPr="00AB26B3" w:rsidRDefault="00D64F26">
            <w:pPr>
              <w:pStyle w:val="P68B1DB1-Normal13"/>
              <w:spacing w:after="0" w:line="240" w:lineRule="auto"/>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733EB7C6"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481D2D93" w14:textId="628758AE"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7064 mil.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c>
          <w:tcPr>
            <w:tcW w:w="1660" w:type="dxa"/>
            <w:tcBorders>
              <w:top w:val="single" w:sz="4" w:space="0" w:color="auto"/>
              <w:left w:val="nil"/>
              <w:bottom w:val="single" w:sz="4" w:space="0" w:color="auto"/>
              <w:right w:val="single" w:sz="4" w:space="0" w:color="auto"/>
            </w:tcBorders>
            <w:shd w:val="clear" w:color="auto" w:fill="C6EFCE"/>
            <w:noWrap/>
          </w:tcPr>
          <w:p w14:paraId="226A49F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62A4D30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Suma (v mil. eur) </w:t>
            </w:r>
          </w:p>
        </w:tc>
        <w:tc>
          <w:tcPr>
            <w:tcW w:w="1080" w:type="dxa"/>
            <w:tcBorders>
              <w:top w:val="single" w:sz="4" w:space="0" w:color="auto"/>
              <w:left w:val="nil"/>
              <w:bottom w:val="single" w:sz="4" w:space="0" w:color="auto"/>
              <w:right w:val="single" w:sz="4" w:space="0" w:color="auto"/>
            </w:tcBorders>
            <w:shd w:val="clear" w:color="auto" w:fill="C6EFCE"/>
            <w:noWrap/>
          </w:tcPr>
          <w:p w14:paraId="6840EA97"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4 518.4</w:t>
            </w:r>
          </w:p>
        </w:tc>
        <w:tc>
          <w:tcPr>
            <w:tcW w:w="840" w:type="dxa"/>
            <w:tcBorders>
              <w:top w:val="single" w:sz="4" w:space="0" w:color="auto"/>
              <w:left w:val="nil"/>
              <w:bottom w:val="single" w:sz="4" w:space="0" w:color="auto"/>
              <w:right w:val="single" w:sz="4" w:space="0" w:color="auto"/>
            </w:tcBorders>
            <w:shd w:val="clear" w:color="auto" w:fill="C6EFCE"/>
            <w:noWrap/>
          </w:tcPr>
          <w:p w14:paraId="1D749965"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7 064</w:t>
            </w:r>
          </w:p>
        </w:tc>
        <w:tc>
          <w:tcPr>
            <w:tcW w:w="960" w:type="dxa"/>
            <w:tcBorders>
              <w:top w:val="single" w:sz="4" w:space="0" w:color="auto"/>
              <w:left w:val="nil"/>
              <w:bottom w:val="single" w:sz="4" w:space="0" w:color="auto"/>
              <w:right w:val="single" w:sz="4" w:space="0" w:color="auto"/>
            </w:tcBorders>
            <w:shd w:val="clear" w:color="auto" w:fill="C6EFCE"/>
            <w:noWrap/>
          </w:tcPr>
          <w:p w14:paraId="1D2D78CE"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ŠTVRTÝ ŠTVRŤROK</w:t>
            </w:r>
          </w:p>
        </w:tc>
        <w:tc>
          <w:tcPr>
            <w:tcW w:w="840" w:type="dxa"/>
            <w:tcBorders>
              <w:top w:val="single" w:sz="4" w:space="0" w:color="auto"/>
              <w:left w:val="nil"/>
              <w:bottom w:val="single" w:sz="4" w:space="0" w:color="auto"/>
              <w:right w:val="single" w:sz="4" w:space="0" w:color="auto"/>
            </w:tcBorders>
            <w:shd w:val="clear" w:color="auto" w:fill="C6EFCE"/>
            <w:noWrap/>
          </w:tcPr>
          <w:p w14:paraId="74804AC1"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2024</w:t>
            </w:r>
          </w:p>
        </w:tc>
        <w:tc>
          <w:tcPr>
            <w:tcW w:w="4608" w:type="dxa"/>
            <w:tcBorders>
              <w:top w:val="single" w:sz="4" w:space="0" w:color="auto"/>
              <w:left w:val="nil"/>
              <w:bottom w:val="single" w:sz="4" w:space="0" w:color="auto"/>
              <w:right w:val="single" w:sz="4" w:space="0" w:color="auto"/>
            </w:tcBorders>
            <w:shd w:val="clear" w:color="auto" w:fill="C6EFCE"/>
            <w:noWrap/>
          </w:tcPr>
          <w:p w14:paraId="78C0B8BC" w14:textId="64EA7021"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 konečnými príjemcami bolo podpísaných 7064 mil. EUR (vrátane poplatkov za správu)</w:t>
            </w:r>
            <w:r w:rsidR="00AB26B3" w:rsidRPr="00AB26B3">
              <w:rPr>
                <w:noProof/>
                <w:spacing w:val="-6"/>
                <w:lang w:val="sk-SK"/>
              </w:rPr>
              <w:t xml:space="preserve"> z </w:t>
            </w:r>
            <w:r w:rsidRPr="00AB26B3">
              <w:rPr>
                <w:noProof/>
                <w:spacing w:val="-6"/>
                <w:lang w:val="sk-SK"/>
              </w:rPr>
              <w:t>finančných prostriedkov úverového nástroja Mechanizmu na podporu obnovy</w:t>
            </w:r>
            <w:r w:rsidR="00AB26B3" w:rsidRPr="00AB26B3">
              <w:rPr>
                <w:noProof/>
                <w:spacing w:val="-6"/>
                <w:lang w:val="sk-SK"/>
              </w:rPr>
              <w:t xml:space="preserve"> a </w:t>
            </w:r>
            <w:r w:rsidRPr="00AB26B3">
              <w:rPr>
                <w:noProof/>
                <w:spacing w:val="-6"/>
                <w:lang w:val="sk-SK"/>
              </w:rPr>
              <w:t>odolnosti súvisiacich</w:t>
            </w:r>
            <w:r w:rsidR="00AB26B3" w:rsidRPr="00AB26B3">
              <w:rPr>
                <w:noProof/>
                <w:spacing w:val="-6"/>
                <w:lang w:val="sk-SK"/>
              </w:rPr>
              <w:t xml:space="preserve"> s </w:t>
            </w:r>
            <w:r w:rsidRPr="00AB26B3">
              <w:rPr>
                <w:noProof/>
                <w:spacing w:val="-6"/>
                <w:lang w:val="sk-SK"/>
              </w:rPr>
              <w:t>medzinárodnými finančnými inštitúciami</w:t>
            </w:r>
            <w:r w:rsidR="00AB26B3" w:rsidRPr="00AB26B3">
              <w:rPr>
                <w:noProof/>
                <w:spacing w:val="-6"/>
                <w:lang w:val="sk-SK"/>
              </w:rPr>
              <w:t xml:space="preserve"> a </w:t>
            </w:r>
            <w:r w:rsidRPr="00AB26B3">
              <w:rPr>
                <w:noProof/>
                <w:spacing w:val="-6"/>
                <w:lang w:val="sk-SK"/>
              </w:rPr>
              <w:t>komerčnými bankami</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mandátom vymedzeným</w:t>
            </w:r>
            <w:r w:rsidR="00AB26B3" w:rsidRPr="00AB26B3">
              <w:rPr>
                <w:noProof/>
                <w:spacing w:val="-6"/>
                <w:lang w:val="sk-SK"/>
              </w:rPr>
              <w:t xml:space="preserve"> v </w:t>
            </w:r>
            <w:r w:rsidRPr="00AB26B3">
              <w:rPr>
                <w:noProof/>
                <w:spacing w:val="-6"/>
                <w:lang w:val="sk-SK"/>
              </w:rPr>
              <w:t>míľniku</w:t>
            </w:r>
            <w:r w:rsidR="00AB26B3" w:rsidRPr="00AB26B3">
              <w:rPr>
                <w:noProof/>
                <w:spacing w:val="-6"/>
                <w:lang w:val="sk-SK"/>
              </w:rPr>
              <w:t xml:space="preserve"> a </w:t>
            </w:r>
            <w:r w:rsidRPr="00AB26B3">
              <w:rPr>
                <w:noProof/>
                <w:spacing w:val="-6"/>
                <w:lang w:val="sk-SK"/>
              </w:rPr>
              <w:t>po tom, ako nezávislí audítori ex ante overili dodržiavanie kritérií správy, výberu, monitorovania</w:t>
            </w:r>
            <w:r w:rsidR="00AB26B3" w:rsidRPr="00AB26B3">
              <w:rPr>
                <w:noProof/>
                <w:spacing w:val="-6"/>
                <w:lang w:val="sk-SK"/>
              </w:rPr>
              <w:t xml:space="preserve"> a </w:t>
            </w:r>
            <w:r w:rsidRPr="00AB26B3">
              <w:rPr>
                <w:noProof/>
                <w:spacing w:val="-6"/>
                <w:lang w:val="sk-SK"/>
              </w:rPr>
              <w:t>auditu</w:t>
            </w:r>
            <w:r w:rsidR="00AB26B3" w:rsidRPr="00AB26B3">
              <w:rPr>
                <w:noProof/>
                <w:spacing w:val="-6"/>
                <w:lang w:val="sk-SK"/>
              </w:rPr>
              <w:t xml:space="preserve"> a </w:t>
            </w:r>
            <w:r w:rsidRPr="00AB26B3">
              <w:rPr>
                <w:noProof/>
                <w:spacing w:val="-6"/>
                <w:lang w:val="sk-SK"/>
              </w:rPr>
              <w:t>rozdelenia strát, technického usmernenia „výrazne nenarušiť“ (2021/C58/01)</w:t>
            </w:r>
            <w:r w:rsidR="00AB26B3" w:rsidRPr="00AB26B3">
              <w:rPr>
                <w:noProof/>
                <w:spacing w:val="-6"/>
                <w:lang w:val="sk-SK"/>
              </w:rPr>
              <w:t xml:space="preserve"> a </w:t>
            </w:r>
            <w:r w:rsidRPr="00AB26B3">
              <w:rPr>
                <w:noProof/>
                <w:spacing w:val="-6"/>
                <w:lang w:val="sk-SK"/>
              </w:rPr>
              <w:t>príspevku</w:t>
            </w:r>
            <w:r w:rsidR="00AB26B3" w:rsidRPr="00AB26B3">
              <w:rPr>
                <w:noProof/>
                <w:spacing w:val="-6"/>
                <w:lang w:val="sk-SK"/>
              </w:rPr>
              <w:t xml:space="preserve"> k </w:t>
            </w:r>
            <w:r w:rsidRPr="00AB26B3">
              <w:rPr>
                <w:noProof/>
                <w:spacing w:val="-6"/>
                <w:lang w:val="sk-SK"/>
              </w:rPr>
              <w:t>cieľu</w:t>
            </w:r>
            <w:r w:rsidR="00AB26B3" w:rsidRPr="00AB26B3">
              <w:rPr>
                <w:noProof/>
                <w:spacing w:val="-6"/>
                <w:lang w:val="sk-SK"/>
              </w:rPr>
              <w:t xml:space="preserve"> v </w:t>
            </w:r>
            <w:r w:rsidRPr="00AB26B3">
              <w:rPr>
                <w:noProof/>
                <w:spacing w:val="-6"/>
                <w:lang w:val="sk-SK"/>
              </w:rPr>
              <w:t>oblasti klímy na úrovni 41,5</w:t>
            </w:r>
            <w:r w:rsidR="00AB26B3" w:rsidRPr="00AB26B3">
              <w:rPr>
                <w:noProof/>
                <w:spacing w:val="-6"/>
                <w:lang w:val="sk-SK"/>
              </w:rPr>
              <w:t> % a k </w:t>
            </w:r>
            <w:r w:rsidRPr="00AB26B3">
              <w:rPr>
                <w:noProof/>
                <w:spacing w:val="-6"/>
                <w:lang w:val="sk-SK"/>
              </w:rPr>
              <w:t>digitálnemu cieľu na úrovni 20,8</w:t>
            </w:r>
            <w:r w:rsidR="00AB26B3" w:rsidRPr="00AB26B3">
              <w:rPr>
                <w:noProof/>
                <w:spacing w:val="-6"/>
                <w:lang w:val="sk-SK"/>
              </w:rPr>
              <w:t> %</w:t>
            </w:r>
            <w:r w:rsidRPr="00AB26B3">
              <w:rPr>
                <w:noProof/>
                <w:spacing w:val="-6"/>
                <w:lang w:val="sk-SK"/>
              </w:rPr>
              <w:t>.</w:t>
            </w:r>
          </w:p>
        </w:tc>
      </w:tr>
      <w:tr w:rsidR="00302FC1" w:rsidRPr="00AB26B3" w14:paraId="40B555A5"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71C316E7" w14:textId="77777777" w:rsidR="00302FC1" w:rsidRPr="00AB26B3" w:rsidRDefault="00D64F26">
            <w:pPr>
              <w:pStyle w:val="P68B1DB1-Normal13"/>
              <w:spacing w:after="0" w:line="240" w:lineRule="auto"/>
              <w:rPr>
                <w:rFonts w:eastAsia="Times New Roman"/>
                <w:noProof/>
                <w:spacing w:val="-6"/>
                <w:lang w:val="sk-SK"/>
              </w:rPr>
            </w:pPr>
            <w:r w:rsidRPr="00AB26B3">
              <w:rPr>
                <w:noProof/>
                <w:spacing w:val="-6"/>
                <w:lang w:val="sk-SK"/>
              </w:rPr>
              <w:t>327</w:t>
            </w:r>
          </w:p>
        </w:tc>
        <w:tc>
          <w:tcPr>
            <w:tcW w:w="1673" w:type="dxa"/>
            <w:tcBorders>
              <w:top w:val="single" w:sz="4" w:space="0" w:color="auto"/>
              <w:left w:val="nil"/>
              <w:bottom w:val="single" w:sz="4" w:space="0" w:color="auto"/>
              <w:right w:val="single" w:sz="4" w:space="0" w:color="auto"/>
            </w:tcBorders>
            <w:shd w:val="clear" w:color="auto" w:fill="C6EFCE"/>
            <w:noWrap/>
          </w:tcPr>
          <w:p w14:paraId="64529A8B" w14:textId="10BB09B3"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4FFFC5CC"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22541441" w14:textId="606867B1"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9800 miliónov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c>
          <w:tcPr>
            <w:tcW w:w="1660" w:type="dxa"/>
            <w:tcBorders>
              <w:top w:val="single" w:sz="4" w:space="0" w:color="auto"/>
              <w:left w:val="nil"/>
              <w:bottom w:val="single" w:sz="4" w:space="0" w:color="auto"/>
              <w:right w:val="single" w:sz="4" w:space="0" w:color="auto"/>
            </w:tcBorders>
            <w:shd w:val="clear" w:color="auto" w:fill="C6EFCE"/>
          </w:tcPr>
          <w:p w14:paraId="0E99BFB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3B5D32AA"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Suma (v</w:t>
            </w:r>
            <w:r w:rsidRPr="00AB26B3">
              <w:rPr>
                <w:noProof/>
                <w:spacing w:val="-6"/>
                <w:szCs w:val="18"/>
                <w:lang w:val="sk-SK"/>
              </w:rPr>
              <w:t>mil.</w:t>
            </w:r>
            <w:r w:rsidRPr="00AB26B3">
              <w:rPr>
                <w:noProof/>
                <w:spacing w:val="-6"/>
                <w:lang w:val="sk-SK"/>
              </w:rPr>
              <w:t xml:space="preserve"> EUR)</w:t>
            </w:r>
          </w:p>
        </w:tc>
        <w:tc>
          <w:tcPr>
            <w:tcW w:w="1080" w:type="dxa"/>
            <w:tcBorders>
              <w:top w:val="single" w:sz="4" w:space="0" w:color="auto"/>
              <w:left w:val="nil"/>
              <w:bottom w:val="single" w:sz="4" w:space="0" w:color="auto"/>
              <w:right w:val="single" w:sz="4" w:space="0" w:color="auto"/>
            </w:tcBorders>
            <w:shd w:val="clear" w:color="auto" w:fill="C6EFCE"/>
            <w:noWrap/>
          </w:tcPr>
          <w:p w14:paraId="016D7369" w14:textId="7D165B45"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7 064</w:t>
            </w:r>
          </w:p>
        </w:tc>
        <w:tc>
          <w:tcPr>
            <w:tcW w:w="840" w:type="dxa"/>
            <w:tcBorders>
              <w:top w:val="single" w:sz="4" w:space="0" w:color="auto"/>
              <w:left w:val="nil"/>
              <w:bottom w:val="single" w:sz="4" w:space="0" w:color="auto"/>
              <w:right w:val="single" w:sz="4" w:space="0" w:color="auto"/>
            </w:tcBorders>
            <w:shd w:val="clear" w:color="auto" w:fill="C6EFCE"/>
            <w:noWrap/>
          </w:tcPr>
          <w:p w14:paraId="5EF139D7" w14:textId="07E7636B"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9 800</w:t>
            </w:r>
          </w:p>
        </w:tc>
        <w:tc>
          <w:tcPr>
            <w:tcW w:w="960" w:type="dxa"/>
            <w:tcBorders>
              <w:top w:val="single" w:sz="4" w:space="0" w:color="auto"/>
              <w:left w:val="nil"/>
              <w:bottom w:val="single" w:sz="4" w:space="0" w:color="auto"/>
              <w:right w:val="single" w:sz="4" w:space="0" w:color="auto"/>
            </w:tcBorders>
            <w:shd w:val="clear" w:color="auto" w:fill="C6EFCE"/>
            <w:noWrap/>
          </w:tcPr>
          <w:p w14:paraId="6744DDDF"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ŠTVRTÝ ŠTVRŤROK</w:t>
            </w:r>
          </w:p>
        </w:tc>
        <w:tc>
          <w:tcPr>
            <w:tcW w:w="840" w:type="dxa"/>
            <w:tcBorders>
              <w:top w:val="single" w:sz="4" w:space="0" w:color="auto"/>
              <w:left w:val="nil"/>
              <w:bottom w:val="single" w:sz="4" w:space="0" w:color="auto"/>
              <w:right w:val="single" w:sz="4" w:space="0" w:color="auto"/>
            </w:tcBorders>
            <w:shd w:val="clear" w:color="auto" w:fill="C6EFCE"/>
            <w:noWrap/>
          </w:tcPr>
          <w:p w14:paraId="5800A77A"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2025</w:t>
            </w:r>
          </w:p>
        </w:tc>
        <w:tc>
          <w:tcPr>
            <w:tcW w:w="4608" w:type="dxa"/>
            <w:tcBorders>
              <w:top w:val="single" w:sz="4" w:space="0" w:color="auto"/>
              <w:left w:val="nil"/>
              <w:bottom w:val="single" w:sz="4" w:space="0" w:color="auto"/>
              <w:right w:val="single" w:sz="4" w:space="0" w:color="auto"/>
            </w:tcBorders>
            <w:shd w:val="clear" w:color="auto" w:fill="C6EFCE"/>
            <w:noWrap/>
          </w:tcPr>
          <w:p w14:paraId="2C25C9A4" w14:textId="36D07B68"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 xml:space="preserve">S </w:t>
            </w:r>
            <w:r w:rsidRPr="00AB26B3">
              <w:rPr>
                <w:noProof/>
                <w:spacing w:val="-6"/>
                <w:szCs w:val="18"/>
                <w:lang w:val="sk-SK"/>
              </w:rPr>
              <w:t>konečnými príjemcami bolo podpísaných 9800 miliónov EUR (vrátane poplatkov za správu)</w:t>
            </w:r>
            <w:r w:rsidR="00AB26B3" w:rsidRPr="00AB26B3">
              <w:rPr>
                <w:noProof/>
                <w:spacing w:val="-6"/>
                <w:szCs w:val="18"/>
                <w:lang w:val="sk-SK"/>
              </w:rPr>
              <w:t xml:space="preserve"> z </w:t>
            </w:r>
            <w:r w:rsidRPr="00AB26B3">
              <w:rPr>
                <w:noProof/>
                <w:spacing w:val="-6"/>
                <w:szCs w:val="18"/>
                <w:lang w:val="sk-SK"/>
              </w:rPr>
              <w:t>finančných prostriedkov úverového nástroja Mechanizmu na podporu obnovy</w:t>
            </w:r>
            <w:r w:rsidR="00AB26B3" w:rsidRPr="00AB26B3">
              <w:rPr>
                <w:noProof/>
                <w:spacing w:val="-6"/>
                <w:szCs w:val="18"/>
                <w:lang w:val="sk-SK"/>
              </w:rPr>
              <w:t xml:space="preserve"> a </w:t>
            </w:r>
            <w:r w:rsidRPr="00AB26B3">
              <w:rPr>
                <w:noProof/>
                <w:spacing w:val="-6"/>
                <w:szCs w:val="18"/>
                <w:lang w:val="sk-SK"/>
              </w:rPr>
              <w:t>odolnosti súvisiacich</w:t>
            </w:r>
            <w:r w:rsidR="00AB26B3" w:rsidRPr="00AB26B3">
              <w:rPr>
                <w:noProof/>
                <w:spacing w:val="-6"/>
                <w:szCs w:val="18"/>
                <w:lang w:val="sk-SK"/>
              </w:rPr>
              <w:t xml:space="preserve"> s </w:t>
            </w:r>
            <w:r w:rsidRPr="00AB26B3">
              <w:rPr>
                <w:noProof/>
                <w:spacing w:val="-6"/>
                <w:szCs w:val="18"/>
                <w:lang w:val="sk-SK"/>
              </w:rPr>
              <w:t>medzinárodnými finančnými inštitúciami</w:t>
            </w:r>
            <w:r w:rsidR="00AB26B3" w:rsidRPr="00AB26B3">
              <w:rPr>
                <w:noProof/>
                <w:spacing w:val="-6"/>
                <w:szCs w:val="18"/>
                <w:lang w:val="sk-SK"/>
              </w:rPr>
              <w:t xml:space="preserve"> a </w:t>
            </w:r>
            <w:r w:rsidRPr="00AB26B3">
              <w:rPr>
                <w:noProof/>
                <w:spacing w:val="-6"/>
                <w:szCs w:val="18"/>
                <w:lang w:val="sk-SK"/>
              </w:rPr>
              <w:t>komerčnými bankami</w:t>
            </w:r>
            <w:r w:rsidR="00AB26B3" w:rsidRPr="00AB26B3">
              <w:rPr>
                <w:noProof/>
                <w:spacing w:val="-6"/>
                <w:szCs w:val="18"/>
                <w:lang w:val="sk-SK"/>
              </w:rPr>
              <w:t xml:space="preserve"> v </w:t>
            </w:r>
            <w:r w:rsidRPr="00AB26B3">
              <w:rPr>
                <w:noProof/>
                <w:spacing w:val="-6"/>
                <w:szCs w:val="18"/>
                <w:lang w:val="sk-SK"/>
              </w:rPr>
              <w:t>súlade</w:t>
            </w:r>
            <w:r w:rsidR="00AB26B3" w:rsidRPr="00AB26B3">
              <w:rPr>
                <w:noProof/>
                <w:spacing w:val="-6"/>
                <w:szCs w:val="18"/>
                <w:lang w:val="sk-SK"/>
              </w:rPr>
              <w:t xml:space="preserve"> s </w:t>
            </w:r>
            <w:r w:rsidRPr="00AB26B3">
              <w:rPr>
                <w:noProof/>
                <w:spacing w:val="-6"/>
                <w:szCs w:val="18"/>
                <w:lang w:val="sk-SK"/>
              </w:rPr>
              <w:t>mandátom vymedzeným</w:t>
            </w:r>
            <w:r w:rsidR="00AB26B3" w:rsidRPr="00AB26B3">
              <w:rPr>
                <w:noProof/>
                <w:spacing w:val="-6"/>
                <w:szCs w:val="18"/>
                <w:lang w:val="sk-SK"/>
              </w:rPr>
              <w:t xml:space="preserve"> v </w:t>
            </w:r>
            <w:r w:rsidRPr="00AB26B3">
              <w:rPr>
                <w:noProof/>
                <w:spacing w:val="-6"/>
                <w:szCs w:val="18"/>
                <w:lang w:val="sk-SK"/>
              </w:rPr>
              <w:t>míľniku</w:t>
            </w:r>
            <w:r w:rsidR="00AB26B3" w:rsidRPr="00AB26B3">
              <w:rPr>
                <w:noProof/>
                <w:spacing w:val="-6"/>
                <w:szCs w:val="18"/>
                <w:lang w:val="sk-SK"/>
              </w:rPr>
              <w:t xml:space="preserve"> a </w:t>
            </w:r>
            <w:r w:rsidRPr="00AB26B3">
              <w:rPr>
                <w:noProof/>
                <w:spacing w:val="-6"/>
                <w:szCs w:val="18"/>
                <w:lang w:val="sk-SK"/>
              </w:rPr>
              <w:t>po tom, ako nezávislí audítori ex ante overili dodržiavanie kritérií správy, výberu, monitorovania</w:t>
            </w:r>
            <w:r w:rsidR="00AB26B3" w:rsidRPr="00AB26B3">
              <w:rPr>
                <w:noProof/>
                <w:spacing w:val="-6"/>
                <w:szCs w:val="18"/>
                <w:lang w:val="sk-SK"/>
              </w:rPr>
              <w:t xml:space="preserve"> a </w:t>
            </w:r>
            <w:r w:rsidRPr="00AB26B3">
              <w:rPr>
                <w:noProof/>
                <w:spacing w:val="-6"/>
                <w:szCs w:val="18"/>
                <w:lang w:val="sk-SK"/>
              </w:rPr>
              <w:t>auditu</w:t>
            </w:r>
            <w:r w:rsidR="00AB26B3" w:rsidRPr="00AB26B3">
              <w:rPr>
                <w:noProof/>
                <w:spacing w:val="-6"/>
                <w:szCs w:val="18"/>
                <w:lang w:val="sk-SK"/>
              </w:rPr>
              <w:t xml:space="preserve"> a </w:t>
            </w:r>
            <w:r w:rsidRPr="00AB26B3">
              <w:rPr>
                <w:noProof/>
                <w:spacing w:val="-6"/>
                <w:szCs w:val="18"/>
                <w:lang w:val="sk-SK"/>
              </w:rPr>
              <w:t>rozdelenia strát, technického usmernenia „výrazne nenarušiť“ (2021/C58/01)</w:t>
            </w:r>
            <w:r w:rsidR="00AB26B3" w:rsidRPr="00AB26B3">
              <w:rPr>
                <w:noProof/>
                <w:spacing w:val="-6"/>
                <w:szCs w:val="18"/>
                <w:lang w:val="sk-SK"/>
              </w:rPr>
              <w:t xml:space="preserve"> a </w:t>
            </w:r>
            <w:r w:rsidRPr="00AB26B3">
              <w:rPr>
                <w:noProof/>
                <w:spacing w:val="-6"/>
                <w:szCs w:val="18"/>
                <w:lang w:val="sk-SK"/>
              </w:rPr>
              <w:t>príspevku</w:t>
            </w:r>
            <w:r w:rsidR="00AB26B3" w:rsidRPr="00AB26B3">
              <w:rPr>
                <w:noProof/>
                <w:spacing w:val="-6"/>
                <w:szCs w:val="18"/>
                <w:lang w:val="sk-SK"/>
              </w:rPr>
              <w:t xml:space="preserve"> k </w:t>
            </w:r>
            <w:r w:rsidRPr="00AB26B3">
              <w:rPr>
                <w:noProof/>
                <w:spacing w:val="-6"/>
                <w:szCs w:val="18"/>
                <w:lang w:val="sk-SK"/>
              </w:rPr>
              <w:t>cieľu 48,98</w:t>
            </w:r>
            <w:r w:rsidR="00AB26B3" w:rsidRPr="00AB26B3">
              <w:rPr>
                <w:noProof/>
                <w:spacing w:val="-6"/>
                <w:szCs w:val="18"/>
                <w:lang w:val="sk-SK"/>
              </w:rPr>
              <w:t> % v </w:t>
            </w:r>
            <w:r w:rsidRPr="00AB26B3">
              <w:rPr>
                <w:noProof/>
                <w:spacing w:val="-6"/>
                <w:szCs w:val="18"/>
                <w:lang w:val="sk-SK"/>
              </w:rPr>
              <w:t>oblasti klímy</w:t>
            </w:r>
            <w:r w:rsidR="00AB26B3" w:rsidRPr="00AB26B3">
              <w:rPr>
                <w:noProof/>
                <w:spacing w:val="-6"/>
                <w:szCs w:val="18"/>
                <w:lang w:val="sk-SK"/>
              </w:rPr>
              <w:t xml:space="preserve"> a k </w:t>
            </w:r>
            <w:r w:rsidRPr="00AB26B3">
              <w:rPr>
                <w:noProof/>
                <w:spacing w:val="-6"/>
                <w:szCs w:val="18"/>
                <w:lang w:val="sk-SK"/>
              </w:rPr>
              <w:t>digitálnemu cieľu 24,19</w:t>
            </w:r>
            <w:r w:rsidR="00AB26B3" w:rsidRPr="00AB26B3">
              <w:rPr>
                <w:noProof/>
                <w:spacing w:val="-6"/>
                <w:szCs w:val="18"/>
                <w:lang w:val="sk-SK"/>
              </w:rPr>
              <w:t> %</w:t>
            </w:r>
            <w:r w:rsidRPr="00AB26B3">
              <w:rPr>
                <w:noProof/>
                <w:spacing w:val="-6"/>
                <w:szCs w:val="18"/>
                <w:lang w:val="sk-SK"/>
              </w:rPr>
              <w:t>.</w:t>
            </w:r>
          </w:p>
        </w:tc>
      </w:tr>
      <w:tr w:rsidR="00302FC1" w:rsidRPr="00AB26B3" w14:paraId="4496C44F"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07A37635" w14:textId="77777777" w:rsidR="00302FC1" w:rsidRPr="00AB26B3" w:rsidRDefault="00D64F26">
            <w:pPr>
              <w:pStyle w:val="P68B1DB1-Normal12"/>
              <w:spacing w:after="0" w:line="240" w:lineRule="auto"/>
              <w:rPr>
                <w:noProof/>
                <w:spacing w:val="-6"/>
                <w:lang w:val="sk-SK"/>
              </w:rPr>
            </w:pPr>
            <w:r w:rsidRPr="00AB26B3">
              <w:rPr>
                <w:noProof/>
                <w:spacing w:val="-6"/>
                <w:lang w:val="sk-SK"/>
              </w:rPr>
              <w:t>327a</w:t>
            </w:r>
          </w:p>
        </w:tc>
        <w:tc>
          <w:tcPr>
            <w:tcW w:w="1673" w:type="dxa"/>
            <w:tcBorders>
              <w:top w:val="single" w:sz="4" w:space="0" w:color="auto"/>
              <w:left w:val="nil"/>
              <w:bottom w:val="single" w:sz="4" w:space="0" w:color="auto"/>
              <w:right w:val="single" w:sz="4" w:space="0" w:color="auto"/>
            </w:tcBorders>
            <w:shd w:val="clear" w:color="auto" w:fill="C6EFCE"/>
            <w:noWrap/>
          </w:tcPr>
          <w:p w14:paraId="24FA8BDF" w14:textId="62F8F224" w:rsidR="00302FC1" w:rsidRPr="00AB26B3" w:rsidRDefault="00D64F26">
            <w:pPr>
              <w:pStyle w:val="P68B1DB1-Normal12"/>
              <w:spacing w:after="0" w:line="240" w:lineRule="auto"/>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3AD4C1D4"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0F1CB75D" w14:textId="424AB4A2" w:rsidR="00302FC1" w:rsidRPr="00AB26B3" w:rsidRDefault="00D64F26">
            <w:pPr>
              <w:pStyle w:val="P68B1DB1-Normal13"/>
              <w:spacing w:after="0" w:line="240" w:lineRule="auto"/>
              <w:rPr>
                <w:noProof/>
                <w:spacing w:val="-6"/>
                <w:szCs w:val="18"/>
                <w:lang w:val="sk-SK"/>
              </w:rPr>
            </w:pPr>
            <w:r w:rsidRPr="00AB26B3">
              <w:rPr>
                <w:noProof/>
                <w:spacing w:val="-6"/>
                <w:szCs w:val="18"/>
                <w:lang w:val="sk-SK"/>
              </w:rPr>
              <w:t>11500 mil. EUR</w:t>
            </w:r>
            <w:r w:rsidR="00AB26B3" w:rsidRPr="00AB26B3">
              <w:rPr>
                <w:noProof/>
                <w:spacing w:val="-6"/>
                <w:szCs w:val="18"/>
                <w:lang w:val="sk-SK"/>
              </w:rPr>
              <w:t xml:space="preserve"> z </w:t>
            </w:r>
            <w:r w:rsidRPr="00AB26B3">
              <w:rPr>
                <w:noProof/>
                <w:spacing w:val="-6"/>
                <w:szCs w:val="18"/>
                <w:lang w:val="sk-SK"/>
              </w:rPr>
              <w:t>finančných prostriedkov finančných inštitúcií podpísaných</w:t>
            </w:r>
            <w:r w:rsidR="00AB26B3" w:rsidRPr="00AB26B3">
              <w:rPr>
                <w:noProof/>
                <w:spacing w:val="-6"/>
                <w:szCs w:val="18"/>
                <w:lang w:val="sk-SK"/>
              </w:rPr>
              <w:t xml:space="preserve"> s </w:t>
            </w:r>
            <w:r w:rsidRPr="00AB26B3">
              <w:rPr>
                <w:noProof/>
                <w:spacing w:val="-6"/>
                <w:szCs w:val="18"/>
                <w:lang w:val="sk-SK"/>
              </w:rPr>
              <w:t>konečnými príjemcami</w:t>
            </w:r>
          </w:p>
        </w:tc>
        <w:tc>
          <w:tcPr>
            <w:tcW w:w="1660" w:type="dxa"/>
            <w:tcBorders>
              <w:top w:val="single" w:sz="4" w:space="0" w:color="auto"/>
              <w:left w:val="nil"/>
              <w:bottom w:val="single" w:sz="4" w:space="0" w:color="auto"/>
              <w:right w:val="single" w:sz="4" w:space="0" w:color="auto"/>
            </w:tcBorders>
            <w:shd w:val="clear" w:color="auto" w:fill="C6EFCE"/>
          </w:tcPr>
          <w:p w14:paraId="5BB319F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00F8E963" w14:textId="77777777" w:rsidR="00302FC1" w:rsidRPr="00AB26B3" w:rsidRDefault="00D64F26">
            <w:pPr>
              <w:pStyle w:val="P68B1DB1-Normal12"/>
              <w:spacing w:after="0" w:line="240" w:lineRule="auto"/>
              <w:rPr>
                <w:noProof/>
                <w:spacing w:val="-6"/>
                <w:lang w:val="sk-SK"/>
              </w:rPr>
            </w:pPr>
            <w:r w:rsidRPr="00AB26B3">
              <w:rPr>
                <w:noProof/>
                <w:spacing w:val="-6"/>
                <w:lang w:val="sk-SK"/>
              </w:rPr>
              <w:t>Suma (v miliónoch EUR)</w:t>
            </w:r>
          </w:p>
        </w:tc>
        <w:tc>
          <w:tcPr>
            <w:tcW w:w="1080" w:type="dxa"/>
            <w:tcBorders>
              <w:top w:val="single" w:sz="4" w:space="0" w:color="auto"/>
              <w:left w:val="nil"/>
              <w:bottom w:val="single" w:sz="4" w:space="0" w:color="auto"/>
              <w:right w:val="single" w:sz="4" w:space="0" w:color="auto"/>
            </w:tcBorders>
            <w:shd w:val="clear" w:color="auto" w:fill="C6EFCE"/>
            <w:noWrap/>
          </w:tcPr>
          <w:p w14:paraId="681E32B6" w14:textId="0424A1D3" w:rsidR="00302FC1" w:rsidRPr="00AB26B3" w:rsidRDefault="00D64F26">
            <w:pPr>
              <w:pStyle w:val="P68B1DB1-Normal13"/>
              <w:spacing w:after="0" w:line="240" w:lineRule="auto"/>
              <w:rPr>
                <w:noProof/>
                <w:spacing w:val="-6"/>
                <w:szCs w:val="18"/>
                <w:lang w:val="sk-SK"/>
              </w:rPr>
            </w:pPr>
            <w:r w:rsidRPr="00AB26B3">
              <w:rPr>
                <w:noProof/>
                <w:spacing w:val="-6"/>
                <w:szCs w:val="18"/>
                <w:lang w:val="sk-SK"/>
              </w:rPr>
              <w:t>9</w:t>
            </w:r>
            <w:r w:rsidRPr="00AB26B3">
              <w:rPr>
                <w:noProof/>
                <w:spacing w:val="-6"/>
                <w:lang w:val="sk-SK"/>
              </w:rPr>
              <w:t xml:space="preserve"> </w:t>
            </w:r>
            <w:r w:rsidRPr="00AB26B3">
              <w:rPr>
                <w:noProof/>
                <w:spacing w:val="-6"/>
                <w:szCs w:val="18"/>
                <w:lang w:val="sk-SK"/>
              </w:rPr>
              <w:t>800</w:t>
            </w:r>
          </w:p>
        </w:tc>
        <w:tc>
          <w:tcPr>
            <w:tcW w:w="840" w:type="dxa"/>
            <w:tcBorders>
              <w:top w:val="single" w:sz="4" w:space="0" w:color="auto"/>
              <w:left w:val="nil"/>
              <w:bottom w:val="single" w:sz="4" w:space="0" w:color="auto"/>
              <w:right w:val="single" w:sz="4" w:space="0" w:color="auto"/>
            </w:tcBorders>
            <w:shd w:val="clear" w:color="auto" w:fill="C6EFCE"/>
            <w:noWrap/>
          </w:tcPr>
          <w:p w14:paraId="698C4F5A" w14:textId="793BF38E" w:rsidR="00302FC1" w:rsidRPr="00AB26B3" w:rsidRDefault="00D64F26">
            <w:pPr>
              <w:pStyle w:val="P68B1DB1-Normal13"/>
              <w:spacing w:after="0" w:line="240" w:lineRule="auto"/>
              <w:rPr>
                <w:noProof/>
                <w:spacing w:val="-6"/>
                <w:szCs w:val="18"/>
                <w:lang w:val="sk-SK"/>
              </w:rPr>
            </w:pPr>
            <w:r w:rsidRPr="00AB26B3">
              <w:rPr>
                <w:noProof/>
                <w:spacing w:val="-6"/>
                <w:szCs w:val="18"/>
                <w:lang w:val="sk-SK"/>
              </w:rPr>
              <w:t>11</w:t>
            </w:r>
            <w:r w:rsidRPr="00AB26B3">
              <w:rPr>
                <w:noProof/>
                <w:spacing w:val="-6"/>
                <w:lang w:val="sk-SK"/>
              </w:rPr>
              <w:t xml:space="preserve"> </w:t>
            </w:r>
            <w:r w:rsidRPr="00AB26B3">
              <w:rPr>
                <w:noProof/>
                <w:spacing w:val="-6"/>
                <w:szCs w:val="18"/>
                <w:lang w:val="sk-SK"/>
              </w:rPr>
              <w:t>500</w:t>
            </w:r>
          </w:p>
        </w:tc>
        <w:tc>
          <w:tcPr>
            <w:tcW w:w="960" w:type="dxa"/>
            <w:tcBorders>
              <w:top w:val="single" w:sz="4" w:space="0" w:color="auto"/>
              <w:left w:val="nil"/>
              <w:bottom w:val="single" w:sz="4" w:space="0" w:color="auto"/>
              <w:right w:val="single" w:sz="4" w:space="0" w:color="auto"/>
            </w:tcBorders>
            <w:shd w:val="clear" w:color="auto" w:fill="C6EFCE"/>
            <w:noWrap/>
          </w:tcPr>
          <w:p w14:paraId="46CD0FD4"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840" w:type="dxa"/>
            <w:tcBorders>
              <w:top w:val="single" w:sz="4" w:space="0" w:color="auto"/>
              <w:left w:val="nil"/>
              <w:bottom w:val="single" w:sz="4" w:space="0" w:color="auto"/>
              <w:right w:val="single" w:sz="4" w:space="0" w:color="auto"/>
            </w:tcBorders>
            <w:shd w:val="clear" w:color="auto" w:fill="C6EFCE"/>
            <w:noWrap/>
          </w:tcPr>
          <w:p w14:paraId="43E51394"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4608" w:type="dxa"/>
            <w:tcBorders>
              <w:top w:val="single" w:sz="4" w:space="0" w:color="auto"/>
              <w:left w:val="nil"/>
              <w:bottom w:val="single" w:sz="4" w:space="0" w:color="auto"/>
              <w:right w:val="single" w:sz="4" w:space="0" w:color="auto"/>
            </w:tcBorders>
            <w:shd w:val="clear" w:color="auto" w:fill="C6EFCE"/>
            <w:noWrap/>
          </w:tcPr>
          <w:p w14:paraId="462CED42" w14:textId="62A82AE6" w:rsidR="00302FC1" w:rsidRPr="00AB26B3" w:rsidRDefault="00D64F26">
            <w:pPr>
              <w:pStyle w:val="P68B1DB1-Normal13"/>
              <w:spacing w:after="0" w:line="240" w:lineRule="auto"/>
              <w:rPr>
                <w:noProof/>
                <w:spacing w:val="-6"/>
                <w:szCs w:val="18"/>
                <w:lang w:val="sk-SK"/>
              </w:rPr>
            </w:pPr>
            <w:r w:rsidRPr="00AB26B3">
              <w:rPr>
                <w:noProof/>
                <w:spacing w:val="-6"/>
                <w:lang w:val="sk-SK"/>
              </w:rPr>
              <w:t xml:space="preserve">S </w:t>
            </w:r>
            <w:r w:rsidRPr="00AB26B3">
              <w:rPr>
                <w:noProof/>
                <w:spacing w:val="-6"/>
                <w:szCs w:val="18"/>
                <w:lang w:val="sk-SK"/>
              </w:rPr>
              <w:t>konečnými príjemcami bolo podpísaných 11500 milióna EUR (vrátane poplatkov za správu)</w:t>
            </w:r>
            <w:r w:rsidR="00AB26B3" w:rsidRPr="00AB26B3">
              <w:rPr>
                <w:noProof/>
                <w:spacing w:val="-6"/>
                <w:szCs w:val="18"/>
                <w:lang w:val="sk-SK"/>
              </w:rPr>
              <w:t xml:space="preserve"> z </w:t>
            </w:r>
            <w:r w:rsidRPr="00AB26B3">
              <w:rPr>
                <w:noProof/>
                <w:spacing w:val="-6"/>
                <w:szCs w:val="18"/>
                <w:lang w:val="sk-SK"/>
              </w:rPr>
              <w:t>finančných prostriedkov úverového nástroja Mechanizmu na podporu obnovy</w:t>
            </w:r>
            <w:r w:rsidR="00AB26B3" w:rsidRPr="00AB26B3">
              <w:rPr>
                <w:noProof/>
                <w:spacing w:val="-6"/>
                <w:szCs w:val="18"/>
                <w:lang w:val="sk-SK"/>
              </w:rPr>
              <w:t xml:space="preserve"> a </w:t>
            </w:r>
            <w:r w:rsidRPr="00AB26B3">
              <w:rPr>
                <w:noProof/>
                <w:spacing w:val="-6"/>
                <w:szCs w:val="18"/>
                <w:lang w:val="sk-SK"/>
              </w:rPr>
              <w:t>odolnosti súvisiacich</w:t>
            </w:r>
            <w:r w:rsidR="00AB26B3" w:rsidRPr="00AB26B3">
              <w:rPr>
                <w:noProof/>
                <w:spacing w:val="-6"/>
                <w:szCs w:val="18"/>
                <w:lang w:val="sk-SK"/>
              </w:rPr>
              <w:t xml:space="preserve"> s </w:t>
            </w:r>
            <w:r w:rsidRPr="00AB26B3">
              <w:rPr>
                <w:noProof/>
                <w:spacing w:val="-6"/>
                <w:szCs w:val="18"/>
                <w:lang w:val="sk-SK"/>
              </w:rPr>
              <w:t>medzinárodnými finančnými inštitúciami</w:t>
            </w:r>
            <w:r w:rsidR="00AB26B3" w:rsidRPr="00AB26B3">
              <w:rPr>
                <w:noProof/>
                <w:spacing w:val="-6"/>
                <w:szCs w:val="18"/>
                <w:lang w:val="sk-SK"/>
              </w:rPr>
              <w:t xml:space="preserve"> a </w:t>
            </w:r>
            <w:r w:rsidRPr="00AB26B3">
              <w:rPr>
                <w:noProof/>
                <w:spacing w:val="-6"/>
                <w:szCs w:val="18"/>
                <w:lang w:val="sk-SK"/>
              </w:rPr>
              <w:t>komerčnými bankami</w:t>
            </w:r>
            <w:r w:rsidR="00AB26B3" w:rsidRPr="00AB26B3">
              <w:rPr>
                <w:noProof/>
                <w:spacing w:val="-6"/>
                <w:szCs w:val="18"/>
                <w:lang w:val="sk-SK"/>
              </w:rPr>
              <w:t xml:space="preserve"> v </w:t>
            </w:r>
            <w:r w:rsidRPr="00AB26B3">
              <w:rPr>
                <w:noProof/>
                <w:spacing w:val="-6"/>
                <w:szCs w:val="18"/>
                <w:lang w:val="sk-SK"/>
              </w:rPr>
              <w:t>súlade</w:t>
            </w:r>
            <w:r w:rsidR="00AB26B3" w:rsidRPr="00AB26B3">
              <w:rPr>
                <w:noProof/>
                <w:spacing w:val="-6"/>
                <w:szCs w:val="18"/>
                <w:lang w:val="sk-SK"/>
              </w:rPr>
              <w:t xml:space="preserve"> s </w:t>
            </w:r>
            <w:r w:rsidRPr="00AB26B3">
              <w:rPr>
                <w:noProof/>
                <w:spacing w:val="-6"/>
                <w:szCs w:val="18"/>
                <w:lang w:val="sk-SK"/>
              </w:rPr>
              <w:t>mandátom vymedzeným</w:t>
            </w:r>
            <w:r w:rsidR="00AB26B3" w:rsidRPr="00AB26B3">
              <w:rPr>
                <w:noProof/>
                <w:spacing w:val="-6"/>
                <w:szCs w:val="18"/>
                <w:lang w:val="sk-SK"/>
              </w:rPr>
              <w:t xml:space="preserve"> v </w:t>
            </w:r>
            <w:r w:rsidRPr="00AB26B3">
              <w:rPr>
                <w:noProof/>
                <w:spacing w:val="-6"/>
                <w:szCs w:val="18"/>
                <w:lang w:val="sk-SK"/>
              </w:rPr>
              <w:t>míľniku</w:t>
            </w:r>
            <w:r w:rsidR="00AB26B3" w:rsidRPr="00AB26B3">
              <w:rPr>
                <w:noProof/>
                <w:spacing w:val="-6"/>
                <w:szCs w:val="18"/>
                <w:lang w:val="sk-SK"/>
              </w:rPr>
              <w:t xml:space="preserve"> a </w:t>
            </w:r>
            <w:r w:rsidRPr="00AB26B3">
              <w:rPr>
                <w:noProof/>
                <w:spacing w:val="-6"/>
                <w:szCs w:val="18"/>
                <w:lang w:val="sk-SK"/>
              </w:rPr>
              <w:t>po tom, ako nezávislí audítori ex ante overili dodržiavanie kritérií správy, výberu, monitorovania</w:t>
            </w:r>
            <w:r w:rsidR="00AB26B3" w:rsidRPr="00AB26B3">
              <w:rPr>
                <w:noProof/>
                <w:spacing w:val="-6"/>
                <w:szCs w:val="18"/>
                <w:lang w:val="sk-SK"/>
              </w:rPr>
              <w:t xml:space="preserve"> a </w:t>
            </w:r>
            <w:r w:rsidRPr="00AB26B3">
              <w:rPr>
                <w:noProof/>
                <w:spacing w:val="-6"/>
                <w:szCs w:val="18"/>
                <w:lang w:val="sk-SK"/>
              </w:rPr>
              <w:t>auditu</w:t>
            </w:r>
            <w:r w:rsidR="00AB26B3" w:rsidRPr="00AB26B3">
              <w:rPr>
                <w:noProof/>
                <w:spacing w:val="-6"/>
                <w:szCs w:val="18"/>
                <w:lang w:val="sk-SK"/>
              </w:rPr>
              <w:t xml:space="preserve"> a </w:t>
            </w:r>
            <w:r w:rsidRPr="00AB26B3">
              <w:rPr>
                <w:noProof/>
                <w:spacing w:val="-6"/>
                <w:szCs w:val="18"/>
                <w:lang w:val="sk-SK"/>
              </w:rPr>
              <w:t>rozdelenia strát, technického usmernenia „výrazne nenarušiť“ (2021/C58/01)</w:t>
            </w:r>
            <w:r w:rsidR="00AB26B3" w:rsidRPr="00AB26B3">
              <w:rPr>
                <w:noProof/>
                <w:spacing w:val="-6"/>
                <w:szCs w:val="18"/>
                <w:lang w:val="sk-SK"/>
              </w:rPr>
              <w:t xml:space="preserve"> a </w:t>
            </w:r>
            <w:r w:rsidRPr="00AB26B3">
              <w:rPr>
                <w:noProof/>
                <w:spacing w:val="-6"/>
                <w:szCs w:val="18"/>
                <w:lang w:val="sk-SK"/>
              </w:rPr>
              <w:t>príspevku</w:t>
            </w:r>
            <w:r w:rsidR="00AB26B3" w:rsidRPr="00AB26B3">
              <w:rPr>
                <w:noProof/>
                <w:spacing w:val="-6"/>
                <w:szCs w:val="18"/>
                <w:lang w:val="sk-SK"/>
              </w:rPr>
              <w:t xml:space="preserve"> k </w:t>
            </w:r>
            <w:r w:rsidRPr="00AB26B3">
              <w:rPr>
                <w:noProof/>
                <w:spacing w:val="-6"/>
                <w:szCs w:val="18"/>
                <w:lang w:val="sk-SK"/>
              </w:rPr>
              <w:t>cieľu 48,98</w:t>
            </w:r>
            <w:r w:rsidR="00AB26B3" w:rsidRPr="00AB26B3">
              <w:rPr>
                <w:noProof/>
                <w:spacing w:val="-6"/>
                <w:szCs w:val="18"/>
                <w:lang w:val="sk-SK"/>
              </w:rPr>
              <w:t> % v </w:t>
            </w:r>
            <w:r w:rsidRPr="00AB26B3">
              <w:rPr>
                <w:noProof/>
                <w:spacing w:val="-6"/>
                <w:szCs w:val="18"/>
                <w:lang w:val="sk-SK"/>
              </w:rPr>
              <w:t>oblasti klímy</w:t>
            </w:r>
            <w:r w:rsidR="00AB26B3" w:rsidRPr="00AB26B3">
              <w:rPr>
                <w:noProof/>
                <w:spacing w:val="-6"/>
                <w:szCs w:val="18"/>
                <w:lang w:val="sk-SK"/>
              </w:rPr>
              <w:t xml:space="preserve"> a k </w:t>
            </w:r>
            <w:r w:rsidRPr="00AB26B3">
              <w:rPr>
                <w:noProof/>
                <w:spacing w:val="-6"/>
                <w:szCs w:val="18"/>
                <w:lang w:val="sk-SK"/>
              </w:rPr>
              <w:t>digitálnemu cieľu 24,19</w:t>
            </w:r>
            <w:r w:rsidR="00AB26B3" w:rsidRPr="00AB26B3">
              <w:rPr>
                <w:noProof/>
                <w:spacing w:val="-6"/>
                <w:szCs w:val="18"/>
                <w:lang w:val="sk-SK"/>
              </w:rPr>
              <w:t> %</w:t>
            </w:r>
            <w:r w:rsidRPr="00AB26B3">
              <w:rPr>
                <w:noProof/>
                <w:spacing w:val="-6"/>
                <w:szCs w:val="18"/>
                <w:lang w:val="sk-SK"/>
              </w:rPr>
              <w:t>.</w:t>
            </w:r>
          </w:p>
        </w:tc>
      </w:tr>
      <w:tr w:rsidR="00302FC1" w:rsidRPr="00AB26B3" w14:paraId="27D703DF"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66F5E18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328</w:t>
            </w:r>
          </w:p>
        </w:tc>
        <w:tc>
          <w:tcPr>
            <w:tcW w:w="1673" w:type="dxa"/>
            <w:tcBorders>
              <w:top w:val="single" w:sz="4" w:space="0" w:color="auto"/>
              <w:left w:val="nil"/>
              <w:bottom w:val="single" w:sz="4" w:space="0" w:color="auto"/>
              <w:right w:val="single" w:sz="4" w:space="0" w:color="auto"/>
            </w:tcBorders>
            <w:shd w:val="clear" w:color="auto" w:fill="C6EFCE"/>
            <w:noWrap/>
          </w:tcPr>
          <w:p w14:paraId="01DA58FB" w14:textId="6A6EABC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3094539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4557FA30" w14:textId="35129245" w:rsidR="00302FC1" w:rsidRPr="00AB26B3" w:rsidRDefault="00D64F26">
            <w:pPr>
              <w:pStyle w:val="P68B1DB1-Normal13"/>
              <w:spacing w:after="0" w:line="240" w:lineRule="auto"/>
              <w:rPr>
                <w:rFonts w:eastAsia="Times New Roman"/>
                <w:noProof/>
                <w:spacing w:val="-6"/>
                <w:szCs w:val="18"/>
                <w:lang w:val="sk-SK"/>
              </w:rPr>
            </w:pPr>
            <w:r w:rsidRPr="00AB26B3">
              <w:rPr>
                <w:noProof/>
                <w:spacing w:val="-6"/>
                <w:szCs w:val="18"/>
                <w:lang w:val="sk-SK"/>
              </w:rPr>
              <w:t>13268 mil. EUR</w:t>
            </w:r>
            <w:r w:rsidR="00AB26B3" w:rsidRPr="00AB26B3">
              <w:rPr>
                <w:noProof/>
                <w:spacing w:val="-6"/>
                <w:lang w:val="sk-SK"/>
              </w:rPr>
              <w:t xml:space="preserve"> z </w:t>
            </w:r>
            <w:r w:rsidRPr="00AB26B3">
              <w:rPr>
                <w:noProof/>
                <w:spacing w:val="-6"/>
                <w:szCs w:val="18"/>
                <w:lang w:val="sk-SK"/>
              </w:rPr>
              <w:t>finančných prostriedkov finančných inštitúcií podpísaných</w:t>
            </w:r>
            <w:r w:rsidR="00AB26B3" w:rsidRPr="00AB26B3">
              <w:rPr>
                <w:noProof/>
                <w:spacing w:val="-6"/>
                <w:szCs w:val="18"/>
                <w:lang w:val="sk-SK"/>
              </w:rPr>
              <w:t xml:space="preserve"> s </w:t>
            </w:r>
            <w:r w:rsidRPr="00AB26B3">
              <w:rPr>
                <w:noProof/>
                <w:spacing w:val="-6"/>
                <w:szCs w:val="18"/>
                <w:lang w:val="sk-SK"/>
              </w:rPr>
              <w:t>konečnými príjemcami</w:t>
            </w:r>
          </w:p>
        </w:tc>
        <w:tc>
          <w:tcPr>
            <w:tcW w:w="1660" w:type="dxa"/>
            <w:tcBorders>
              <w:top w:val="single" w:sz="4" w:space="0" w:color="auto"/>
              <w:left w:val="nil"/>
              <w:bottom w:val="single" w:sz="4" w:space="0" w:color="auto"/>
              <w:right w:val="single" w:sz="4" w:space="0" w:color="auto"/>
            </w:tcBorders>
            <w:shd w:val="clear" w:color="auto" w:fill="C6EFCE"/>
          </w:tcPr>
          <w:p w14:paraId="5B25D99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5619E4C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Suma (v miliónoch EUR)</w:t>
            </w:r>
          </w:p>
        </w:tc>
        <w:tc>
          <w:tcPr>
            <w:tcW w:w="1080" w:type="dxa"/>
            <w:tcBorders>
              <w:top w:val="single" w:sz="4" w:space="0" w:color="auto"/>
              <w:left w:val="nil"/>
              <w:bottom w:val="single" w:sz="4" w:space="0" w:color="auto"/>
              <w:right w:val="single" w:sz="4" w:space="0" w:color="auto"/>
            </w:tcBorders>
            <w:shd w:val="clear" w:color="auto" w:fill="C6EFCE"/>
            <w:noWrap/>
          </w:tcPr>
          <w:p w14:paraId="3A6B6FFA" w14:textId="276567A3" w:rsidR="00302FC1" w:rsidRPr="00AB26B3" w:rsidRDefault="00D64F26">
            <w:pPr>
              <w:pStyle w:val="P68B1DB1-Normal13"/>
              <w:spacing w:after="0" w:line="240" w:lineRule="auto"/>
              <w:rPr>
                <w:rFonts w:eastAsia="Times New Roman"/>
                <w:noProof/>
                <w:spacing w:val="-6"/>
                <w:szCs w:val="18"/>
                <w:lang w:val="sk-SK"/>
              </w:rPr>
            </w:pPr>
            <w:r w:rsidRPr="00AB26B3">
              <w:rPr>
                <w:noProof/>
                <w:spacing w:val="-6"/>
                <w:szCs w:val="18"/>
                <w:lang w:val="sk-SK"/>
              </w:rPr>
              <w:t>11</w:t>
            </w:r>
            <w:r w:rsidRPr="00AB26B3">
              <w:rPr>
                <w:noProof/>
                <w:spacing w:val="-6"/>
                <w:lang w:val="sk-SK"/>
              </w:rPr>
              <w:t xml:space="preserve"> </w:t>
            </w:r>
            <w:r w:rsidRPr="00AB26B3">
              <w:rPr>
                <w:noProof/>
                <w:spacing w:val="-6"/>
                <w:szCs w:val="18"/>
                <w:lang w:val="sk-SK"/>
              </w:rPr>
              <w:t>500</w:t>
            </w:r>
          </w:p>
        </w:tc>
        <w:tc>
          <w:tcPr>
            <w:tcW w:w="840" w:type="dxa"/>
            <w:tcBorders>
              <w:top w:val="single" w:sz="4" w:space="0" w:color="auto"/>
              <w:left w:val="nil"/>
              <w:bottom w:val="single" w:sz="4" w:space="0" w:color="auto"/>
              <w:right w:val="single" w:sz="4" w:space="0" w:color="auto"/>
            </w:tcBorders>
            <w:shd w:val="clear" w:color="auto" w:fill="C6EFCE"/>
            <w:noWrap/>
          </w:tcPr>
          <w:p w14:paraId="46B3AC0D" w14:textId="243CDB3A" w:rsidR="00302FC1" w:rsidRPr="00AB26B3" w:rsidRDefault="00D64F26">
            <w:pPr>
              <w:pStyle w:val="P68B1DB1-Normal13"/>
              <w:spacing w:after="0" w:line="240" w:lineRule="auto"/>
              <w:rPr>
                <w:rFonts w:eastAsia="Times New Roman"/>
                <w:noProof/>
                <w:spacing w:val="-6"/>
                <w:szCs w:val="18"/>
                <w:lang w:val="sk-SK"/>
              </w:rPr>
            </w:pPr>
            <w:r w:rsidRPr="00AB26B3">
              <w:rPr>
                <w:noProof/>
                <w:spacing w:val="-6"/>
                <w:szCs w:val="18"/>
                <w:lang w:val="sk-SK"/>
              </w:rPr>
              <w:t>13</w:t>
            </w:r>
            <w:r w:rsidRPr="00AB26B3">
              <w:rPr>
                <w:noProof/>
                <w:spacing w:val="-6"/>
                <w:lang w:val="sk-SK"/>
              </w:rPr>
              <w:t xml:space="preserve"> </w:t>
            </w:r>
            <w:r w:rsidRPr="00AB26B3">
              <w:rPr>
                <w:noProof/>
                <w:spacing w:val="-6"/>
                <w:szCs w:val="18"/>
                <w:lang w:val="sk-SK"/>
              </w:rPr>
              <w:t>268</w:t>
            </w:r>
          </w:p>
        </w:tc>
        <w:tc>
          <w:tcPr>
            <w:tcW w:w="960" w:type="dxa"/>
            <w:tcBorders>
              <w:top w:val="single" w:sz="4" w:space="0" w:color="auto"/>
              <w:left w:val="nil"/>
              <w:bottom w:val="single" w:sz="4" w:space="0" w:color="auto"/>
              <w:right w:val="single" w:sz="4" w:space="0" w:color="auto"/>
            </w:tcBorders>
            <w:shd w:val="clear" w:color="auto" w:fill="C6EFCE"/>
            <w:noWrap/>
          </w:tcPr>
          <w:p w14:paraId="75DC4D9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40" w:type="dxa"/>
            <w:tcBorders>
              <w:top w:val="single" w:sz="4" w:space="0" w:color="auto"/>
              <w:left w:val="nil"/>
              <w:bottom w:val="single" w:sz="4" w:space="0" w:color="auto"/>
              <w:right w:val="single" w:sz="4" w:space="0" w:color="auto"/>
            </w:tcBorders>
            <w:shd w:val="clear" w:color="auto" w:fill="C6EFCE"/>
            <w:noWrap/>
          </w:tcPr>
          <w:p w14:paraId="1F99255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2026</w:t>
            </w:r>
          </w:p>
        </w:tc>
        <w:tc>
          <w:tcPr>
            <w:tcW w:w="4608" w:type="dxa"/>
            <w:tcBorders>
              <w:top w:val="single" w:sz="4" w:space="0" w:color="auto"/>
              <w:left w:val="nil"/>
              <w:bottom w:val="single" w:sz="4" w:space="0" w:color="auto"/>
              <w:right w:val="single" w:sz="4" w:space="0" w:color="auto"/>
            </w:tcBorders>
            <w:shd w:val="clear" w:color="auto" w:fill="C6EFCE"/>
            <w:noWrap/>
          </w:tcPr>
          <w:p w14:paraId="51398CAF" w14:textId="36828645"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 xml:space="preserve">S </w:t>
            </w:r>
            <w:r w:rsidRPr="00AB26B3">
              <w:rPr>
                <w:noProof/>
                <w:spacing w:val="-6"/>
                <w:szCs w:val="18"/>
                <w:lang w:val="sk-SK"/>
              </w:rPr>
              <w:t>konečnými príjemcami bolo podpísaných 13268 milióna EUR (vrátane poplatkov za správu)</w:t>
            </w:r>
            <w:r w:rsidR="00AB26B3" w:rsidRPr="00AB26B3">
              <w:rPr>
                <w:noProof/>
                <w:spacing w:val="-6"/>
                <w:szCs w:val="18"/>
                <w:lang w:val="sk-SK"/>
              </w:rPr>
              <w:t xml:space="preserve"> z </w:t>
            </w:r>
            <w:r w:rsidRPr="00AB26B3">
              <w:rPr>
                <w:noProof/>
                <w:spacing w:val="-6"/>
                <w:szCs w:val="18"/>
                <w:lang w:val="sk-SK"/>
              </w:rPr>
              <w:t>finančných prostriedkov úverového nástroja Mechanizmu na podporu obnovy</w:t>
            </w:r>
            <w:r w:rsidR="00AB26B3" w:rsidRPr="00AB26B3">
              <w:rPr>
                <w:noProof/>
                <w:spacing w:val="-6"/>
                <w:szCs w:val="18"/>
                <w:lang w:val="sk-SK"/>
              </w:rPr>
              <w:t xml:space="preserve"> a </w:t>
            </w:r>
            <w:r w:rsidRPr="00AB26B3">
              <w:rPr>
                <w:noProof/>
                <w:spacing w:val="-6"/>
                <w:szCs w:val="18"/>
                <w:lang w:val="sk-SK"/>
              </w:rPr>
              <w:t>odolnosti súvisiacich</w:t>
            </w:r>
            <w:r w:rsidR="00AB26B3" w:rsidRPr="00AB26B3">
              <w:rPr>
                <w:noProof/>
                <w:spacing w:val="-6"/>
                <w:szCs w:val="18"/>
                <w:lang w:val="sk-SK"/>
              </w:rPr>
              <w:t xml:space="preserve"> s </w:t>
            </w:r>
            <w:r w:rsidRPr="00AB26B3">
              <w:rPr>
                <w:noProof/>
                <w:spacing w:val="-6"/>
                <w:szCs w:val="18"/>
                <w:lang w:val="sk-SK"/>
              </w:rPr>
              <w:t>medzinárodnými finančnými inštitúciami</w:t>
            </w:r>
            <w:r w:rsidR="00AB26B3" w:rsidRPr="00AB26B3">
              <w:rPr>
                <w:noProof/>
                <w:spacing w:val="-6"/>
                <w:szCs w:val="18"/>
                <w:lang w:val="sk-SK"/>
              </w:rPr>
              <w:t xml:space="preserve"> a </w:t>
            </w:r>
            <w:r w:rsidRPr="00AB26B3">
              <w:rPr>
                <w:noProof/>
                <w:spacing w:val="-6"/>
                <w:szCs w:val="18"/>
                <w:lang w:val="sk-SK"/>
              </w:rPr>
              <w:t>komerčnými bankami</w:t>
            </w:r>
            <w:r w:rsidR="00AB26B3" w:rsidRPr="00AB26B3">
              <w:rPr>
                <w:noProof/>
                <w:spacing w:val="-6"/>
                <w:szCs w:val="18"/>
                <w:lang w:val="sk-SK"/>
              </w:rPr>
              <w:t xml:space="preserve"> v </w:t>
            </w:r>
            <w:r w:rsidRPr="00AB26B3">
              <w:rPr>
                <w:noProof/>
                <w:spacing w:val="-6"/>
                <w:szCs w:val="18"/>
                <w:lang w:val="sk-SK"/>
              </w:rPr>
              <w:t>súlade</w:t>
            </w:r>
            <w:r w:rsidR="00AB26B3" w:rsidRPr="00AB26B3">
              <w:rPr>
                <w:noProof/>
                <w:spacing w:val="-6"/>
                <w:szCs w:val="18"/>
                <w:lang w:val="sk-SK"/>
              </w:rPr>
              <w:t xml:space="preserve"> s </w:t>
            </w:r>
            <w:r w:rsidRPr="00AB26B3">
              <w:rPr>
                <w:noProof/>
                <w:spacing w:val="-6"/>
                <w:szCs w:val="18"/>
                <w:lang w:val="sk-SK"/>
              </w:rPr>
              <w:t>mandátom vymedzeným</w:t>
            </w:r>
            <w:r w:rsidR="00AB26B3" w:rsidRPr="00AB26B3">
              <w:rPr>
                <w:noProof/>
                <w:spacing w:val="-6"/>
                <w:szCs w:val="18"/>
                <w:lang w:val="sk-SK"/>
              </w:rPr>
              <w:t xml:space="preserve"> v </w:t>
            </w:r>
            <w:r w:rsidRPr="00AB26B3">
              <w:rPr>
                <w:noProof/>
                <w:spacing w:val="-6"/>
                <w:szCs w:val="18"/>
                <w:lang w:val="sk-SK"/>
              </w:rPr>
              <w:t>míľniku</w:t>
            </w:r>
            <w:r w:rsidR="00AB26B3" w:rsidRPr="00AB26B3">
              <w:rPr>
                <w:noProof/>
                <w:spacing w:val="-6"/>
                <w:szCs w:val="18"/>
                <w:lang w:val="sk-SK"/>
              </w:rPr>
              <w:t xml:space="preserve"> a </w:t>
            </w:r>
            <w:r w:rsidRPr="00AB26B3">
              <w:rPr>
                <w:noProof/>
                <w:spacing w:val="-6"/>
                <w:szCs w:val="18"/>
                <w:lang w:val="sk-SK"/>
              </w:rPr>
              <w:t>po tom, ako nezávislí</w:t>
            </w:r>
            <w:bookmarkStart w:id="7" w:name="_Hlk208221188"/>
            <w:r w:rsidRPr="00AB26B3">
              <w:rPr>
                <w:noProof/>
                <w:spacing w:val="-6"/>
                <w:szCs w:val="18"/>
                <w:lang w:val="sk-SK"/>
              </w:rPr>
              <w:t>audítori ex ante overili súlad</w:t>
            </w:r>
            <w:r w:rsidR="00AB26B3" w:rsidRPr="00AB26B3">
              <w:rPr>
                <w:noProof/>
                <w:spacing w:val="-6"/>
                <w:szCs w:val="18"/>
                <w:lang w:val="sk-SK"/>
              </w:rPr>
              <w:t xml:space="preserve"> s </w:t>
            </w:r>
            <w:r w:rsidRPr="00AB26B3">
              <w:rPr>
                <w:noProof/>
                <w:spacing w:val="-6"/>
                <w:szCs w:val="18"/>
                <w:lang w:val="sk-SK"/>
              </w:rPr>
              <w:t>kritériami riadenia, výberu, monitorovania</w:t>
            </w:r>
            <w:r w:rsidR="00AB26B3" w:rsidRPr="00AB26B3">
              <w:rPr>
                <w:noProof/>
                <w:spacing w:val="-6"/>
                <w:szCs w:val="18"/>
                <w:lang w:val="sk-SK"/>
              </w:rPr>
              <w:t xml:space="preserve"> a </w:t>
            </w:r>
            <w:r w:rsidRPr="00AB26B3">
              <w:rPr>
                <w:noProof/>
                <w:spacing w:val="-6"/>
                <w:szCs w:val="18"/>
                <w:lang w:val="sk-SK"/>
              </w:rPr>
              <w:t>auditu</w:t>
            </w:r>
            <w:r w:rsidR="00AB26B3" w:rsidRPr="00AB26B3">
              <w:rPr>
                <w:noProof/>
                <w:spacing w:val="-6"/>
                <w:szCs w:val="18"/>
                <w:lang w:val="sk-SK"/>
              </w:rPr>
              <w:t xml:space="preserve"> a </w:t>
            </w:r>
            <w:r w:rsidRPr="00AB26B3">
              <w:rPr>
                <w:noProof/>
                <w:spacing w:val="-6"/>
                <w:szCs w:val="18"/>
                <w:lang w:val="sk-SK"/>
              </w:rPr>
              <w:t>rozdelenia strát, technickými usmerneniami Do No No No Significant Harm Technical Guidance (2021/C58/01)</w:t>
            </w:r>
            <w:r w:rsidR="00AB26B3" w:rsidRPr="00AB26B3">
              <w:rPr>
                <w:noProof/>
                <w:spacing w:val="-6"/>
                <w:szCs w:val="18"/>
                <w:lang w:val="sk-SK"/>
              </w:rPr>
              <w:t xml:space="preserve"> a </w:t>
            </w:r>
            <w:r w:rsidRPr="00AB26B3">
              <w:rPr>
                <w:noProof/>
                <w:spacing w:val="-6"/>
                <w:szCs w:val="18"/>
                <w:lang w:val="sk-SK"/>
              </w:rPr>
              <w:t>príspevok</w:t>
            </w:r>
            <w:r w:rsidR="00AB26B3" w:rsidRPr="00AB26B3">
              <w:rPr>
                <w:noProof/>
                <w:spacing w:val="-6"/>
                <w:szCs w:val="18"/>
                <w:lang w:val="sk-SK"/>
              </w:rPr>
              <w:t xml:space="preserve"> k </w:t>
            </w:r>
            <w:r w:rsidRPr="00AB26B3">
              <w:rPr>
                <w:noProof/>
                <w:spacing w:val="-6"/>
                <w:szCs w:val="18"/>
                <w:lang w:val="sk-SK"/>
              </w:rPr>
              <w:t>cieľu</w:t>
            </w:r>
            <w:r w:rsidR="00AB26B3" w:rsidRPr="00AB26B3">
              <w:rPr>
                <w:noProof/>
                <w:spacing w:val="-6"/>
                <w:szCs w:val="18"/>
                <w:lang w:val="sk-SK"/>
              </w:rPr>
              <w:t xml:space="preserve"> v </w:t>
            </w:r>
            <w:r w:rsidRPr="00AB26B3">
              <w:rPr>
                <w:noProof/>
                <w:spacing w:val="-6"/>
                <w:szCs w:val="18"/>
                <w:lang w:val="sk-SK"/>
              </w:rPr>
              <w:t>oblasti klímy na úrovni 48,98</w:t>
            </w:r>
            <w:r w:rsidR="00AB26B3" w:rsidRPr="00AB26B3">
              <w:rPr>
                <w:noProof/>
                <w:spacing w:val="-6"/>
                <w:szCs w:val="18"/>
                <w:lang w:val="sk-SK"/>
              </w:rPr>
              <w:t> % a k </w:t>
            </w:r>
            <w:r w:rsidRPr="00AB26B3">
              <w:rPr>
                <w:noProof/>
                <w:spacing w:val="-6"/>
                <w:szCs w:val="18"/>
                <w:lang w:val="sk-SK"/>
              </w:rPr>
              <w:t>digitálnemu cieľu na úrovni 24,19</w:t>
            </w:r>
            <w:r w:rsidR="00AB26B3" w:rsidRPr="00AB26B3">
              <w:rPr>
                <w:noProof/>
                <w:spacing w:val="-6"/>
                <w:szCs w:val="18"/>
                <w:lang w:val="sk-SK"/>
              </w:rPr>
              <w:t> %</w:t>
            </w:r>
            <w:r w:rsidRPr="00AB26B3">
              <w:rPr>
                <w:noProof/>
                <w:spacing w:val="-6"/>
                <w:szCs w:val="18"/>
                <w:lang w:val="sk-SK"/>
              </w:rPr>
              <w:t>.</w:t>
            </w:r>
            <w:bookmarkEnd w:id="7"/>
          </w:p>
        </w:tc>
      </w:tr>
      <w:tr w:rsidR="00302FC1" w:rsidRPr="00AB26B3" w14:paraId="6064052C"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7EBC43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328a</w:t>
            </w:r>
          </w:p>
        </w:tc>
        <w:tc>
          <w:tcPr>
            <w:tcW w:w="1673" w:type="dxa"/>
            <w:tcBorders>
              <w:top w:val="single" w:sz="4" w:space="0" w:color="auto"/>
              <w:left w:val="nil"/>
              <w:bottom w:val="single" w:sz="4" w:space="0" w:color="auto"/>
              <w:right w:val="single" w:sz="4" w:space="0" w:color="auto"/>
            </w:tcBorders>
            <w:shd w:val="clear" w:color="auto" w:fill="C6EFCE"/>
            <w:noWrap/>
          </w:tcPr>
          <w:p w14:paraId="1784B541" w14:textId="496516E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592A402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40" w:type="dxa"/>
            <w:tcBorders>
              <w:top w:val="single" w:sz="4" w:space="0" w:color="auto"/>
              <w:left w:val="nil"/>
              <w:bottom w:val="single" w:sz="4" w:space="0" w:color="auto"/>
              <w:right w:val="single" w:sz="4" w:space="0" w:color="auto"/>
            </w:tcBorders>
            <w:shd w:val="clear" w:color="auto" w:fill="C6EFCE"/>
            <w:noWrap/>
          </w:tcPr>
          <w:p w14:paraId="44ECD5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Úverový nástroj – Ministerstvo financií dokončilo investíciu</w:t>
            </w:r>
          </w:p>
        </w:tc>
        <w:tc>
          <w:tcPr>
            <w:tcW w:w="1660" w:type="dxa"/>
            <w:tcBorders>
              <w:top w:val="single" w:sz="4" w:space="0" w:color="auto"/>
              <w:left w:val="nil"/>
              <w:bottom w:val="single" w:sz="4" w:space="0" w:color="auto"/>
              <w:right w:val="single" w:sz="4" w:space="0" w:color="auto"/>
            </w:tcBorders>
            <w:shd w:val="clear" w:color="auto" w:fill="C6EFCE"/>
          </w:tcPr>
          <w:p w14:paraId="4CCF9F60" w14:textId="1871565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Osvedčenie</w:t>
            </w:r>
            <w:r w:rsidR="00AB26B3" w:rsidRPr="00AB26B3">
              <w:rPr>
                <w:noProof/>
                <w:spacing w:val="-6"/>
                <w:lang w:val="sk-SK"/>
              </w:rPr>
              <w:t xml:space="preserve"> o </w:t>
            </w:r>
            <w:r w:rsidRPr="00AB26B3">
              <w:rPr>
                <w:noProof/>
                <w:spacing w:val="-6"/>
                <w:lang w:val="sk-SK"/>
              </w:rPr>
              <w:t>premiestnení</w:t>
            </w:r>
          </w:p>
        </w:tc>
        <w:tc>
          <w:tcPr>
            <w:tcW w:w="1080" w:type="dxa"/>
            <w:tcBorders>
              <w:top w:val="single" w:sz="4" w:space="0" w:color="auto"/>
              <w:left w:val="nil"/>
              <w:bottom w:val="single" w:sz="4" w:space="0" w:color="auto"/>
              <w:right w:val="single" w:sz="4" w:space="0" w:color="auto"/>
            </w:tcBorders>
            <w:shd w:val="clear" w:color="auto" w:fill="C6EFCE"/>
            <w:noWrap/>
          </w:tcPr>
          <w:p w14:paraId="5422142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3A6C9DD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0" w:type="dxa"/>
            <w:tcBorders>
              <w:top w:val="single" w:sz="4" w:space="0" w:color="auto"/>
              <w:left w:val="nil"/>
              <w:bottom w:val="single" w:sz="4" w:space="0" w:color="auto"/>
              <w:right w:val="single" w:sz="4" w:space="0" w:color="auto"/>
            </w:tcBorders>
            <w:shd w:val="clear" w:color="auto" w:fill="C6EFCE"/>
            <w:noWrap/>
          </w:tcPr>
          <w:p w14:paraId="73F05AB5"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60" w:type="dxa"/>
            <w:tcBorders>
              <w:top w:val="single" w:sz="4" w:space="0" w:color="auto"/>
              <w:left w:val="nil"/>
              <w:bottom w:val="single" w:sz="4" w:space="0" w:color="auto"/>
              <w:right w:val="single" w:sz="4" w:space="0" w:color="auto"/>
            </w:tcBorders>
            <w:shd w:val="clear" w:color="auto" w:fill="C6EFCE"/>
            <w:noWrap/>
          </w:tcPr>
          <w:p w14:paraId="66D4B98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40" w:type="dxa"/>
            <w:tcBorders>
              <w:top w:val="single" w:sz="4" w:space="0" w:color="auto"/>
              <w:left w:val="nil"/>
              <w:bottom w:val="single" w:sz="4" w:space="0" w:color="auto"/>
              <w:right w:val="single" w:sz="4" w:space="0" w:color="auto"/>
            </w:tcBorders>
            <w:shd w:val="clear" w:color="auto" w:fill="C6EFCE"/>
            <w:noWrap/>
          </w:tcPr>
          <w:p w14:paraId="09DE5FE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2026</w:t>
            </w:r>
          </w:p>
        </w:tc>
        <w:tc>
          <w:tcPr>
            <w:tcW w:w="4608" w:type="dxa"/>
            <w:tcBorders>
              <w:top w:val="single" w:sz="4" w:space="0" w:color="auto"/>
              <w:left w:val="nil"/>
              <w:bottom w:val="single" w:sz="4" w:space="0" w:color="auto"/>
              <w:right w:val="single" w:sz="4" w:space="0" w:color="auto"/>
            </w:tcBorders>
            <w:shd w:val="clear" w:color="auto" w:fill="C6EFCE"/>
            <w:noWrap/>
          </w:tcPr>
          <w:p w14:paraId="33124EC1" w14:textId="230A394D" w:rsidR="00302FC1" w:rsidRPr="00AB26B3" w:rsidRDefault="00D64F26">
            <w:pPr>
              <w:pStyle w:val="P68B1DB1-Normal13"/>
              <w:spacing w:after="0" w:line="240" w:lineRule="auto"/>
              <w:rPr>
                <w:rFonts w:eastAsia="Times New Roman"/>
                <w:noProof/>
                <w:spacing w:val="-6"/>
                <w:szCs w:val="18"/>
                <w:lang w:val="sk-SK"/>
              </w:rPr>
            </w:pPr>
            <w:r w:rsidRPr="00AB26B3">
              <w:rPr>
                <w:noProof/>
                <w:spacing w:val="-6"/>
                <w:szCs w:val="18"/>
                <w:lang w:val="sk-SK"/>
              </w:rPr>
              <w:t>Grécko prevedie 13268 milióna EUR medzinárodným finančným inštitúciám</w:t>
            </w:r>
            <w:r w:rsidR="00AB26B3" w:rsidRPr="00AB26B3">
              <w:rPr>
                <w:noProof/>
                <w:spacing w:val="-6"/>
                <w:szCs w:val="18"/>
                <w:lang w:val="sk-SK"/>
              </w:rPr>
              <w:t xml:space="preserve"> a </w:t>
            </w:r>
            <w:r w:rsidRPr="00AB26B3">
              <w:rPr>
                <w:noProof/>
                <w:spacing w:val="-6"/>
                <w:szCs w:val="18"/>
                <w:lang w:val="sk-SK"/>
              </w:rPr>
              <w:t>komerčným bankám na úverový nástroj.</w:t>
            </w:r>
          </w:p>
        </w:tc>
      </w:tr>
      <w:tr w:rsidR="00302FC1" w:rsidRPr="00AB26B3" w14:paraId="0A9F72C6"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782758A0" w14:textId="77777777" w:rsidR="00302FC1" w:rsidRPr="00AB26B3" w:rsidRDefault="00D64F26">
            <w:pPr>
              <w:pStyle w:val="P68B1DB1-Normal12"/>
              <w:spacing w:after="0" w:line="240" w:lineRule="auto"/>
              <w:rPr>
                <w:noProof/>
                <w:spacing w:val="-6"/>
                <w:lang w:val="sk-SK"/>
              </w:rPr>
            </w:pPr>
            <w:r w:rsidRPr="00AB26B3">
              <w:rPr>
                <w:noProof/>
                <w:spacing w:val="-6"/>
                <w:lang w:val="sk-SK"/>
              </w:rPr>
              <w:t>329</w:t>
            </w:r>
          </w:p>
        </w:tc>
        <w:tc>
          <w:tcPr>
            <w:tcW w:w="1673" w:type="dxa"/>
            <w:tcBorders>
              <w:top w:val="single" w:sz="4" w:space="0" w:color="auto"/>
              <w:left w:val="nil"/>
              <w:bottom w:val="single" w:sz="4" w:space="0" w:color="auto"/>
              <w:right w:val="single" w:sz="4" w:space="0" w:color="auto"/>
            </w:tcBorders>
            <w:shd w:val="clear" w:color="auto" w:fill="C6EFCE"/>
            <w:noWrap/>
          </w:tcPr>
          <w:p w14:paraId="187FE4B1" w14:textId="526960E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7D7529C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12D16C9A" w14:textId="1B4278A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Právne dohody podpísané</w:t>
            </w:r>
            <w:r w:rsidR="00AB26B3" w:rsidRPr="00AB26B3">
              <w:rPr>
                <w:noProof/>
                <w:spacing w:val="-6"/>
                <w:lang w:val="sk-SK"/>
              </w:rPr>
              <w:t xml:space="preserve"> s </w:t>
            </w:r>
            <w:r w:rsidRPr="00AB26B3">
              <w:rPr>
                <w:noProof/>
                <w:spacing w:val="-6"/>
                <w:lang w:val="sk-SK"/>
              </w:rPr>
              <w:t>finančnými prostriedkami – 500 miliónov EUR</w:t>
            </w:r>
          </w:p>
        </w:tc>
        <w:tc>
          <w:tcPr>
            <w:tcW w:w="1660" w:type="dxa"/>
            <w:tcBorders>
              <w:top w:val="single" w:sz="4" w:space="0" w:color="auto"/>
              <w:left w:val="nil"/>
              <w:bottom w:val="single" w:sz="4" w:space="0" w:color="auto"/>
              <w:right w:val="single" w:sz="4" w:space="0" w:color="auto"/>
            </w:tcBorders>
            <w:shd w:val="clear" w:color="auto" w:fill="C6EFCE"/>
          </w:tcPr>
          <w:p w14:paraId="073FFC3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3CBC245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Suma (v miliónoch EUR)</w:t>
            </w:r>
          </w:p>
        </w:tc>
        <w:tc>
          <w:tcPr>
            <w:tcW w:w="1080" w:type="dxa"/>
            <w:tcBorders>
              <w:top w:val="single" w:sz="4" w:space="0" w:color="auto"/>
              <w:left w:val="nil"/>
              <w:bottom w:val="single" w:sz="4" w:space="0" w:color="auto"/>
              <w:right w:val="single" w:sz="4" w:space="0" w:color="auto"/>
            </w:tcBorders>
            <w:shd w:val="clear" w:color="auto" w:fill="C6EFCE"/>
            <w:noWrap/>
          </w:tcPr>
          <w:p w14:paraId="18CA432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840" w:type="dxa"/>
            <w:tcBorders>
              <w:top w:val="single" w:sz="4" w:space="0" w:color="auto"/>
              <w:left w:val="nil"/>
              <w:bottom w:val="single" w:sz="4" w:space="0" w:color="auto"/>
              <w:right w:val="single" w:sz="4" w:space="0" w:color="auto"/>
            </w:tcBorders>
            <w:shd w:val="clear" w:color="auto" w:fill="C6EFCE"/>
            <w:noWrap/>
          </w:tcPr>
          <w:p w14:paraId="2F3158F9" w14:textId="1220EEF8" w:rsidR="00302FC1" w:rsidRPr="00AB26B3" w:rsidRDefault="00D64F26">
            <w:pPr>
              <w:pStyle w:val="P68B1DB1-Normal12"/>
              <w:spacing w:after="0" w:line="240" w:lineRule="auto"/>
              <w:rPr>
                <w:noProof/>
                <w:spacing w:val="-6"/>
                <w:lang w:val="sk-SK"/>
              </w:rPr>
            </w:pPr>
            <w:r w:rsidRPr="00AB26B3">
              <w:rPr>
                <w:noProof/>
                <w:spacing w:val="-6"/>
                <w:lang w:val="sk-SK"/>
              </w:rPr>
              <w:t>500</w:t>
            </w:r>
          </w:p>
        </w:tc>
        <w:tc>
          <w:tcPr>
            <w:tcW w:w="960" w:type="dxa"/>
            <w:tcBorders>
              <w:top w:val="single" w:sz="4" w:space="0" w:color="auto"/>
              <w:left w:val="nil"/>
              <w:bottom w:val="single" w:sz="4" w:space="0" w:color="auto"/>
              <w:right w:val="single" w:sz="4" w:space="0" w:color="auto"/>
            </w:tcBorders>
            <w:shd w:val="clear" w:color="auto" w:fill="C6EFCE"/>
            <w:noWrap/>
          </w:tcPr>
          <w:p w14:paraId="132F0EF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40" w:type="dxa"/>
            <w:tcBorders>
              <w:top w:val="single" w:sz="4" w:space="0" w:color="auto"/>
              <w:left w:val="nil"/>
              <w:bottom w:val="single" w:sz="4" w:space="0" w:color="auto"/>
              <w:right w:val="single" w:sz="4" w:space="0" w:color="auto"/>
            </w:tcBorders>
            <w:shd w:val="clear" w:color="auto" w:fill="C6EFCE"/>
            <w:noWrap/>
          </w:tcPr>
          <w:p w14:paraId="0F5DF0A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608" w:type="dxa"/>
            <w:tcBorders>
              <w:top w:val="single" w:sz="4" w:space="0" w:color="auto"/>
              <w:left w:val="nil"/>
              <w:bottom w:val="single" w:sz="4" w:space="0" w:color="auto"/>
              <w:right w:val="single" w:sz="4" w:space="0" w:color="auto"/>
            </w:tcBorders>
            <w:shd w:val="clear" w:color="auto" w:fill="C6EFCE"/>
            <w:noWrap/>
          </w:tcPr>
          <w:p w14:paraId="21E5DEC2" w14:textId="1DF58AD5" w:rsidR="00302FC1" w:rsidRPr="00AB26B3" w:rsidRDefault="00D64F26">
            <w:pPr>
              <w:pStyle w:val="P68B1DB1-Normal12"/>
              <w:spacing w:after="0" w:line="240" w:lineRule="auto"/>
              <w:rPr>
                <w:noProof/>
                <w:spacing w:val="-6"/>
                <w:lang w:val="sk-SK"/>
              </w:rPr>
            </w:pPr>
            <w:r w:rsidRPr="00AB26B3">
              <w:rPr>
                <w:noProof/>
                <w:spacing w:val="-6"/>
                <w:lang w:val="sk-SK"/>
              </w:rPr>
              <w:t>Helénska rozvojová banka investícií uzavrie právne dohody</w:t>
            </w:r>
            <w:r w:rsidR="00AB26B3" w:rsidRPr="00AB26B3">
              <w:rPr>
                <w:noProof/>
                <w:spacing w:val="-6"/>
                <w:lang w:val="sk-SK"/>
              </w:rPr>
              <w:t xml:space="preserve"> o </w:t>
            </w:r>
            <w:r w:rsidRPr="00AB26B3">
              <w:rPr>
                <w:noProof/>
                <w:spacing w:val="-6"/>
                <w:lang w:val="sk-SK"/>
              </w:rPr>
              <w:t>financovaní</w:t>
            </w:r>
            <w:r w:rsidR="00AB26B3" w:rsidRPr="00AB26B3">
              <w:rPr>
                <w:noProof/>
                <w:spacing w:val="-6"/>
                <w:lang w:val="sk-SK"/>
              </w:rPr>
              <w:t xml:space="preserve"> s </w:t>
            </w:r>
            <w:r w:rsidRPr="00AB26B3">
              <w:rPr>
                <w:noProof/>
                <w:spacing w:val="-6"/>
                <w:lang w:val="sk-SK"/>
              </w:rPr>
              <w:t>finančnými prostriedkami vo výške potrebnej na použitie kapitálovej podpory vo výške najmenej 500 miliónov EUR (s prihliadnutím na poplatky za správu).</w:t>
            </w:r>
          </w:p>
        </w:tc>
      </w:tr>
      <w:tr w:rsidR="00302FC1" w:rsidRPr="00AB26B3" w14:paraId="25484B08"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2202D58C" w14:textId="77777777" w:rsidR="00302FC1" w:rsidRPr="00AB26B3" w:rsidRDefault="00D64F26">
            <w:pPr>
              <w:pStyle w:val="P68B1DB1-Normal12"/>
              <w:spacing w:after="0" w:line="240" w:lineRule="auto"/>
              <w:rPr>
                <w:noProof/>
                <w:spacing w:val="-6"/>
                <w:lang w:val="sk-SK"/>
              </w:rPr>
            </w:pPr>
            <w:r w:rsidRPr="00AB26B3">
              <w:rPr>
                <w:noProof/>
                <w:spacing w:val="-6"/>
                <w:lang w:val="sk-SK"/>
              </w:rPr>
              <w:t>329a</w:t>
            </w:r>
          </w:p>
        </w:tc>
        <w:tc>
          <w:tcPr>
            <w:tcW w:w="1673" w:type="dxa"/>
            <w:tcBorders>
              <w:top w:val="single" w:sz="4" w:space="0" w:color="auto"/>
              <w:left w:val="nil"/>
              <w:bottom w:val="single" w:sz="4" w:space="0" w:color="auto"/>
              <w:right w:val="single" w:sz="4" w:space="0" w:color="auto"/>
            </w:tcBorders>
            <w:shd w:val="clear" w:color="auto" w:fill="C6EFCE"/>
            <w:noWrap/>
          </w:tcPr>
          <w:p w14:paraId="61C71780" w14:textId="4B916228" w:rsidR="00302FC1" w:rsidRPr="00AB26B3" w:rsidRDefault="00D64F26">
            <w:pPr>
              <w:pStyle w:val="P68B1DB1-Normal12"/>
              <w:spacing w:after="0" w:line="240" w:lineRule="auto"/>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2DDD79D2"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24972B7B" w14:textId="60DAD12E" w:rsidR="00302FC1" w:rsidRPr="00AB26B3" w:rsidRDefault="00D64F26">
            <w:pPr>
              <w:pStyle w:val="P68B1DB1-Normal12"/>
              <w:spacing w:after="0" w:line="240" w:lineRule="auto"/>
              <w:rPr>
                <w:noProof/>
                <w:spacing w:val="-6"/>
                <w:lang w:val="sk-SK"/>
              </w:rPr>
            </w:pPr>
            <w:r w:rsidRPr="00AB26B3">
              <w:rPr>
                <w:noProof/>
                <w:spacing w:val="-6"/>
                <w:lang w:val="sk-SK"/>
              </w:rPr>
              <w:t>Podpísané právne dohody</w:t>
            </w:r>
            <w:r w:rsidR="00AB26B3" w:rsidRPr="00AB26B3">
              <w:rPr>
                <w:noProof/>
                <w:spacing w:val="-6"/>
                <w:lang w:val="sk-SK"/>
              </w:rPr>
              <w:t xml:space="preserve"> s </w:t>
            </w:r>
            <w:r w:rsidRPr="00AB26B3">
              <w:rPr>
                <w:noProof/>
                <w:spacing w:val="-6"/>
                <w:lang w:val="sk-SK"/>
              </w:rPr>
              <w:t>finančnými prostriedkami – 600 miliónov EUR</w:t>
            </w:r>
          </w:p>
        </w:tc>
        <w:tc>
          <w:tcPr>
            <w:tcW w:w="1660" w:type="dxa"/>
            <w:tcBorders>
              <w:top w:val="single" w:sz="4" w:space="0" w:color="auto"/>
              <w:left w:val="nil"/>
              <w:bottom w:val="single" w:sz="4" w:space="0" w:color="auto"/>
              <w:right w:val="single" w:sz="4" w:space="0" w:color="auto"/>
            </w:tcBorders>
            <w:shd w:val="clear" w:color="auto" w:fill="C6EFCE"/>
          </w:tcPr>
          <w:p w14:paraId="566BDE6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033F2122" w14:textId="77777777" w:rsidR="00302FC1" w:rsidRPr="00AB26B3" w:rsidRDefault="00D64F26">
            <w:pPr>
              <w:pStyle w:val="P68B1DB1-Normal12"/>
              <w:spacing w:after="0" w:line="240" w:lineRule="auto"/>
              <w:rPr>
                <w:noProof/>
                <w:spacing w:val="-6"/>
                <w:lang w:val="sk-SK"/>
              </w:rPr>
            </w:pPr>
            <w:r w:rsidRPr="00AB26B3">
              <w:rPr>
                <w:noProof/>
                <w:spacing w:val="-6"/>
                <w:lang w:val="sk-SK"/>
              </w:rPr>
              <w:t>Suma (v miliónoch EUR)</w:t>
            </w:r>
          </w:p>
        </w:tc>
        <w:tc>
          <w:tcPr>
            <w:tcW w:w="1080" w:type="dxa"/>
            <w:tcBorders>
              <w:top w:val="single" w:sz="4" w:space="0" w:color="auto"/>
              <w:left w:val="nil"/>
              <w:bottom w:val="single" w:sz="4" w:space="0" w:color="auto"/>
              <w:right w:val="single" w:sz="4" w:space="0" w:color="auto"/>
            </w:tcBorders>
            <w:shd w:val="clear" w:color="auto" w:fill="C6EFCE"/>
            <w:noWrap/>
          </w:tcPr>
          <w:p w14:paraId="27E6CC6D" w14:textId="77777777" w:rsidR="00302FC1" w:rsidRPr="00AB26B3" w:rsidRDefault="00D64F26">
            <w:pPr>
              <w:pStyle w:val="P68B1DB1-Normal12"/>
              <w:spacing w:after="0" w:line="240" w:lineRule="auto"/>
              <w:rPr>
                <w:noProof/>
                <w:spacing w:val="-6"/>
                <w:lang w:val="sk-SK"/>
              </w:rPr>
            </w:pPr>
            <w:r w:rsidRPr="00AB26B3">
              <w:rPr>
                <w:noProof/>
                <w:spacing w:val="-6"/>
                <w:lang w:val="sk-SK"/>
              </w:rPr>
              <w:t>500</w:t>
            </w:r>
          </w:p>
        </w:tc>
        <w:tc>
          <w:tcPr>
            <w:tcW w:w="840" w:type="dxa"/>
            <w:tcBorders>
              <w:top w:val="single" w:sz="4" w:space="0" w:color="auto"/>
              <w:left w:val="nil"/>
              <w:bottom w:val="single" w:sz="4" w:space="0" w:color="auto"/>
              <w:right w:val="single" w:sz="4" w:space="0" w:color="auto"/>
            </w:tcBorders>
            <w:shd w:val="clear" w:color="auto" w:fill="C6EFCE"/>
            <w:noWrap/>
          </w:tcPr>
          <w:p w14:paraId="5C3D387B" w14:textId="77777777" w:rsidR="00302FC1" w:rsidRPr="00AB26B3" w:rsidRDefault="00D64F26">
            <w:pPr>
              <w:pStyle w:val="P68B1DB1-Normal12"/>
              <w:spacing w:after="0" w:line="240" w:lineRule="auto"/>
              <w:rPr>
                <w:noProof/>
                <w:spacing w:val="-6"/>
                <w:lang w:val="sk-SK"/>
              </w:rPr>
            </w:pPr>
            <w:r w:rsidRPr="00AB26B3">
              <w:rPr>
                <w:noProof/>
                <w:spacing w:val="-6"/>
                <w:lang w:val="sk-SK"/>
              </w:rPr>
              <w:t>600</w:t>
            </w:r>
          </w:p>
        </w:tc>
        <w:tc>
          <w:tcPr>
            <w:tcW w:w="960" w:type="dxa"/>
            <w:tcBorders>
              <w:top w:val="single" w:sz="4" w:space="0" w:color="auto"/>
              <w:left w:val="nil"/>
              <w:bottom w:val="single" w:sz="4" w:space="0" w:color="auto"/>
              <w:right w:val="single" w:sz="4" w:space="0" w:color="auto"/>
            </w:tcBorders>
            <w:shd w:val="clear" w:color="auto" w:fill="C6EFCE"/>
            <w:noWrap/>
          </w:tcPr>
          <w:p w14:paraId="33ACB115"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840" w:type="dxa"/>
            <w:tcBorders>
              <w:top w:val="single" w:sz="4" w:space="0" w:color="auto"/>
              <w:left w:val="nil"/>
              <w:bottom w:val="single" w:sz="4" w:space="0" w:color="auto"/>
              <w:right w:val="single" w:sz="4" w:space="0" w:color="auto"/>
            </w:tcBorders>
            <w:shd w:val="clear" w:color="auto" w:fill="C6EFCE"/>
            <w:noWrap/>
          </w:tcPr>
          <w:p w14:paraId="031249C6"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4608" w:type="dxa"/>
            <w:tcBorders>
              <w:top w:val="single" w:sz="4" w:space="0" w:color="auto"/>
              <w:left w:val="nil"/>
              <w:bottom w:val="single" w:sz="4" w:space="0" w:color="auto"/>
              <w:right w:val="single" w:sz="4" w:space="0" w:color="auto"/>
            </w:tcBorders>
            <w:shd w:val="clear" w:color="auto" w:fill="C6EFCE"/>
            <w:noWrap/>
          </w:tcPr>
          <w:p w14:paraId="6FA4EDEB" w14:textId="69043637" w:rsidR="00302FC1" w:rsidRPr="00AB26B3" w:rsidRDefault="00D64F26">
            <w:pPr>
              <w:pStyle w:val="P68B1DB1-Normal12"/>
              <w:spacing w:after="0" w:line="240" w:lineRule="auto"/>
              <w:rPr>
                <w:noProof/>
                <w:spacing w:val="-6"/>
                <w:lang w:val="sk-SK"/>
              </w:rPr>
            </w:pPr>
            <w:r w:rsidRPr="00AB26B3">
              <w:rPr>
                <w:noProof/>
                <w:spacing w:val="-6"/>
                <w:lang w:val="sk-SK"/>
              </w:rPr>
              <w:t>Helénska rozvojová banka investícií uzavrie právne dohody</w:t>
            </w:r>
            <w:r w:rsidR="00AB26B3" w:rsidRPr="00AB26B3">
              <w:rPr>
                <w:noProof/>
                <w:spacing w:val="-6"/>
                <w:lang w:val="sk-SK"/>
              </w:rPr>
              <w:t xml:space="preserve"> o </w:t>
            </w:r>
            <w:r w:rsidRPr="00AB26B3">
              <w:rPr>
                <w:noProof/>
                <w:spacing w:val="-6"/>
                <w:lang w:val="sk-SK"/>
              </w:rPr>
              <w:t>financovaní</w:t>
            </w:r>
            <w:r w:rsidR="00AB26B3" w:rsidRPr="00AB26B3">
              <w:rPr>
                <w:noProof/>
                <w:spacing w:val="-6"/>
                <w:lang w:val="sk-SK"/>
              </w:rPr>
              <w:t xml:space="preserve"> s </w:t>
            </w:r>
            <w:r w:rsidRPr="00AB26B3">
              <w:rPr>
                <w:noProof/>
                <w:spacing w:val="-6"/>
                <w:lang w:val="sk-SK"/>
              </w:rPr>
              <w:t>finančnými prostriedkami vo výške potrebnej na použitie kapitálovej podpory vo výške najmenej 600 miliónov EUR (s prihliadnutím na poplatky za správu).</w:t>
            </w:r>
          </w:p>
        </w:tc>
      </w:tr>
      <w:tr w:rsidR="00302FC1" w:rsidRPr="00AB26B3" w14:paraId="0B9A1E13"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617349A5" w14:textId="77777777" w:rsidR="00302FC1" w:rsidRPr="00AB26B3" w:rsidRDefault="00D64F26">
            <w:pPr>
              <w:pStyle w:val="P68B1DB1-Normal12"/>
              <w:spacing w:after="0" w:line="240" w:lineRule="auto"/>
              <w:rPr>
                <w:noProof/>
                <w:spacing w:val="-6"/>
                <w:lang w:val="sk-SK"/>
              </w:rPr>
            </w:pPr>
            <w:r w:rsidRPr="00AB26B3">
              <w:rPr>
                <w:noProof/>
                <w:spacing w:val="-6"/>
                <w:lang w:val="sk-SK"/>
              </w:rPr>
              <w:t>330</w:t>
            </w:r>
          </w:p>
        </w:tc>
        <w:tc>
          <w:tcPr>
            <w:tcW w:w="1673" w:type="dxa"/>
            <w:tcBorders>
              <w:top w:val="single" w:sz="4" w:space="0" w:color="auto"/>
              <w:left w:val="nil"/>
              <w:bottom w:val="single" w:sz="4" w:space="0" w:color="auto"/>
              <w:right w:val="single" w:sz="4" w:space="0" w:color="auto"/>
            </w:tcBorders>
            <w:shd w:val="clear" w:color="auto" w:fill="C6EFCE"/>
            <w:noWrap/>
          </w:tcPr>
          <w:p w14:paraId="1EDD33AF" w14:textId="355EBE0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271473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56AF28A7" w14:textId="5EDDD9D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Schválenie operácií</w:t>
            </w:r>
            <w:r w:rsidR="00AB26B3" w:rsidRPr="00AB26B3">
              <w:rPr>
                <w:noProof/>
                <w:spacing w:val="-6"/>
                <w:lang w:val="sk-SK"/>
              </w:rPr>
              <w:t xml:space="preserve"> v </w:t>
            </w:r>
            <w:r w:rsidRPr="00AB26B3">
              <w:rPr>
                <w:noProof/>
                <w:spacing w:val="-6"/>
                <w:lang w:val="sk-SK"/>
              </w:rPr>
              <w:t>rámci Programu InvestEU vo výške 500 miliónov EUR</w:t>
            </w:r>
          </w:p>
        </w:tc>
        <w:tc>
          <w:tcPr>
            <w:tcW w:w="1660" w:type="dxa"/>
            <w:tcBorders>
              <w:top w:val="single" w:sz="4" w:space="0" w:color="auto"/>
              <w:left w:val="nil"/>
              <w:bottom w:val="single" w:sz="4" w:space="0" w:color="auto"/>
              <w:right w:val="single" w:sz="4" w:space="0" w:color="auto"/>
            </w:tcBorders>
            <w:shd w:val="clear" w:color="auto" w:fill="C6EFCE"/>
          </w:tcPr>
          <w:p w14:paraId="18B7704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505C077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Suma (v miliónoch EUR)</w:t>
            </w:r>
          </w:p>
        </w:tc>
        <w:tc>
          <w:tcPr>
            <w:tcW w:w="1080" w:type="dxa"/>
            <w:tcBorders>
              <w:top w:val="single" w:sz="4" w:space="0" w:color="auto"/>
              <w:left w:val="nil"/>
              <w:bottom w:val="single" w:sz="4" w:space="0" w:color="auto"/>
              <w:right w:val="single" w:sz="4" w:space="0" w:color="auto"/>
            </w:tcBorders>
            <w:shd w:val="clear" w:color="auto" w:fill="C6EFCE"/>
            <w:noWrap/>
          </w:tcPr>
          <w:p w14:paraId="7596999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840" w:type="dxa"/>
            <w:tcBorders>
              <w:top w:val="single" w:sz="4" w:space="0" w:color="auto"/>
              <w:left w:val="nil"/>
              <w:bottom w:val="single" w:sz="4" w:space="0" w:color="auto"/>
              <w:right w:val="single" w:sz="4" w:space="0" w:color="auto"/>
            </w:tcBorders>
            <w:shd w:val="clear" w:color="auto" w:fill="C6EFCE"/>
            <w:noWrap/>
          </w:tcPr>
          <w:p w14:paraId="2D8E6B3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500</w:t>
            </w:r>
          </w:p>
        </w:tc>
        <w:tc>
          <w:tcPr>
            <w:tcW w:w="960" w:type="dxa"/>
            <w:tcBorders>
              <w:top w:val="single" w:sz="4" w:space="0" w:color="auto"/>
              <w:left w:val="nil"/>
              <w:bottom w:val="single" w:sz="4" w:space="0" w:color="auto"/>
              <w:right w:val="single" w:sz="4" w:space="0" w:color="auto"/>
            </w:tcBorders>
            <w:shd w:val="clear" w:color="auto" w:fill="C6EFCE"/>
            <w:noWrap/>
          </w:tcPr>
          <w:p w14:paraId="4BB46D3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840" w:type="dxa"/>
            <w:tcBorders>
              <w:top w:val="single" w:sz="4" w:space="0" w:color="auto"/>
              <w:left w:val="nil"/>
              <w:bottom w:val="single" w:sz="4" w:space="0" w:color="auto"/>
              <w:right w:val="single" w:sz="4" w:space="0" w:color="auto"/>
            </w:tcBorders>
            <w:shd w:val="clear" w:color="auto" w:fill="C6EFCE"/>
            <w:noWrap/>
          </w:tcPr>
          <w:p w14:paraId="63CE5BA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4608" w:type="dxa"/>
            <w:tcBorders>
              <w:top w:val="single" w:sz="4" w:space="0" w:color="auto"/>
              <w:left w:val="nil"/>
              <w:bottom w:val="single" w:sz="4" w:space="0" w:color="auto"/>
              <w:right w:val="single" w:sz="4" w:space="0" w:color="auto"/>
            </w:tcBorders>
            <w:shd w:val="clear" w:color="auto" w:fill="C6EFCE"/>
            <w:noWrap/>
          </w:tcPr>
          <w:p w14:paraId="7E9DED00" w14:textId="07739854"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Investičný výbor InvestEU schvaľuje investičné operácie vo výške 500 miliónov EUR</w:t>
            </w:r>
            <w:r w:rsidR="00AB26B3" w:rsidRPr="00AB26B3">
              <w:rPr>
                <w:noProof/>
                <w:spacing w:val="-6"/>
                <w:lang w:val="sk-SK"/>
              </w:rPr>
              <w:t xml:space="preserve"> z </w:t>
            </w:r>
            <w:r w:rsidRPr="00AB26B3">
              <w:rPr>
                <w:noProof/>
                <w:spacing w:val="-6"/>
                <w:lang w:val="sk-SK"/>
              </w:rPr>
              <w:t>celkovej sumy cieleného financovania (alebo mobilizovaných investícií).</w:t>
            </w:r>
          </w:p>
        </w:tc>
      </w:tr>
      <w:tr w:rsidR="00302FC1" w:rsidRPr="00AB26B3" w14:paraId="224DB25E" w14:textId="77777777">
        <w:trPr>
          <w:trHeight w:val="314"/>
          <w:jc w:val="center"/>
        </w:trPr>
        <w:tc>
          <w:tcPr>
            <w:tcW w:w="602" w:type="dxa"/>
            <w:tcBorders>
              <w:top w:val="single" w:sz="4" w:space="0" w:color="auto"/>
              <w:left w:val="single" w:sz="4" w:space="0" w:color="auto"/>
              <w:bottom w:val="single" w:sz="4" w:space="0" w:color="auto"/>
              <w:right w:val="single" w:sz="4" w:space="0" w:color="auto"/>
            </w:tcBorders>
            <w:shd w:val="clear" w:color="auto" w:fill="C6EFCE"/>
            <w:noWrap/>
          </w:tcPr>
          <w:p w14:paraId="32808928" w14:textId="77777777" w:rsidR="00302FC1" w:rsidRPr="00AB26B3" w:rsidRDefault="00D64F26">
            <w:pPr>
              <w:pStyle w:val="P68B1DB1-Normal12"/>
              <w:spacing w:after="0" w:line="240" w:lineRule="auto"/>
              <w:rPr>
                <w:noProof/>
                <w:spacing w:val="-6"/>
                <w:lang w:val="sk-SK"/>
              </w:rPr>
            </w:pPr>
            <w:r w:rsidRPr="00AB26B3">
              <w:rPr>
                <w:noProof/>
                <w:spacing w:val="-6"/>
                <w:lang w:val="sk-SK"/>
              </w:rPr>
              <w:t>330a</w:t>
            </w:r>
          </w:p>
        </w:tc>
        <w:tc>
          <w:tcPr>
            <w:tcW w:w="1673" w:type="dxa"/>
            <w:tcBorders>
              <w:top w:val="single" w:sz="4" w:space="0" w:color="auto"/>
              <w:left w:val="nil"/>
              <w:bottom w:val="single" w:sz="4" w:space="0" w:color="auto"/>
              <w:right w:val="single" w:sz="4" w:space="0" w:color="auto"/>
            </w:tcBorders>
            <w:shd w:val="clear" w:color="auto" w:fill="C6EFCE"/>
            <w:noWrap/>
          </w:tcPr>
          <w:p w14:paraId="081A9D99" w14:textId="559BC8D0" w:rsidR="00302FC1" w:rsidRPr="00AB26B3" w:rsidRDefault="00D64F26">
            <w:pPr>
              <w:pStyle w:val="P68B1DB1-Normal12"/>
              <w:spacing w:after="0" w:line="240" w:lineRule="auto"/>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200" w:type="dxa"/>
            <w:tcBorders>
              <w:top w:val="single" w:sz="4" w:space="0" w:color="auto"/>
              <w:left w:val="nil"/>
              <w:bottom w:val="single" w:sz="4" w:space="0" w:color="auto"/>
              <w:right w:val="single" w:sz="4" w:space="0" w:color="auto"/>
            </w:tcBorders>
            <w:shd w:val="clear" w:color="auto" w:fill="C6EFCE"/>
            <w:noWrap/>
          </w:tcPr>
          <w:p w14:paraId="001CB6CD" w14:textId="77777777" w:rsidR="00302FC1" w:rsidRPr="00AB26B3" w:rsidRDefault="00D64F26">
            <w:pPr>
              <w:pStyle w:val="P68B1DB1-Normal12"/>
              <w:spacing w:after="0" w:line="240" w:lineRule="auto"/>
              <w:rPr>
                <w:noProof/>
                <w:spacing w:val="-6"/>
                <w:lang w:val="sk-SK"/>
              </w:rPr>
            </w:pPr>
            <w:r w:rsidRPr="00AB26B3">
              <w:rPr>
                <w:noProof/>
                <w:spacing w:val="-6"/>
                <w:lang w:val="sk-SK"/>
              </w:rPr>
              <w:t>Cieľ</w:t>
            </w:r>
          </w:p>
        </w:tc>
        <w:tc>
          <w:tcPr>
            <w:tcW w:w="1340" w:type="dxa"/>
            <w:tcBorders>
              <w:top w:val="single" w:sz="4" w:space="0" w:color="auto"/>
              <w:left w:val="nil"/>
              <w:bottom w:val="single" w:sz="4" w:space="0" w:color="auto"/>
              <w:right w:val="single" w:sz="4" w:space="0" w:color="auto"/>
            </w:tcBorders>
            <w:shd w:val="clear" w:color="auto" w:fill="C6EFCE"/>
            <w:noWrap/>
          </w:tcPr>
          <w:p w14:paraId="689D7D22" w14:textId="335E4380" w:rsidR="00302FC1" w:rsidRPr="00AB26B3" w:rsidRDefault="00D64F26">
            <w:pPr>
              <w:pStyle w:val="P68B1DB1-Normal12"/>
              <w:spacing w:after="0" w:line="240" w:lineRule="auto"/>
              <w:rPr>
                <w:noProof/>
                <w:spacing w:val="-6"/>
                <w:lang w:val="sk-SK"/>
              </w:rPr>
            </w:pPr>
            <w:r w:rsidRPr="00AB26B3">
              <w:rPr>
                <w:noProof/>
                <w:spacing w:val="-6"/>
                <w:lang w:val="sk-SK"/>
              </w:rPr>
              <w:t>Schválenie operácií</w:t>
            </w:r>
            <w:r w:rsidR="00AB26B3" w:rsidRPr="00AB26B3">
              <w:rPr>
                <w:noProof/>
                <w:spacing w:val="-6"/>
                <w:lang w:val="sk-SK"/>
              </w:rPr>
              <w:t xml:space="preserve"> v </w:t>
            </w:r>
            <w:r w:rsidRPr="00AB26B3">
              <w:rPr>
                <w:noProof/>
                <w:spacing w:val="-6"/>
                <w:lang w:val="sk-SK"/>
              </w:rPr>
              <w:t>rámci Programu InvestEU vo výške 800 miliónov EUR</w:t>
            </w:r>
          </w:p>
        </w:tc>
        <w:tc>
          <w:tcPr>
            <w:tcW w:w="1660" w:type="dxa"/>
            <w:tcBorders>
              <w:top w:val="single" w:sz="4" w:space="0" w:color="auto"/>
              <w:left w:val="nil"/>
              <w:bottom w:val="single" w:sz="4" w:space="0" w:color="auto"/>
              <w:right w:val="single" w:sz="4" w:space="0" w:color="auto"/>
            </w:tcBorders>
            <w:shd w:val="clear" w:color="auto" w:fill="C6EFCE"/>
          </w:tcPr>
          <w:p w14:paraId="7CD6771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80" w:type="dxa"/>
            <w:tcBorders>
              <w:top w:val="single" w:sz="4" w:space="0" w:color="auto"/>
              <w:left w:val="nil"/>
              <w:bottom w:val="single" w:sz="4" w:space="0" w:color="auto"/>
              <w:right w:val="single" w:sz="4" w:space="0" w:color="auto"/>
            </w:tcBorders>
            <w:shd w:val="clear" w:color="auto" w:fill="C6EFCE"/>
            <w:noWrap/>
          </w:tcPr>
          <w:p w14:paraId="4AA296C0" w14:textId="77777777" w:rsidR="00302FC1" w:rsidRPr="00AB26B3" w:rsidRDefault="00D64F26">
            <w:pPr>
              <w:pStyle w:val="P68B1DB1-Normal12"/>
              <w:spacing w:after="0" w:line="240" w:lineRule="auto"/>
              <w:rPr>
                <w:noProof/>
                <w:spacing w:val="-6"/>
                <w:lang w:val="sk-SK"/>
              </w:rPr>
            </w:pPr>
            <w:r w:rsidRPr="00AB26B3">
              <w:rPr>
                <w:noProof/>
                <w:spacing w:val="-6"/>
                <w:lang w:val="sk-SK"/>
              </w:rPr>
              <w:t>Suma (v miliónoch EUR)</w:t>
            </w:r>
          </w:p>
        </w:tc>
        <w:tc>
          <w:tcPr>
            <w:tcW w:w="1080" w:type="dxa"/>
            <w:tcBorders>
              <w:top w:val="single" w:sz="4" w:space="0" w:color="auto"/>
              <w:left w:val="nil"/>
              <w:bottom w:val="single" w:sz="4" w:space="0" w:color="auto"/>
              <w:right w:val="single" w:sz="4" w:space="0" w:color="auto"/>
            </w:tcBorders>
            <w:shd w:val="clear" w:color="auto" w:fill="C6EFCE"/>
            <w:noWrap/>
          </w:tcPr>
          <w:p w14:paraId="5A7E19FE" w14:textId="77777777" w:rsidR="00302FC1" w:rsidRPr="00AB26B3" w:rsidRDefault="00D64F26">
            <w:pPr>
              <w:pStyle w:val="P68B1DB1-Normal12"/>
              <w:spacing w:after="0" w:line="240" w:lineRule="auto"/>
              <w:rPr>
                <w:noProof/>
                <w:spacing w:val="-6"/>
                <w:lang w:val="sk-SK"/>
              </w:rPr>
            </w:pPr>
            <w:r w:rsidRPr="00AB26B3">
              <w:rPr>
                <w:noProof/>
                <w:spacing w:val="-6"/>
                <w:lang w:val="sk-SK"/>
              </w:rPr>
              <w:t>500</w:t>
            </w:r>
          </w:p>
        </w:tc>
        <w:tc>
          <w:tcPr>
            <w:tcW w:w="840" w:type="dxa"/>
            <w:tcBorders>
              <w:top w:val="single" w:sz="4" w:space="0" w:color="auto"/>
              <w:left w:val="nil"/>
              <w:bottom w:val="single" w:sz="4" w:space="0" w:color="auto"/>
              <w:right w:val="single" w:sz="4" w:space="0" w:color="auto"/>
            </w:tcBorders>
            <w:shd w:val="clear" w:color="auto" w:fill="C6EFCE"/>
            <w:noWrap/>
          </w:tcPr>
          <w:p w14:paraId="32B801BC" w14:textId="77777777" w:rsidR="00302FC1" w:rsidRPr="00AB26B3" w:rsidRDefault="00D64F26">
            <w:pPr>
              <w:pStyle w:val="P68B1DB1-Normal12"/>
              <w:spacing w:after="0" w:line="240" w:lineRule="auto"/>
              <w:rPr>
                <w:noProof/>
                <w:spacing w:val="-6"/>
                <w:lang w:val="sk-SK"/>
              </w:rPr>
            </w:pPr>
            <w:r w:rsidRPr="00AB26B3">
              <w:rPr>
                <w:noProof/>
                <w:spacing w:val="-6"/>
                <w:lang w:val="sk-SK"/>
              </w:rPr>
              <w:t>800</w:t>
            </w:r>
          </w:p>
        </w:tc>
        <w:tc>
          <w:tcPr>
            <w:tcW w:w="960" w:type="dxa"/>
            <w:tcBorders>
              <w:top w:val="single" w:sz="4" w:space="0" w:color="auto"/>
              <w:left w:val="nil"/>
              <w:bottom w:val="single" w:sz="4" w:space="0" w:color="auto"/>
              <w:right w:val="single" w:sz="4" w:space="0" w:color="auto"/>
            </w:tcBorders>
            <w:shd w:val="clear" w:color="auto" w:fill="C6EFCE"/>
            <w:noWrap/>
          </w:tcPr>
          <w:p w14:paraId="582768AE"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840" w:type="dxa"/>
            <w:tcBorders>
              <w:top w:val="single" w:sz="4" w:space="0" w:color="auto"/>
              <w:left w:val="nil"/>
              <w:bottom w:val="single" w:sz="4" w:space="0" w:color="auto"/>
              <w:right w:val="single" w:sz="4" w:space="0" w:color="auto"/>
            </w:tcBorders>
            <w:shd w:val="clear" w:color="auto" w:fill="C6EFCE"/>
            <w:noWrap/>
          </w:tcPr>
          <w:p w14:paraId="7AE7BDD0"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4608" w:type="dxa"/>
            <w:tcBorders>
              <w:top w:val="single" w:sz="4" w:space="0" w:color="auto"/>
              <w:left w:val="nil"/>
              <w:bottom w:val="single" w:sz="4" w:space="0" w:color="auto"/>
              <w:right w:val="single" w:sz="4" w:space="0" w:color="auto"/>
            </w:tcBorders>
            <w:shd w:val="clear" w:color="auto" w:fill="C6EFCE"/>
            <w:noWrap/>
          </w:tcPr>
          <w:p w14:paraId="2769D644" w14:textId="4D77BBD7" w:rsidR="00302FC1" w:rsidRPr="00AB26B3" w:rsidRDefault="00D64F26">
            <w:pPr>
              <w:pStyle w:val="P68B1DB1-Normal12"/>
              <w:spacing w:after="0" w:line="240" w:lineRule="auto"/>
              <w:rPr>
                <w:noProof/>
                <w:spacing w:val="-6"/>
                <w:lang w:val="sk-SK"/>
              </w:rPr>
            </w:pPr>
            <w:r w:rsidRPr="00AB26B3">
              <w:rPr>
                <w:noProof/>
                <w:spacing w:val="-6"/>
                <w:lang w:val="sk-SK"/>
              </w:rPr>
              <w:t>Investičný výbor InvestEU schvaľuje investičné operácie vo výške 800 miliónov EUR</w:t>
            </w:r>
            <w:r w:rsidR="00AB26B3" w:rsidRPr="00AB26B3">
              <w:rPr>
                <w:noProof/>
                <w:spacing w:val="-6"/>
                <w:lang w:val="sk-SK"/>
              </w:rPr>
              <w:t xml:space="preserve"> z </w:t>
            </w:r>
            <w:r w:rsidRPr="00AB26B3">
              <w:rPr>
                <w:noProof/>
                <w:spacing w:val="-6"/>
                <w:lang w:val="sk-SK"/>
              </w:rPr>
              <w:t>celkovej sumy cieleného financovania (alebo mobilizovaných investícií).</w:t>
            </w:r>
          </w:p>
        </w:tc>
      </w:tr>
    </w:tbl>
    <w:p w14:paraId="19C07473" w14:textId="7777777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15FC0">
          <w:headerReference w:type="even" r:id="rId330"/>
          <w:headerReference w:type="default" r:id="rId331"/>
          <w:footerReference w:type="even" r:id="rId332"/>
          <w:footerReference w:type="default" r:id="rId333"/>
          <w:headerReference w:type="first" r:id="rId334"/>
          <w:footerReference w:type="first" r:id="rId335"/>
          <w:pgSz w:w="16839" w:h="11907" w:orient="landscape"/>
          <w:pgMar w:top="720" w:right="720" w:bottom="720" w:left="720" w:header="709" w:footer="75" w:gutter="0"/>
          <w:cols w:space="720"/>
          <w:docGrid w:linePitch="360"/>
        </w:sectPr>
      </w:pPr>
    </w:p>
    <w:p w14:paraId="07403161" w14:textId="191AC118" w:rsidR="00302FC1" w:rsidRPr="00AB26B3" w:rsidRDefault="00D64F26">
      <w:pPr>
        <w:pStyle w:val="P68B1DB1-Normal9"/>
        <w:keepNext/>
        <w:keepLines/>
        <w:spacing w:before="40" w:after="240" w:line="240" w:lineRule="auto"/>
        <w:jc w:val="both"/>
        <w:outlineLvl w:val="4"/>
        <w:rPr>
          <w:rFonts w:ascii="Times New Roman" w:hAnsi="Times New Roman"/>
          <w:noProof/>
          <w:spacing w:val="-6"/>
          <w:lang w:val="sk-SK"/>
        </w:rPr>
      </w:pPr>
      <w:r w:rsidRPr="00AB26B3">
        <w:rPr>
          <w:rFonts w:ascii="Times New Roman" w:hAnsi="Times New Roman"/>
          <w:noProof/>
          <w:spacing w:val="-6"/>
          <w:lang w:val="sk-SK"/>
        </w:rPr>
        <w:t>Kapitálová injekcia do Helénskej rozvojovej banky (16403)</w:t>
      </w:r>
    </w:p>
    <w:tbl>
      <w:tblPr>
        <w:tblW w:w="5208" w:type="pct"/>
        <w:tblInd w:w="-585" w:type="dxa"/>
        <w:tblLook w:val="04A0" w:firstRow="1" w:lastRow="0" w:firstColumn="1" w:lastColumn="0" w:noHBand="0" w:noVBand="1"/>
      </w:tblPr>
      <w:tblGrid>
        <w:gridCol w:w="715"/>
        <w:gridCol w:w="2279"/>
        <w:gridCol w:w="1119"/>
        <w:gridCol w:w="1718"/>
        <w:gridCol w:w="1555"/>
        <w:gridCol w:w="693"/>
        <w:gridCol w:w="951"/>
        <w:gridCol w:w="555"/>
        <w:gridCol w:w="933"/>
        <w:gridCol w:w="569"/>
        <w:gridCol w:w="3531"/>
      </w:tblGrid>
      <w:tr w:rsidR="00302FC1" w:rsidRPr="00AB26B3" w14:paraId="50886A87" w14:textId="77777777">
        <w:trPr>
          <w:trHeight w:val="300"/>
          <w:tblHeader/>
        </w:trPr>
        <w:tc>
          <w:tcPr>
            <w:tcW w:w="254" w:type="pct"/>
            <w:vMerge w:val="restart"/>
            <w:tcBorders>
              <w:top w:val="single" w:sz="6" w:space="0" w:color="auto"/>
              <w:left w:val="single" w:sz="6" w:space="0" w:color="auto"/>
              <w:right w:val="single" w:sz="6" w:space="0" w:color="auto"/>
            </w:tcBorders>
            <w:shd w:val="clear" w:color="auto" w:fill="C6D9F1" w:themeFill="text2" w:themeFillTint="33"/>
            <w:tcMar>
              <w:top w:w="15" w:type="dxa"/>
              <w:left w:w="15" w:type="dxa"/>
              <w:bottom w:w="15" w:type="dxa"/>
              <w:right w:w="15" w:type="dxa"/>
            </w:tcMar>
            <w:vAlign w:val="center"/>
          </w:tcPr>
          <w:p w14:paraId="44B3024C" w14:textId="326E8512"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 xml:space="preserve">A nasl. </w:t>
            </w:r>
            <w:r w:rsidRPr="00AB26B3">
              <w:rPr>
                <w:noProof/>
                <w:spacing w:val="-6"/>
                <w:lang w:val="sk-SK"/>
              </w:rPr>
              <w:br/>
              <w:t>Nie.</w:t>
            </w:r>
          </w:p>
        </w:tc>
        <w:tc>
          <w:tcPr>
            <w:tcW w:w="789" w:type="pct"/>
            <w:vMerge w:val="restart"/>
            <w:tcBorders>
              <w:top w:val="single" w:sz="6" w:space="0" w:color="auto"/>
              <w:left w:val="single" w:sz="6" w:space="0" w:color="auto"/>
              <w:right w:val="single" w:sz="6" w:space="0" w:color="auto"/>
            </w:tcBorders>
            <w:shd w:val="clear" w:color="auto" w:fill="C6D9F1" w:themeFill="text2" w:themeFillTint="33"/>
            <w:tcMar>
              <w:top w:w="15" w:type="dxa"/>
              <w:left w:w="15" w:type="dxa"/>
              <w:bottom w:w="15" w:type="dxa"/>
              <w:right w:w="15" w:type="dxa"/>
            </w:tcMar>
            <w:vAlign w:val="center"/>
          </w:tcPr>
          <w:p w14:paraId="226BEFF5"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Súvisiace opatrenie (reforma alebo investícia)</w:t>
            </w:r>
          </w:p>
        </w:tc>
        <w:tc>
          <w:tcPr>
            <w:tcW w:w="392" w:type="pct"/>
            <w:vMerge w:val="restart"/>
            <w:tcBorders>
              <w:top w:val="single" w:sz="6" w:space="0" w:color="auto"/>
              <w:left w:val="single" w:sz="6" w:space="0" w:color="auto"/>
              <w:right w:val="single" w:sz="6" w:space="0" w:color="auto"/>
            </w:tcBorders>
            <w:shd w:val="clear" w:color="auto" w:fill="C6D9F1" w:themeFill="text2" w:themeFillTint="33"/>
            <w:tcMar>
              <w:top w:w="15" w:type="dxa"/>
              <w:left w:w="15" w:type="dxa"/>
              <w:bottom w:w="15" w:type="dxa"/>
              <w:right w:w="15" w:type="dxa"/>
            </w:tcMar>
            <w:vAlign w:val="center"/>
          </w:tcPr>
          <w:p w14:paraId="21E15562"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Míľnik/cieľ</w:t>
            </w:r>
          </w:p>
        </w:tc>
        <w:tc>
          <w:tcPr>
            <w:tcW w:w="597" w:type="pct"/>
            <w:vMerge w:val="restart"/>
            <w:tcBorders>
              <w:top w:val="single" w:sz="6" w:space="0" w:color="auto"/>
              <w:left w:val="single" w:sz="6" w:space="0" w:color="auto"/>
              <w:right w:val="single" w:sz="6" w:space="0" w:color="auto"/>
            </w:tcBorders>
            <w:shd w:val="clear" w:color="auto" w:fill="C6D9F1" w:themeFill="text2" w:themeFillTint="33"/>
            <w:tcMar>
              <w:top w:w="15" w:type="dxa"/>
              <w:left w:w="15" w:type="dxa"/>
              <w:bottom w:w="15" w:type="dxa"/>
              <w:right w:w="15" w:type="dxa"/>
            </w:tcMar>
            <w:vAlign w:val="center"/>
          </w:tcPr>
          <w:p w14:paraId="5C956019" w14:textId="77777777"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Názov</w:t>
            </w:r>
          </w:p>
        </w:tc>
        <w:tc>
          <w:tcPr>
            <w:tcW w:w="541" w:type="pct"/>
            <w:vMerge w:val="restart"/>
            <w:tcBorders>
              <w:top w:val="single" w:sz="6" w:space="0" w:color="auto"/>
              <w:left w:val="single" w:sz="6" w:space="0" w:color="auto"/>
              <w:right w:val="single" w:sz="6" w:space="0" w:color="auto"/>
            </w:tcBorders>
            <w:shd w:val="clear" w:color="auto" w:fill="C6D9F1" w:themeFill="text2" w:themeFillTint="33"/>
            <w:tcMar>
              <w:top w:w="15" w:type="dxa"/>
              <w:left w:w="15" w:type="dxa"/>
              <w:bottom w:w="15" w:type="dxa"/>
              <w:right w:w="15" w:type="dxa"/>
            </w:tcMar>
            <w:vAlign w:val="center"/>
          </w:tcPr>
          <w:p w14:paraId="69949491" w14:textId="1139C7BE"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Kvalitatívne ukazovatele (pre míľniky)</w:t>
            </w:r>
          </w:p>
        </w:tc>
        <w:tc>
          <w:tcPr>
            <w:tcW w:w="780" w:type="pct"/>
            <w:gridSpan w:val="3"/>
            <w:tcBorders>
              <w:top w:val="single" w:sz="6" w:space="0" w:color="auto"/>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041477B0" w14:textId="77777777" w:rsidR="00302FC1" w:rsidRPr="00AB26B3" w:rsidRDefault="00D64F26">
            <w:pPr>
              <w:pStyle w:val="P68B1DB1-Normal14"/>
              <w:spacing w:after="0" w:line="240" w:lineRule="auto"/>
              <w:jc w:val="center"/>
              <w:rPr>
                <w:noProof/>
                <w:spacing w:val="-6"/>
                <w:lang w:val="sk-SK"/>
              </w:rPr>
            </w:pPr>
            <w:r w:rsidRPr="00AB26B3">
              <w:rPr>
                <w:noProof/>
                <w:spacing w:val="-6"/>
                <w:lang w:val="sk-SK"/>
              </w:rPr>
              <w:t>Kvantitatívny ukazovateľ (pre ciele)</w:t>
            </w:r>
          </w:p>
        </w:tc>
        <w:tc>
          <w:tcPr>
            <w:tcW w:w="430" w:type="pct"/>
            <w:gridSpan w:val="2"/>
            <w:tcBorders>
              <w:top w:val="single" w:sz="6" w:space="0" w:color="auto"/>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20405BD4" w14:textId="77777777" w:rsidR="00302FC1" w:rsidRPr="00AB26B3" w:rsidRDefault="00D64F26">
            <w:pPr>
              <w:pStyle w:val="P68B1DB1-Normal14"/>
              <w:spacing w:after="0" w:line="240" w:lineRule="auto"/>
              <w:jc w:val="center"/>
              <w:rPr>
                <w:noProof/>
                <w:spacing w:val="-6"/>
                <w:lang w:val="sk-SK"/>
              </w:rPr>
            </w:pPr>
            <w:r w:rsidRPr="00AB26B3">
              <w:rPr>
                <w:noProof/>
                <w:spacing w:val="-6"/>
                <w:lang w:val="sk-SK"/>
              </w:rPr>
              <w:t>Orientačný harmonogram dokončenia</w:t>
            </w:r>
          </w:p>
        </w:tc>
        <w:tc>
          <w:tcPr>
            <w:tcW w:w="1217" w:type="pct"/>
            <w:vMerge w:val="restart"/>
            <w:tcBorders>
              <w:top w:val="single" w:sz="6" w:space="0" w:color="auto"/>
              <w:left w:val="single" w:sz="6" w:space="0" w:color="auto"/>
              <w:right w:val="single" w:sz="6" w:space="0" w:color="auto"/>
            </w:tcBorders>
            <w:shd w:val="clear" w:color="auto" w:fill="C6D9F1" w:themeFill="text2" w:themeFillTint="33"/>
            <w:tcMar>
              <w:top w:w="15" w:type="dxa"/>
              <w:left w:w="15" w:type="dxa"/>
              <w:bottom w:w="15" w:type="dxa"/>
              <w:right w:w="15" w:type="dxa"/>
            </w:tcMar>
          </w:tcPr>
          <w:p w14:paraId="4EB1F0F3" w14:textId="77777777" w:rsidR="00302FC1" w:rsidRPr="00AB26B3" w:rsidRDefault="00302FC1">
            <w:pPr>
              <w:spacing w:after="0" w:line="240" w:lineRule="auto"/>
              <w:jc w:val="center"/>
              <w:rPr>
                <w:rFonts w:ascii="Times New Roman" w:hAnsi="Times New Roman" w:cs="Times New Roman"/>
                <w:b/>
                <w:noProof/>
                <w:spacing w:val="-6"/>
                <w:sz w:val="18"/>
                <w:szCs w:val="18"/>
                <w:lang w:val="sk-SK"/>
              </w:rPr>
            </w:pPr>
          </w:p>
          <w:p w14:paraId="03FA3451" w14:textId="77777777" w:rsidR="00302FC1" w:rsidRPr="00AB26B3" w:rsidRDefault="00302FC1">
            <w:pPr>
              <w:spacing w:after="0" w:line="240" w:lineRule="auto"/>
              <w:jc w:val="center"/>
              <w:rPr>
                <w:rFonts w:ascii="Times New Roman" w:hAnsi="Times New Roman" w:cs="Times New Roman"/>
                <w:b/>
                <w:noProof/>
                <w:spacing w:val="-6"/>
                <w:sz w:val="18"/>
                <w:szCs w:val="18"/>
                <w:lang w:val="sk-SK"/>
              </w:rPr>
            </w:pPr>
          </w:p>
          <w:p w14:paraId="600F9307" w14:textId="21254747" w:rsidR="00302FC1" w:rsidRPr="00AB26B3" w:rsidRDefault="00D64F26">
            <w:pPr>
              <w:pStyle w:val="P68B1DB1-Normal14"/>
              <w:spacing w:after="0" w:line="240" w:lineRule="auto"/>
              <w:jc w:val="center"/>
              <w:rPr>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E744AD5" w14:textId="77777777">
        <w:trPr>
          <w:trHeight w:val="505"/>
          <w:tblHeader/>
        </w:trPr>
        <w:tc>
          <w:tcPr>
            <w:tcW w:w="254" w:type="pct"/>
            <w:vMerge/>
            <w:tcBorders>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1C6BA7F8"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789" w:type="pct"/>
            <w:vMerge/>
            <w:tcBorders>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69179049"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392" w:type="pct"/>
            <w:vMerge/>
            <w:tcBorders>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48072D64"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597" w:type="pct"/>
            <w:vMerge/>
            <w:tcBorders>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56652C3E"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541" w:type="pct"/>
            <w:vMerge/>
            <w:tcBorders>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025F3B57"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244" w:type="pct"/>
            <w:tcBorders>
              <w:top w:val="single" w:sz="6" w:space="0" w:color="auto"/>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1A7432E7" w14:textId="77777777" w:rsidR="00302FC1" w:rsidRPr="00AB26B3" w:rsidRDefault="00D64F26">
            <w:pPr>
              <w:pStyle w:val="P68B1DB1-Normal14"/>
              <w:spacing w:after="0" w:line="240" w:lineRule="auto"/>
              <w:jc w:val="center"/>
              <w:rPr>
                <w:noProof/>
                <w:spacing w:val="-6"/>
                <w:lang w:val="sk-SK"/>
              </w:rPr>
            </w:pPr>
            <w:r w:rsidRPr="00AB26B3">
              <w:rPr>
                <w:noProof/>
                <w:spacing w:val="-6"/>
                <w:lang w:val="sk-SK"/>
              </w:rPr>
              <w:t>Jednotka</w:t>
            </w:r>
          </w:p>
        </w:tc>
        <w:tc>
          <w:tcPr>
            <w:tcW w:w="337" w:type="pct"/>
            <w:tcBorders>
              <w:top w:val="single" w:sz="6" w:space="0" w:color="auto"/>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76D18788" w14:textId="77777777" w:rsidR="00302FC1" w:rsidRPr="00AB26B3" w:rsidRDefault="00D64F26">
            <w:pPr>
              <w:pStyle w:val="P68B1DB1-Normal14"/>
              <w:spacing w:after="0" w:line="240" w:lineRule="auto"/>
              <w:jc w:val="center"/>
              <w:rPr>
                <w:noProof/>
                <w:spacing w:val="-6"/>
                <w:lang w:val="sk-SK"/>
              </w:rPr>
            </w:pPr>
            <w:r w:rsidRPr="00AB26B3">
              <w:rPr>
                <w:noProof/>
                <w:spacing w:val="-6"/>
                <w:lang w:val="sk-SK"/>
              </w:rPr>
              <w:t>Základná</w:t>
            </w:r>
          </w:p>
        </w:tc>
        <w:tc>
          <w:tcPr>
            <w:tcW w:w="199" w:type="pct"/>
            <w:tcBorders>
              <w:top w:val="single" w:sz="6" w:space="0" w:color="auto"/>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5F49656A" w14:textId="77777777" w:rsidR="00302FC1" w:rsidRPr="00AB26B3" w:rsidRDefault="00D64F26">
            <w:pPr>
              <w:pStyle w:val="P68B1DB1-Normal14"/>
              <w:spacing w:after="0" w:line="240" w:lineRule="auto"/>
              <w:jc w:val="center"/>
              <w:rPr>
                <w:noProof/>
                <w:spacing w:val="-6"/>
                <w:lang w:val="sk-SK"/>
              </w:rPr>
            </w:pPr>
            <w:r w:rsidRPr="00AB26B3">
              <w:rPr>
                <w:noProof/>
                <w:spacing w:val="-6"/>
                <w:lang w:val="sk-SK"/>
              </w:rPr>
              <w:t>Cieľ</w:t>
            </w:r>
          </w:p>
        </w:tc>
        <w:tc>
          <w:tcPr>
            <w:tcW w:w="226" w:type="pct"/>
            <w:tcBorders>
              <w:top w:val="single" w:sz="6" w:space="0" w:color="auto"/>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1DC47AD6" w14:textId="77777777" w:rsidR="00302FC1" w:rsidRPr="00AB26B3" w:rsidRDefault="00D64F26">
            <w:pPr>
              <w:pStyle w:val="P68B1DB1-Normal14"/>
              <w:spacing w:after="0" w:line="240" w:lineRule="auto"/>
              <w:jc w:val="center"/>
              <w:rPr>
                <w:noProof/>
                <w:spacing w:val="-6"/>
                <w:lang w:val="sk-SK"/>
              </w:rPr>
            </w:pPr>
            <w:r w:rsidRPr="00AB26B3">
              <w:rPr>
                <w:noProof/>
                <w:spacing w:val="-6"/>
                <w:lang w:val="sk-SK"/>
              </w:rPr>
              <w:t>Štvrtina</w:t>
            </w:r>
          </w:p>
        </w:tc>
        <w:tc>
          <w:tcPr>
            <w:tcW w:w="204" w:type="pct"/>
            <w:tcBorders>
              <w:top w:val="single" w:sz="6" w:space="0" w:color="auto"/>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15A929BA" w14:textId="77777777" w:rsidR="00302FC1" w:rsidRPr="00AB26B3" w:rsidRDefault="00D64F26">
            <w:pPr>
              <w:pStyle w:val="P68B1DB1-Normal14"/>
              <w:spacing w:after="0" w:line="240" w:lineRule="auto"/>
              <w:jc w:val="center"/>
              <w:rPr>
                <w:noProof/>
                <w:spacing w:val="-6"/>
                <w:lang w:val="sk-SK"/>
              </w:rPr>
            </w:pPr>
            <w:r w:rsidRPr="00AB26B3">
              <w:rPr>
                <w:noProof/>
                <w:spacing w:val="-6"/>
                <w:lang w:val="sk-SK"/>
              </w:rPr>
              <w:t>Rok</w:t>
            </w:r>
          </w:p>
        </w:tc>
        <w:tc>
          <w:tcPr>
            <w:tcW w:w="1217" w:type="pct"/>
            <w:vMerge/>
            <w:tcBorders>
              <w:left w:val="single" w:sz="6" w:space="0" w:color="auto"/>
              <w:bottom w:val="single" w:sz="6" w:space="0" w:color="auto"/>
              <w:right w:val="single" w:sz="6" w:space="0" w:color="auto"/>
            </w:tcBorders>
            <w:shd w:val="clear" w:color="auto" w:fill="C6D9F1" w:themeFill="text2" w:themeFillTint="33"/>
            <w:tcMar>
              <w:top w:w="15" w:type="dxa"/>
              <w:left w:w="15" w:type="dxa"/>
              <w:bottom w:w="15" w:type="dxa"/>
              <w:right w:w="15" w:type="dxa"/>
            </w:tcMar>
          </w:tcPr>
          <w:p w14:paraId="15B29113" w14:textId="77777777" w:rsidR="00302FC1" w:rsidRPr="00AB26B3" w:rsidRDefault="00302FC1">
            <w:pPr>
              <w:spacing w:after="0" w:line="240" w:lineRule="auto"/>
              <w:jc w:val="center"/>
              <w:rPr>
                <w:rFonts w:ascii="Times New Roman" w:hAnsi="Times New Roman" w:cs="Times New Roman"/>
                <w:b/>
                <w:noProof/>
                <w:spacing w:val="-6"/>
                <w:sz w:val="18"/>
                <w:szCs w:val="18"/>
                <w:lang w:val="sk-SK"/>
              </w:rPr>
            </w:pPr>
          </w:p>
        </w:tc>
      </w:tr>
      <w:tr w:rsidR="00302FC1" w:rsidRPr="00AB26B3" w14:paraId="5593BB8C" w14:textId="77777777">
        <w:trPr>
          <w:trHeight w:val="739"/>
        </w:trPr>
        <w:tc>
          <w:tcPr>
            <w:tcW w:w="254"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4E67D1C7" w14:textId="3F811715" w:rsidR="00302FC1" w:rsidRPr="00AB26B3" w:rsidRDefault="00D64F26">
            <w:pPr>
              <w:pStyle w:val="P68B1DB1-Normal12"/>
              <w:spacing w:after="0" w:line="240" w:lineRule="auto"/>
              <w:rPr>
                <w:noProof/>
                <w:spacing w:val="-6"/>
                <w:lang w:val="sk-SK"/>
              </w:rPr>
            </w:pPr>
            <w:r w:rsidRPr="00AB26B3">
              <w:rPr>
                <w:noProof/>
                <w:spacing w:val="-6"/>
                <w:lang w:val="sk-SK"/>
              </w:rPr>
              <w:t>382</w:t>
            </w:r>
          </w:p>
        </w:tc>
        <w:tc>
          <w:tcPr>
            <w:tcW w:w="789"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7FE797A1" w14:textId="6A69B137" w:rsidR="00302FC1" w:rsidRPr="00AB26B3" w:rsidRDefault="00D64F26">
            <w:pPr>
              <w:pStyle w:val="P68B1DB1-Normal12"/>
              <w:spacing w:after="0" w:line="240" w:lineRule="auto"/>
              <w:rPr>
                <w:noProof/>
                <w:spacing w:val="-6"/>
                <w:lang w:val="sk-SK"/>
              </w:rPr>
            </w:pPr>
            <w:r w:rsidRPr="00AB26B3">
              <w:rPr>
                <w:noProof/>
                <w:spacing w:val="-6"/>
                <w:lang w:val="sk-SK"/>
              </w:rPr>
              <w:t>4.7. Zlepšiť konkurencieschopnosť</w:t>
            </w:r>
            <w:r w:rsidR="00AB26B3" w:rsidRPr="00AB26B3">
              <w:rPr>
                <w:noProof/>
                <w:spacing w:val="-6"/>
                <w:lang w:val="sk-SK"/>
              </w:rPr>
              <w:t xml:space="preserve"> a </w:t>
            </w:r>
            <w:r w:rsidRPr="00AB26B3">
              <w:rPr>
                <w:noProof/>
                <w:spacing w:val="-6"/>
                <w:lang w:val="sk-SK"/>
              </w:rPr>
              <w:t>podporiť súkromné investície</w:t>
            </w:r>
            <w:r w:rsidR="00AB26B3" w:rsidRPr="00AB26B3">
              <w:rPr>
                <w:noProof/>
                <w:spacing w:val="-6"/>
                <w:lang w:val="sk-SK"/>
              </w:rPr>
              <w:t xml:space="preserve"> a </w:t>
            </w:r>
            <w:r w:rsidRPr="00AB26B3">
              <w:rPr>
                <w:noProof/>
                <w:spacing w:val="-6"/>
                <w:lang w:val="sk-SK"/>
              </w:rPr>
              <w:t>vývoz – 16403_Kapitálová injekcia do Helénskej rozvojovej banky</w:t>
            </w:r>
          </w:p>
        </w:tc>
        <w:tc>
          <w:tcPr>
            <w:tcW w:w="392"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72B1019B" w14:textId="77777777" w:rsidR="00302FC1" w:rsidRPr="00AB26B3" w:rsidRDefault="00D64F26">
            <w:pPr>
              <w:pStyle w:val="P68B1DB1-Normal12"/>
              <w:spacing w:after="0" w:line="240" w:lineRule="auto"/>
              <w:rPr>
                <w:noProof/>
                <w:spacing w:val="-6"/>
                <w:lang w:val="sk-SK"/>
              </w:rPr>
            </w:pPr>
            <w:r w:rsidRPr="00AB26B3">
              <w:rPr>
                <w:noProof/>
                <w:spacing w:val="-6"/>
                <w:lang w:val="sk-SK"/>
              </w:rPr>
              <w:t>Míľnik</w:t>
            </w:r>
          </w:p>
        </w:tc>
        <w:tc>
          <w:tcPr>
            <w:tcW w:w="597"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0B979CE9" w14:textId="77777777" w:rsidR="00302FC1" w:rsidRPr="00AB26B3" w:rsidRDefault="00D64F26">
            <w:pPr>
              <w:pStyle w:val="P68B1DB1-Normal12"/>
              <w:spacing w:after="0" w:line="240" w:lineRule="auto"/>
              <w:rPr>
                <w:noProof/>
                <w:spacing w:val="-6"/>
                <w:lang w:val="sk-SK"/>
              </w:rPr>
            </w:pPr>
            <w:r w:rsidRPr="00AB26B3">
              <w:rPr>
                <w:noProof/>
                <w:spacing w:val="-6"/>
                <w:lang w:val="sk-SK"/>
              </w:rPr>
              <w:t>Investičná politika</w:t>
            </w:r>
          </w:p>
        </w:tc>
        <w:tc>
          <w:tcPr>
            <w:tcW w:w="541"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526B4506" w14:textId="77777777" w:rsidR="00302FC1" w:rsidRPr="00AB26B3" w:rsidRDefault="00D64F26">
            <w:pPr>
              <w:pStyle w:val="P68B1DB1-Normal12"/>
              <w:spacing w:after="0" w:line="240" w:lineRule="auto"/>
              <w:rPr>
                <w:noProof/>
                <w:spacing w:val="-6"/>
                <w:lang w:val="sk-SK"/>
              </w:rPr>
            </w:pPr>
            <w:r w:rsidRPr="00AB26B3">
              <w:rPr>
                <w:noProof/>
                <w:spacing w:val="-6"/>
                <w:lang w:val="sk-SK"/>
              </w:rPr>
              <w:t>Prijatie investičnej politiky</w:t>
            </w:r>
          </w:p>
        </w:tc>
        <w:tc>
          <w:tcPr>
            <w:tcW w:w="244"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7843E1B9"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 </w:t>
            </w:r>
          </w:p>
        </w:tc>
        <w:tc>
          <w:tcPr>
            <w:tcW w:w="337"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5F3781A6"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 </w:t>
            </w:r>
          </w:p>
        </w:tc>
        <w:tc>
          <w:tcPr>
            <w:tcW w:w="199"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6F75987D"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 </w:t>
            </w:r>
          </w:p>
        </w:tc>
        <w:tc>
          <w:tcPr>
            <w:tcW w:w="226"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0D67F5CA" w14:textId="77777777" w:rsidR="00302FC1" w:rsidRPr="00AB26B3" w:rsidRDefault="00D64F26">
            <w:pPr>
              <w:pStyle w:val="P68B1DB1-Normal12"/>
              <w:spacing w:after="0" w:line="240" w:lineRule="auto"/>
              <w:rPr>
                <w:noProof/>
                <w:spacing w:val="-6"/>
                <w:lang w:val="sk-SK"/>
              </w:rPr>
            </w:pPr>
            <w:r w:rsidRPr="00AB26B3">
              <w:rPr>
                <w:noProof/>
                <w:spacing w:val="-6"/>
                <w:lang w:val="sk-SK"/>
              </w:rPr>
              <w:t>ŠTVRŤROK</w:t>
            </w:r>
          </w:p>
        </w:tc>
        <w:tc>
          <w:tcPr>
            <w:tcW w:w="204"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684CFBF4" w14:textId="77777777" w:rsidR="00302FC1" w:rsidRPr="00AB26B3" w:rsidRDefault="00D64F26">
            <w:pPr>
              <w:pStyle w:val="P68B1DB1-Normal12"/>
              <w:spacing w:after="0" w:line="240" w:lineRule="auto"/>
              <w:rPr>
                <w:noProof/>
                <w:spacing w:val="-6"/>
                <w:lang w:val="sk-SK"/>
              </w:rPr>
            </w:pPr>
            <w:r w:rsidRPr="00AB26B3">
              <w:rPr>
                <w:noProof/>
                <w:spacing w:val="-6"/>
                <w:lang w:val="sk-SK"/>
              </w:rPr>
              <w:t>2026</w:t>
            </w:r>
          </w:p>
        </w:tc>
        <w:tc>
          <w:tcPr>
            <w:tcW w:w="1217"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6C6ABAF8" w14:textId="77777777" w:rsidR="00302FC1" w:rsidRPr="00AB26B3" w:rsidRDefault="00D64F26">
            <w:pPr>
              <w:pStyle w:val="P68B1DB1-Normal12"/>
              <w:spacing w:after="0" w:line="240" w:lineRule="auto"/>
              <w:rPr>
                <w:noProof/>
                <w:spacing w:val="-6"/>
                <w:lang w:val="sk-SK"/>
              </w:rPr>
            </w:pPr>
            <w:r w:rsidRPr="00AB26B3">
              <w:rPr>
                <w:noProof/>
                <w:spacing w:val="-6"/>
                <w:lang w:val="sk-SK"/>
              </w:rPr>
              <w:t>Prijatie novej investičnej politiky pre Helénsku rozvojovú banku na využitie dodatočnej kapitálovej injekcie.</w:t>
            </w:r>
          </w:p>
        </w:tc>
      </w:tr>
      <w:tr w:rsidR="00302FC1" w:rsidRPr="00AB26B3" w14:paraId="7664BEAF" w14:textId="77777777">
        <w:trPr>
          <w:trHeight w:val="300"/>
        </w:trPr>
        <w:tc>
          <w:tcPr>
            <w:tcW w:w="254"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1F8EC2A7" w14:textId="71412041" w:rsidR="00302FC1" w:rsidRPr="00AB26B3" w:rsidRDefault="00D64F26">
            <w:pPr>
              <w:pStyle w:val="P68B1DB1-Normal12"/>
              <w:spacing w:after="0" w:line="240" w:lineRule="auto"/>
              <w:rPr>
                <w:noProof/>
                <w:spacing w:val="-6"/>
                <w:lang w:val="sk-SK"/>
              </w:rPr>
            </w:pPr>
            <w:r w:rsidRPr="00AB26B3">
              <w:rPr>
                <w:noProof/>
                <w:spacing w:val="-6"/>
                <w:lang w:val="sk-SK"/>
              </w:rPr>
              <w:t>383</w:t>
            </w:r>
          </w:p>
        </w:tc>
        <w:tc>
          <w:tcPr>
            <w:tcW w:w="789"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42CE3D83" w14:textId="3EB36888" w:rsidR="00302FC1" w:rsidRPr="00AB26B3" w:rsidRDefault="00D64F26">
            <w:pPr>
              <w:pStyle w:val="P68B1DB1-Normal12"/>
              <w:spacing w:after="0" w:line="240" w:lineRule="auto"/>
              <w:rPr>
                <w:noProof/>
                <w:spacing w:val="-6"/>
                <w:lang w:val="sk-SK"/>
              </w:rPr>
            </w:pPr>
            <w:r w:rsidRPr="00AB26B3">
              <w:rPr>
                <w:noProof/>
                <w:spacing w:val="-6"/>
                <w:lang w:val="sk-SK"/>
              </w:rPr>
              <w:t>4.7. Zlepšiť konkurencieschopnosť</w:t>
            </w:r>
            <w:r w:rsidR="00AB26B3" w:rsidRPr="00AB26B3">
              <w:rPr>
                <w:noProof/>
                <w:spacing w:val="-6"/>
                <w:lang w:val="sk-SK"/>
              </w:rPr>
              <w:t xml:space="preserve"> a </w:t>
            </w:r>
            <w:r w:rsidRPr="00AB26B3">
              <w:rPr>
                <w:noProof/>
                <w:spacing w:val="-6"/>
                <w:lang w:val="sk-SK"/>
              </w:rPr>
              <w:t>podporiť súkromné investície</w:t>
            </w:r>
            <w:r w:rsidR="00AB26B3" w:rsidRPr="00AB26B3">
              <w:rPr>
                <w:noProof/>
                <w:spacing w:val="-6"/>
                <w:lang w:val="sk-SK"/>
              </w:rPr>
              <w:t xml:space="preserve"> a </w:t>
            </w:r>
            <w:r w:rsidRPr="00AB26B3">
              <w:rPr>
                <w:noProof/>
                <w:spacing w:val="-6"/>
                <w:lang w:val="sk-SK"/>
              </w:rPr>
              <w:t>vývoz – 16403_Kapitálová injekcia do Helénskej rozvojovej banky</w:t>
            </w:r>
          </w:p>
        </w:tc>
        <w:tc>
          <w:tcPr>
            <w:tcW w:w="392"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7D1A90F2" w14:textId="77777777" w:rsidR="00302FC1" w:rsidRPr="00AB26B3" w:rsidRDefault="00D64F26">
            <w:pPr>
              <w:pStyle w:val="P68B1DB1-Normal12"/>
              <w:spacing w:line="240" w:lineRule="auto"/>
              <w:rPr>
                <w:noProof/>
                <w:spacing w:val="-6"/>
                <w:lang w:val="sk-SK"/>
              </w:rPr>
            </w:pPr>
            <w:r w:rsidRPr="00AB26B3">
              <w:rPr>
                <w:noProof/>
                <w:spacing w:val="-6"/>
                <w:lang w:val="sk-SK"/>
              </w:rPr>
              <w:t>Míľnik</w:t>
            </w:r>
          </w:p>
        </w:tc>
        <w:tc>
          <w:tcPr>
            <w:tcW w:w="597"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7F378341" w14:textId="1EA877D2" w:rsidR="00302FC1" w:rsidRPr="00AB26B3" w:rsidRDefault="00D64F26">
            <w:pPr>
              <w:pStyle w:val="P68B1DB1-Normal12"/>
              <w:spacing w:line="240" w:lineRule="auto"/>
              <w:rPr>
                <w:noProof/>
                <w:spacing w:val="-6"/>
                <w:lang w:val="sk-SK"/>
              </w:rPr>
            </w:pPr>
            <w:r w:rsidRPr="00AB26B3">
              <w:rPr>
                <w:noProof/>
                <w:spacing w:val="-6"/>
                <w:lang w:val="sk-SK"/>
              </w:rPr>
              <w:t>Kapitálová dotácia</w:t>
            </w:r>
          </w:p>
        </w:tc>
        <w:tc>
          <w:tcPr>
            <w:tcW w:w="541"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0FB351D2" w14:textId="1C0EDBC7" w:rsidR="00302FC1" w:rsidRPr="00AB26B3" w:rsidRDefault="00D64F26">
            <w:pPr>
              <w:pStyle w:val="P68B1DB1-Normal12"/>
              <w:spacing w:line="240" w:lineRule="auto"/>
              <w:rPr>
                <w:noProof/>
                <w:spacing w:val="-6"/>
                <w:lang w:val="sk-SK"/>
              </w:rPr>
            </w:pPr>
            <w:r w:rsidRPr="00AB26B3">
              <w:rPr>
                <w:noProof/>
                <w:spacing w:val="-6"/>
                <w:lang w:val="sk-SK"/>
              </w:rPr>
              <w:t>Osvedčenie</w:t>
            </w:r>
            <w:r w:rsidR="00AB26B3" w:rsidRPr="00AB26B3">
              <w:rPr>
                <w:noProof/>
                <w:spacing w:val="-6"/>
                <w:lang w:val="sk-SK"/>
              </w:rPr>
              <w:t xml:space="preserve"> o </w:t>
            </w:r>
            <w:r w:rsidRPr="00AB26B3">
              <w:rPr>
                <w:noProof/>
                <w:spacing w:val="-6"/>
                <w:lang w:val="sk-SK"/>
              </w:rPr>
              <w:t xml:space="preserve">premiestnení </w:t>
            </w:r>
          </w:p>
        </w:tc>
        <w:tc>
          <w:tcPr>
            <w:tcW w:w="244"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6D56ACD8" w14:textId="77777777" w:rsidR="00302FC1" w:rsidRPr="00AB26B3" w:rsidRDefault="00302FC1">
            <w:pPr>
              <w:spacing w:line="240" w:lineRule="auto"/>
              <w:rPr>
                <w:rFonts w:ascii="Times New Roman" w:hAnsi="Times New Roman" w:cs="Times New Roman"/>
                <w:noProof/>
                <w:color w:val="006100"/>
                <w:spacing w:val="-6"/>
                <w:sz w:val="18"/>
                <w:szCs w:val="18"/>
                <w:lang w:val="sk-SK"/>
              </w:rPr>
            </w:pPr>
          </w:p>
        </w:tc>
        <w:tc>
          <w:tcPr>
            <w:tcW w:w="337"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3131C638" w14:textId="77777777" w:rsidR="00302FC1" w:rsidRPr="00AB26B3" w:rsidRDefault="00302FC1">
            <w:pPr>
              <w:spacing w:line="240" w:lineRule="auto"/>
              <w:rPr>
                <w:rFonts w:ascii="Times New Roman" w:hAnsi="Times New Roman" w:cs="Times New Roman"/>
                <w:noProof/>
                <w:color w:val="006100"/>
                <w:spacing w:val="-6"/>
                <w:sz w:val="18"/>
                <w:szCs w:val="18"/>
                <w:lang w:val="sk-SK"/>
              </w:rPr>
            </w:pPr>
          </w:p>
        </w:tc>
        <w:tc>
          <w:tcPr>
            <w:tcW w:w="199"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5D8E0D9C" w14:textId="77777777" w:rsidR="00302FC1" w:rsidRPr="00AB26B3" w:rsidRDefault="00302FC1">
            <w:pPr>
              <w:spacing w:line="240" w:lineRule="auto"/>
              <w:rPr>
                <w:rFonts w:ascii="Times New Roman" w:hAnsi="Times New Roman" w:cs="Times New Roman"/>
                <w:noProof/>
                <w:color w:val="006100"/>
                <w:spacing w:val="-6"/>
                <w:sz w:val="18"/>
                <w:szCs w:val="18"/>
                <w:lang w:val="sk-SK"/>
              </w:rPr>
            </w:pPr>
          </w:p>
        </w:tc>
        <w:tc>
          <w:tcPr>
            <w:tcW w:w="226"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2DAD0D83" w14:textId="77777777" w:rsidR="00302FC1" w:rsidRPr="00AB26B3" w:rsidRDefault="00D64F26">
            <w:pPr>
              <w:pStyle w:val="P68B1DB1-Normal12"/>
              <w:spacing w:line="240" w:lineRule="auto"/>
              <w:rPr>
                <w:noProof/>
                <w:spacing w:val="-6"/>
                <w:lang w:val="sk-SK"/>
              </w:rPr>
            </w:pPr>
            <w:r w:rsidRPr="00AB26B3">
              <w:rPr>
                <w:noProof/>
                <w:spacing w:val="-6"/>
                <w:lang w:val="sk-SK"/>
              </w:rPr>
              <w:t>ŠTVRŤROK</w:t>
            </w:r>
          </w:p>
        </w:tc>
        <w:tc>
          <w:tcPr>
            <w:tcW w:w="204"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62EC2D62" w14:textId="77777777" w:rsidR="00302FC1" w:rsidRPr="00AB26B3" w:rsidRDefault="00D64F26">
            <w:pPr>
              <w:pStyle w:val="P68B1DB1-Normal12"/>
              <w:spacing w:line="240" w:lineRule="auto"/>
              <w:rPr>
                <w:noProof/>
                <w:spacing w:val="-6"/>
                <w:lang w:val="sk-SK"/>
              </w:rPr>
            </w:pPr>
            <w:r w:rsidRPr="00AB26B3">
              <w:rPr>
                <w:noProof/>
                <w:spacing w:val="-6"/>
                <w:lang w:val="sk-SK"/>
              </w:rPr>
              <w:t>2026</w:t>
            </w:r>
          </w:p>
        </w:tc>
        <w:tc>
          <w:tcPr>
            <w:tcW w:w="1217"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1995FDCB" w14:textId="77777777" w:rsidR="00302FC1" w:rsidRPr="00AB26B3" w:rsidRDefault="00D64F26">
            <w:pPr>
              <w:pStyle w:val="P68B1DB1-Normal12"/>
              <w:spacing w:line="240" w:lineRule="auto"/>
              <w:rPr>
                <w:noProof/>
                <w:spacing w:val="-6"/>
                <w:lang w:val="sk-SK"/>
              </w:rPr>
            </w:pPr>
            <w:r w:rsidRPr="00AB26B3">
              <w:rPr>
                <w:noProof/>
                <w:spacing w:val="-6"/>
                <w:lang w:val="sk-SK"/>
              </w:rPr>
              <w:t>Grécko prevedie 2 miliardy EUR Helénskej rozvojovej banke na zvýšenie jej kapitálu.</w:t>
            </w:r>
          </w:p>
          <w:p w14:paraId="2A360B85" w14:textId="1375C4F5" w:rsidR="00302FC1" w:rsidRPr="00AB26B3" w:rsidRDefault="00D64F26">
            <w:pPr>
              <w:pStyle w:val="P68B1DB1-Normal12"/>
              <w:spacing w:line="240" w:lineRule="auto"/>
              <w:rPr>
                <w:noProof/>
                <w:spacing w:val="-6"/>
                <w:lang w:val="sk-SK"/>
              </w:rPr>
            </w:pPr>
            <w:r w:rsidRPr="00AB26B3">
              <w:rPr>
                <w:noProof/>
                <w:spacing w:val="-6"/>
                <w:lang w:val="sk-SK"/>
              </w:rPr>
              <w:t>Okrem kapitálovej injekcie do Helénskej rozvojovej banky, ktorá predstavuje investíciu</w:t>
            </w:r>
            <w:r w:rsidR="00AB26B3" w:rsidRPr="00AB26B3">
              <w:rPr>
                <w:noProof/>
                <w:spacing w:val="-6"/>
                <w:lang w:val="sk-SK"/>
              </w:rPr>
              <w:t xml:space="preserve"> v </w:t>
            </w:r>
            <w:r w:rsidRPr="00AB26B3">
              <w:rPr>
                <w:noProof/>
                <w:spacing w:val="-6"/>
                <w:lang w:val="sk-SK"/>
              </w:rPr>
              <w:t>rámci Mechanizmu na podporu obnovy</w:t>
            </w:r>
            <w:r w:rsidR="00AB26B3" w:rsidRPr="00AB26B3">
              <w:rPr>
                <w:noProof/>
                <w:spacing w:val="-6"/>
                <w:lang w:val="sk-SK"/>
              </w:rPr>
              <w:t xml:space="preserve"> a </w:t>
            </w:r>
            <w:r w:rsidRPr="00AB26B3">
              <w:rPr>
                <w:noProof/>
                <w:spacing w:val="-6"/>
                <w:lang w:val="sk-SK"/>
              </w:rPr>
              <w:t>odolnosti, Grécko predloží správu,</w:t>
            </w:r>
            <w:r w:rsidR="00AB26B3" w:rsidRPr="00AB26B3">
              <w:rPr>
                <w:noProof/>
                <w:spacing w:val="-6"/>
                <w:lang w:val="sk-SK"/>
              </w:rPr>
              <w:t xml:space="preserve"> v </w:t>
            </w:r>
            <w:r w:rsidRPr="00AB26B3">
              <w:rPr>
                <w:noProof/>
                <w:spacing w:val="-6"/>
                <w:lang w:val="sk-SK"/>
              </w:rPr>
              <w:t>ktorej uvedie opatrenia, ktoré Helénska rozvojová banka prijala do 31</w:t>
            </w:r>
            <w:r w:rsidR="00AB26B3" w:rsidRPr="00AB26B3">
              <w:rPr>
                <w:noProof/>
                <w:spacing w:val="-6"/>
                <w:lang w:val="sk-SK"/>
              </w:rPr>
              <w:t>. augusta</w:t>
            </w:r>
            <w:r w:rsidRPr="00AB26B3">
              <w:rPr>
                <w:noProof/>
                <w:spacing w:val="-6"/>
                <w:lang w:val="sk-SK"/>
              </w:rPr>
              <w:t xml:space="preserve"> 2026 na vykonávanie investičnej politiky, vrátane krokov prijatých na implementáciu finančných produktov, ktoré má dodatočný kapitál pôvodne podporiť, ako aj očakávaných krokov, ktoré sa majú prijať na ďalšiu implementáciu týchto produktov.</w:t>
            </w:r>
          </w:p>
        </w:tc>
      </w:tr>
    </w:tbl>
    <w:p w14:paraId="63C0B5B5" w14:textId="77777777" w:rsidR="00302FC1" w:rsidRPr="00AB26B3" w:rsidRDefault="00302FC1">
      <w:pPr>
        <w:jc w:val="both"/>
        <w:rPr>
          <w:rFonts w:ascii="Times New Roman" w:hAnsi="Times New Roman" w:cs="Times New Roman"/>
          <w:b/>
          <w:bCs/>
          <w:noProof/>
          <w:spacing w:val="-6"/>
          <w:u w:val="single"/>
          <w:lang w:val="sk-SK"/>
        </w:rPr>
      </w:pPr>
    </w:p>
    <w:p w14:paraId="45829097" w14:textId="77777777" w:rsidR="00302FC1" w:rsidRPr="00AB26B3" w:rsidRDefault="00302FC1">
      <w:pPr>
        <w:jc w:val="both"/>
        <w:rPr>
          <w:rFonts w:ascii="Times New Roman" w:hAnsi="Times New Roman" w:cs="Times New Roman"/>
          <w:b/>
          <w:bCs/>
          <w:noProof/>
          <w:spacing w:val="-6"/>
          <w:u w:val="single"/>
          <w:lang w:val="sk-SK"/>
        </w:rPr>
      </w:pPr>
    </w:p>
    <w:p w14:paraId="7307D856" w14:textId="77777777" w:rsidR="00302FC1" w:rsidRPr="00AB26B3" w:rsidRDefault="00D64F26">
      <w:pPr>
        <w:pStyle w:val="P68B1DB1-Normal9"/>
        <w:keepNext/>
        <w:keepLines/>
        <w:spacing w:before="40" w:after="240" w:line="240" w:lineRule="auto"/>
        <w:jc w:val="both"/>
        <w:outlineLvl w:val="4"/>
        <w:rPr>
          <w:rFonts w:ascii="Times New Roman" w:hAnsi="Times New Roman"/>
          <w:noProof/>
          <w:spacing w:val="-6"/>
          <w:lang w:val="sk-SK"/>
        </w:rPr>
      </w:pPr>
      <w:r w:rsidRPr="00AB26B3">
        <w:rPr>
          <w:rFonts w:ascii="Times New Roman" w:hAnsi="Times New Roman"/>
          <w:noProof/>
          <w:spacing w:val="-6"/>
          <w:lang w:val="sk-SK"/>
        </w:rPr>
        <w:t>Posúdenie pilierov Helénskej rozvojovej banky (16405)</w:t>
      </w:r>
    </w:p>
    <w:tbl>
      <w:tblPr>
        <w:tblW w:w="5251" w:type="pct"/>
        <w:tblInd w:w="-705" w:type="dxa"/>
        <w:tblLook w:val="04A0" w:firstRow="1" w:lastRow="0" w:firstColumn="1" w:lastColumn="0" w:noHBand="0" w:noVBand="1"/>
      </w:tblPr>
      <w:tblGrid>
        <w:gridCol w:w="551"/>
        <w:gridCol w:w="2565"/>
        <w:gridCol w:w="1120"/>
        <w:gridCol w:w="1719"/>
        <w:gridCol w:w="1554"/>
        <w:gridCol w:w="693"/>
        <w:gridCol w:w="949"/>
        <w:gridCol w:w="555"/>
        <w:gridCol w:w="933"/>
        <w:gridCol w:w="567"/>
        <w:gridCol w:w="3533"/>
      </w:tblGrid>
      <w:tr w:rsidR="00302FC1" w:rsidRPr="00AB26B3" w14:paraId="252276A2" w14:textId="77777777">
        <w:trPr>
          <w:trHeight w:val="300"/>
          <w:tblHeader/>
        </w:trPr>
        <w:tc>
          <w:tcPr>
            <w:tcW w:w="204" w:type="pct"/>
            <w:vMerge w:val="restart"/>
            <w:tcBorders>
              <w:top w:val="single" w:sz="6" w:space="0" w:color="auto"/>
              <w:left w:val="single" w:sz="6" w:space="0" w:color="auto"/>
              <w:right w:val="single" w:sz="6" w:space="0" w:color="auto"/>
            </w:tcBorders>
            <w:shd w:val="clear" w:color="auto" w:fill="C6D9F1"/>
            <w:tcMar>
              <w:top w:w="15" w:type="dxa"/>
              <w:left w:w="15" w:type="dxa"/>
              <w:bottom w:w="15" w:type="dxa"/>
              <w:right w:w="15" w:type="dxa"/>
            </w:tcMar>
            <w:vAlign w:val="center"/>
          </w:tcPr>
          <w:p w14:paraId="0F03578D"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A nasl. Nie.</w:t>
            </w:r>
          </w:p>
        </w:tc>
        <w:tc>
          <w:tcPr>
            <w:tcW w:w="887" w:type="pct"/>
            <w:vMerge w:val="restart"/>
            <w:tcBorders>
              <w:top w:val="single" w:sz="6" w:space="0" w:color="auto"/>
              <w:left w:val="single" w:sz="6" w:space="0" w:color="auto"/>
              <w:right w:val="single" w:sz="6" w:space="0" w:color="auto"/>
            </w:tcBorders>
            <w:shd w:val="clear" w:color="auto" w:fill="C6D9F1"/>
            <w:tcMar>
              <w:top w:w="15" w:type="dxa"/>
              <w:left w:w="15" w:type="dxa"/>
              <w:bottom w:w="15" w:type="dxa"/>
              <w:right w:w="15" w:type="dxa"/>
            </w:tcMar>
            <w:vAlign w:val="center"/>
          </w:tcPr>
          <w:p w14:paraId="0E427CE4"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Súvisiace opatrenie (reforma alebo investícia)</w:t>
            </w:r>
          </w:p>
        </w:tc>
        <w:tc>
          <w:tcPr>
            <w:tcW w:w="397" w:type="pct"/>
            <w:vMerge w:val="restart"/>
            <w:tcBorders>
              <w:top w:val="single" w:sz="6" w:space="0" w:color="auto"/>
              <w:left w:val="single" w:sz="6" w:space="0" w:color="auto"/>
              <w:right w:val="single" w:sz="6" w:space="0" w:color="auto"/>
            </w:tcBorders>
            <w:shd w:val="clear" w:color="auto" w:fill="C6D9F1"/>
            <w:tcMar>
              <w:top w:w="15" w:type="dxa"/>
              <w:left w:w="15" w:type="dxa"/>
              <w:bottom w:w="15" w:type="dxa"/>
              <w:right w:w="15" w:type="dxa"/>
            </w:tcMar>
            <w:vAlign w:val="center"/>
          </w:tcPr>
          <w:p w14:paraId="27BDE0F1"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Míľnik/cieľ</w:t>
            </w:r>
          </w:p>
        </w:tc>
        <w:tc>
          <w:tcPr>
            <w:tcW w:w="600" w:type="pct"/>
            <w:vMerge w:val="restart"/>
            <w:tcBorders>
              <w:top w:val="single" w:sz="6" w:space="0" w:color="auto"/>
              <w:left w:val="single" w:sz="6" w:space="0" w:color="auto"/>
              <w:right w:val="single" w:sz="6" w:space="0" w:color="auto"/>
            </w:tcBorders>
            <w:shd w:val="clear" w:color="auto" w:fill="C6D9F1"/>
            <w:tcMar>
              <w:top w:w="15" w:type="dxa"/>
              <w:left w:w="15" w:type="dxa"/>
              <w:bottom w:w="15" w:type="dxa"/>
              <w:right w:w="15" w:type="dxa"/>
            </w:tcMar>
            <w:vAlign w:val="center"/>
          </w:tcPr>
          <w:p w14:paraId="3A6B342D"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Názov</w:t>
            </w:r>
          </w:p>
        </w:tc>
        <w:tc>
          <w:tcPr>
            <w:tcW w:w="544" w:type="pct"/>
            <w:vMerge w:val="restart"/>
            <w:tcBorders>
              <w:top w:val="single" w:sz="6" w:space="0" w:color="auto"/>
              <w:left w:val="single" w:sz="6" w:space="0" w:color="auto"/>
              <w:right w:val="single" w:sz="6" w:space="0" w:color="auto"/>
            </w:tcBorders>
            <w:shd w:val="clear" w:color="auto" w:fill="C6D9F1"/>
            <w:tcMar>
              <w:top w:w="15" w:type="dxa"/>
              <w:left w:w="15" w:type="dxa"/>
              <w:bottom w:w="15" w:type="dxa"/>
              <w:right w:w="15" w:type="dxa"/>
            </w:tcMar>
            <w:vAlign w:val="center"/>
          </w:tcPr>
          <w:p w14:paraId="3DBD65C9" w14:textId="147C50E0"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Kvalitatívne ukazovatele (pre míľniky)</w:t>
            </w:r>
          </w:p>
        </w:tc>
        <w:tc>
          <w:tcPr>
            <w:tcW w:w="796" w:type="pct"/>
            <w:gridSpan w:val="3"/>
            <w:tcBorders>
              <w:top w:val="single" w:sz="6" w:space="0" w:color="auto"/>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25F695C8"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Kvantitatívny ukazovateľ (pre ciele)</w:t>
            </w:r>
          </w:p>
        </w:tc>
        <w:tc>
          <w:tcPr>
            <w:tcW w:w="357" w:type="pct"/>
            <w:gridSpan w:val="2"/>
            <w:tcBorders>
              <w:top w:val="single" w:sz="6" w:space="0" w:color="auto"/>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7FDCD140"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Orientačný harmonogram dokončenia</w:t>
            </w:r>
          </w:p>
        </w:tc>
        <w:tc>
          <w:tcPr>
            <w:tcW w:w="1215" w:type="pct"/>
            <w:vMerge w:val="restart"/>
            <w:tcBorders>
              <w:top w:val="single" w:sz="6" w:space="0" w:color="auto"/>
              <w:left w:val="single" w:sz="6" w:space="0" w:color="auto"/>
              <w:right w:val="single" w:sz="6" w:space="0" w:color="auto"/>
            </w:tcBorders>
            <w:shd w:val="clear" w:color="auto" w:fill="C6D9F1"/>
            <w:tcMar>
              <w:top w:w="15" w:type="dxa"/>
              <w:left w:w="15" w:type="dxa"/>
              <w:bottom w:w="15" w:type="dxa"/>
              <w:right w:w="15" w:type="dxa"/>
            </w:tcMar>
            <w:vAlign w:val="center"/>
          </w:tcPr>
          <w:p w14:paraId="55547BE9" w14:textId="65E38A51"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7B24C5A" w14:textId="77777777">
        <w:trPr>
          <w:trHeight w:val="505"/>
          <w:tblHeader/>
        </w:trPr>
        <w:tc>
          <w:tcPr>
            <w:tcW w:w="204" w:type="pct"/>
            <w:vMerge/>
            <w:tcBorders>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362DE84A"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887" w:type="pct"/>
            <w:vMerge/>
            <w:tcBorders>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1A3524A5"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397" w:type="pct"/>
            <w:vMerge/>
            <w:tcBorders>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03CB858B"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600" w:type="pct"/>
            <w:vMerge/>
            <w:tcBorders>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31CED06E"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544" w:type="pct"/>
            <w:vMerge/>
            <w:tcBorders>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661EE8DF"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249" w:type="pct"/>
            <w:tcBorders>
              <w:top w:val="single" w:sz="6" w:space="0" w:color="auto"/>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4AD895D8"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Jednotka</w:t>
            </w:r>
          </w:p>
        </w:tc>
        <w:tc>
          <w:tcPr>
            <w:tcW w:w="342" w:type="pct"/>
            <w:tcBorders>
              <w:top w:val="single" w:sz="6" w:space="0" w:color="auto"/>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71F94958"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Základná</w:t>
            </w:r>
          </w:p>
        </w:tc>
        <w:tc>
          <w:tcPr>
            <w:tcW w:w="205" w:type="pct"/>
            <w:tcBorders>
              <w:top w:val="single" w:sz="6" w:space="0" w:color="auto"/>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037FB8EC" w14:textId="77777777" w:rsidR="00302FC1" w:rsidRPr="00AB26B3" w:rsidRDefault="00D64F26">
            <w:pPr>
              <w:pStyle w:val="P68B1DB1-Normal40"/>
              <w:spacing w:after="0" w:line="240" w:lineRule="auto"/>
              <w:jc w:val="center"/>
              <w:rPr>
                <w:rFonts w:eastAsia="Times New Roman" w:cs="Times New Roman"/>
                <w:noProof/>
                <w:spacing w:val="-6"/>
                <w:lang w:val="sk-SK"/>
              </w:rPr>
            </w:pPr>
            <w:r w:rsidRPr="00AB26B3">
              <w:rPr>
                <w:noProof/>
                <w:spacing w:val="-6"/>
                <w:lang w:val="sk-SK"/>
              </w:rPr>
              <w:t>Cieľ</w:t>
            </w:r>
          </w:p>
        </w:tc>
        <w:tc>
          <w:tcPr>
            <w:tcW w:w="148" w:type="pct"/>
            <w:tcBorders>
              <w:top w:val="single" w:sz="6" w:space="0" w:color="auto"/>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55E5E444"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209" w:type="pct"/>
            <w:tcBorders>
              <w:top w:val="single" w:sz="6" w:space="0" w:color="auto"/>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6F72D6D2"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c>
          <w:tcPr>
            <w:tcW w:w="1215" w:type="pct"/>
            <w:vMerge/>
            <w:tcBorders>
              <w:left w:val="single" w:sz="6" w:space="0" w:color="auto"/>
              <w:bottom w:val="single" w:sz="6" w:space="0" w:color="auto"/>
              <w:right w:val="single" w:sz="6" w:space="0" w:color="auto"/>
            </w:tcBorders>
            <w:shd w:val="clear" w:color="auto" w:fill="C6D9F1"/>
            <w:tcMar>
              <w:top w:w="15" w:type="dxa"/>
              <w:left w:w="15" w:type="dxa"/>
              <w:bottom w:w="15" w:type="dxa"/>
              <w:right w:w="15" w:type="dxa"/>
            </w:tcMar>
          </w:tcPr>
          <w:p w14:paraId="23A8397E" w14:textId="77777777" w:rsidR="00302FC1" w:rsidRPr="00AB26B3" w:rsidRDefault="00302FC1">
            <w:pPr>
              <w:spacing w:after="0" w:line="240" w:lineRule="auto"/>
              <w:jc w:val="center"/>
              <w:rPr>
                <w:rFonts w:ascii="Times New Roman" w:eastAsia="Times New Roman" w:hAnsi="Times New Roman" w:cs="Times New Roman"/>
                <w:noProof/>
                <w:spacing w:val="-6"/>
                <w:sz w:val="18"/>
                <w:szCs w:val="18"/>
                <w:lang w:val="sk-SK"/>
              </w:rPr>
            </w:pPr>
          </w:p>
        </w:tc>
      </w:tr>
      <w:tr w:rsidR="00302FC1" w:rsidRPr="00AB26B3" w14:paraId="5982C7DE" w14:textId="77777777">
        <w:trPr>
          <w:trHeight w:val="739"/>
        </w:trPr>
        <w:tc>
          <w:tcPr>
            <w:tcW w:w="204"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5E27C74D" w14:textId="18B22C16" w:rsidR="00302FC1" w:rsidRPr="00AB26B3" w:rsidRDefault="00D64F26">
            <w:pPr>
              <w:pStyle w:val="P68B1DB1-Normal12"/>
              <w:spacing w:line="240" w:lineRule="auto"/>
              <w:rPr>
                <w:noProof/>
                <w:spacing w:val="-6"/>
                <w:lang w:val="sk-SK"/>
              </w:rPr>
            </w:pPr>
            <w:r w:rsidRPr="00AB26B3">
              <w:rPr>
                <w:noProof/>
                <w:spacing w:val="-6"/>
                <w:lang w:val="sk-SK"/>
              </w:rPr>
              <w:t>384</w:t>
            </w:r>
          </w:p>
        </w:tc>
        <w:tc>
          <w:tcPr>
            <w:tcW w:w="887"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3715AE10" w14:textId="63FC801C" w:rsidR="00302FC1" w:rsidRPr="00AB26B3" w:rsidRDefault="00D64F26">
            <w:pPr>
              <w:pStyle w:val="P68B1DB1-Normal12"/>
              <w:spacing w:line="240" w:lineRule="auto"/>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16405_Pillar assessment of the Hellenic Development Bank</w:t>
            </w:r>
          </w:p>
        </w:tc>
        <w:tc>
          <w:tcPr>
            <w:tcW w:w="397"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55C37487" w14:textId="77777777" w:rsidR="00302FC1" w:rsidRPr="00AB26B3" w:rsidRDefault="00D64F26">
            <w:pPr>
              <w:pStyle w:val="P68B1DB1-Normal12"/>
              <w:spacing w:line="240" w:lineRule="auto"/>
              <w:rPr>
                <w:noProof/>
                <w:spacing w:val="-6"/>
                <w:lang w:val="sk-SK"/>
              </w:rPr>
            </w:pPr>
            <w:r w:rsidRPr="00AB26B3">
              <w:rPr>
                <w:noProof/>
                <w:spacing w:val="-6"/>
                <w:lang w:val="sk-SK"/>
              </w:rPr>
              <w:t>Míľnik</w:t>
            </w:r>
          </w:p>
        </w:tc>
        <w:tc>
          <w:tcPr>
            <w:tcW w:w="600"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465A3B48" w14:textId="3CB8BB50" w:rsidR="00302FC1" w:rsidRPr="00AB26B3" w:rsidRDefault="00D64F26">
            <w:pPr>
              <w:pStyle w:val="P68B1DB1-Normal12"/>
              <w:spacing w:line="240" w:lineRule="auto"/>
              <w:rPr>
                <w:noProof/>
                <w:spacing w:val="-6"/>
                <w:lang w:val="sk-SK"/>
              </w:rPr>
            </w:pPr>
            <w:r w:rsidRPr="00AB26B3">
              <w:rPr>
                <w:noProof/>
                <w:spacing w:val="-6"/>
                <w:lang w:val="sk-SK"/>
              </w:rPr>
              <w:t>Helénska rozvojová banka je hodnotená</w:t>
            </w:r>
            <w:r w:rsidR="00AB26B3" w:rsidRPr="00AB26B3">
              <w:rPr>
                <w:noProof/>
                <w:spacing w:val="-6"/>
                <w:lang w:val="sk-SK"/>
              </w:rPr>
              <w:t xml:space="preserve"> z </w:t>
            </w:r>
            <w:r w:rsidRPr="00AB26B3">
              <w:rPr>
                <w:noProof/>
                <w:spacing w:val="-6"/>
                <w:lang w:val="sk-SK"/>
              </w:rPr>
              <w:t>hľadiska pilierov</w:t>
            </w:r>
          </w:p>
        </w:tc>
        <w:tc>
          <w:tcPr>
            <w:tcW w:w="544"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0EA103A3" w14:textId="380FF536" w:rsidR="00302FC1" w:rsidRPr="00AB26B3" w:rsidRDefault="00D64F26">
            <w:pPr>
              <w:pStyle w:val="P68B1DB1-Normal12"/>
              <w:spacing w:line="240" w:lineRule="auto"/>
              <w:rPr>
                <w:noProof/>
                <w:spacing w:val="-6"/>
                <w:lang w:val="sk-SK"/>
              </w:rPr>
            </w:pPr>
            <w:r w:rsidRPr="00AB26B3">
              <w:rPr>
                <w:noProof/>
                <w:spacing w:val="-6"/>
                <w:lang w:val="sk-SK"/>
              </w:rPr>
              <w:t>Helénska rozvojová banka je hodnotená</w:t>
            </w:r>
            <w:r w:rsidR="00AB26B3" w:rsidRPr="00AB26B3">
              <w:rPr>
                <w:noProof/>
                <w:spacing w:val="-6"/>
                <w:lang w:val="sk-SK"/>
              </w:rPr>
              <w:t xml:space="preserve"> z </w:t>
            </w:r>
            <w:r w:rsidRPr="00AB26B3">
              <w:rPr>
                <w:noProof/>
                <w:spacing w:val="-6"/>
                <w:lang w:val="sk-SK"/>
              </w:rPr>
              <w:t>hľadiska využívania finančných prostriedkov EÚ ako pilier</w:t>
            </w:r>
          </w:p>
        </w:tc>
        <w:tc>
          <w:tcPr>
            <w:tcW w:w="249"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52154CD2" w14:textId="77777777" w:rsidR="00302FC1" w:rsidRPr="00AB26B3" w:rsidRDefault="00302FC1">
            <w:pPr>
              <w:spacing w:line="240" w:lineRule="auto"/>
              <w:rPr>
                <w:rFonts w:ascii="Times New Roman" w:hAnsi="Times New Roman" w:cs="Times New Roman"/>
                <w:noProof/>
                <w:color w:val="006100"/>
                <w:spacing w:val="-6"/>
                <w:sz w:val="18"/>
                <w:szCs w:val="18"/>
                <w:lang w:val="sk-SK"/>
              </w:rPr>
            </w:pPr>
          </w:p>
        </w:tc>
        <w:tc>
          <w:tcPr>
            <w:tcW w:w="342"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1630EE81" w14:textId="77777777" w:rsidR="00302FC1" w:rsidRPr="00AB26B3" w:rsidRDefault="00302FC1">
            <w:pPr>
              <w:spacing w:line="240" w:lineRule="auto"/>
              <w:rPr>
                <w:rFonts w:ascii="Times New Roman" w:hAnsi="Times New Roman" w:cs="Times New Roman"/>
                <w:noProof/>
                <w:color w:val="006100"/>
                <w:spacing w:val="-6"/>
                <w:sz w:val="18"/>
                <w:szCs w:val="18"/>
                <w:lang w:val="sk-SK"/>
              </w:rPr>
            </w:pPr>
          </w:p>
        </w:tc>
        <w:tc>
          <w:tcPr>
            <w:tcW w:w="205"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6E3A9903" w14:textId="77777777" w:rsidR="00302FC1" w:rsidRPr="00AB26B3" w:rsidRDefault="00302FC1">
            <w:pPr>
              <w:spacing w:line="240" w:lineRule="auto"/>
              <w:rPr>
                <w:rFonts w:ascii="Times New Roman" w:hAnsi="Times New Roman" w:cs="Times New Roman"/>
                <w:noProof/>
                <w:color w:val="006100"/>
                <w:spacing w:val="-6"/>
                <w:sz w:val="18"/>
                <w:szCs w:val="18"/>
                <w:lang w:val="sk-SK"/>
              </w:rPr>
            </w:pPr>
          </w:p>
        </w:tc>
        <w:tc>
          <w:tcPr>
            <w:tcW w:w="148"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590CF33C" w14:textId="77777777" w:rsidR="00302FC1" w:rsidRPr="00AB26B3" w:rsidRDefault="00D64F26">
            <w:pPr>
              <w:pStyle w:val="P68B1DB1-Normal12"/>
              <w:spacing w:line="240" w:lineRule="auto"/>
              <w:rPr>
                <w:noProof/>
                <w:spacing w:val="-6"/>
                <w:lang w:val="sk-SK"/>
              </w:rPr>
            </w:pPr>
            <w:r w:rsidRPr="00AB26B3">
              <w:rPr>
                <w:noProof/>
                <w:spacing w:val="-6"/>
                <w:lang w:val="sk-SK"/>
              </w:rPr>
              <w:t>ŠTVRŤROK</w:t>
            </w:r>
          </w:p>
        </w:tc>
        <w:tc>
          <w:tcPr>
            <w:tcW w:w="209"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60DC3B68" w14:textId="77777777" w:rsidR="00302FC1" w:rsidRPr="00AB26B3" w:rsidRDefault="00D64F26">
            <w:pPr>
              <w:pStyle w:val="P68B1DB1-Normal12"/>
              <w:spacing w:line="240" w:lineRule="auto"/>
              <w:rPr>
                <w:noProof/>
                <w:spacing w:val="-6"/>
                <w:lang w:val="sk-SK"/>
              </w:rPr>
            </w:pPr>
            <w:r w:rsidRPr="00AB26B3">
              <w:rPr>
                <w:noProof/>
                <w:spacing w:val="-6"/>
                <w:lang w:val="sk-SK"/>
              </w:rPr>
              <w:t>2026</w:t>
            </w:r>
          </w:p>
        </w:tc>
        <w:tc>
          <w:tcPr>
            <w:tcW w:w="1215" w:type="pct"/>
            <w:tcBorders>
              <w:top w:val="single" w:sz="6" w:space="0" w:color="auto"/>
              <w:left w:val="single" w:sz="6" w:space="0" w:color="auto"/>
              <w:bottom w:val="single" w:sz="6" w:space="0" w:color="auto"/>
              <w:right w:val="single" w:sz="6" w:space="0" w:color="auto"/>
            </w:tcBorders>
            <w:shd w:val="clear" w:color="auto" w:fill="C6EFCE"/>
            <w:tcMar>
              <w:top w:w="15" w:type="dxa"/>
              <w:left w:w="15" w:type="dxa"/>
              <w:bottom w:w="15" w:type="dxa"/>
              <w:right w:w="15" w:type="dxa"/>
            </w:tcMar>
          </w:tcPr>
          <w:p w14:paraId="7BDFF339" w14:textId="699F4820" w:rsidR="00302FC1" w:rsidRPr="00AB26B3" w:rsidRDefault="00D64F26">
            <w:pPr>
              <w:pStyle w:val="P68B1DB1-Normal12"/>
              <w:rPr>
                <w:noProof/>
                <w:spacing w:val="-6"/>
                <w:lang w:val="sk-SK"/>
              </w:rPr>
            </w:pPr>
            <w:r w:rsidRPr="00AB26B3">
              <w:rPr>
                <w:noProof/>
                <w:spacing w:val="-6"/>
                <w:lang w:val="sk-SK"/>
              </w:rPr>
              <w:t>Pilier Helénskej rozvojovej banky pozitívne hodnotí nezávislý externý audítor.</w:t>
            </w:r>
          </w:p>
        </w:tc>
      </w:tr>
    </w:tbl>
    <w:p w14:paraId="093A7ABA" w14:textId="77777777" w:rsidR="00302FC1" w:rsidRPr="00AB26B3" w:rsidRDefault="00302FC1">
      <w:pPr>
        <w:rPr>
          <w:rFonts w:ascii="Times New Roman" w:hAnsi="Times New Roman" w:cs="Times New Roman"/>
          <w:b/>
          <w:bCs/>
          <w:noProof/>
          <w:spacing w:val="-6"/>
          <w:sz w:val="24"/>
          <w:szCs w:val="24"/>
          <w:u w:val="single"/>
          <w:lang w:val="sk-SK"/>
        </w:rPr>
      </w:pPr>
    </w:p>
    <w:p w14:paraId="2382D457" w14:textId="77777777" w:rsidR="00302FC1" w:rsidRPr="00AB26B3" w:rsidRDefault="00302FC1">
      <w:pPr>
        <w:rPr>
          <w:rFonts w:ascii="Times New Roman" w:hAnsi="Times New Roman"/>
          <w:noProof/>
          <w:spacing w:val="-6"/>
          <w:lang w:val="sk-SK"/>
        </w:rPr>
      </w:pPr>
    </w:p>
    <w:p w14:paraId="3FE163F1" w14:textId="77777777" w:rsidR="00302FC1" w:rsidRPr="00AB26B3" w:rsidRDefault="00302FC1">
      <w:pPr>
        <w:spacing w:before="120" w:after="120" w:line="240" w:lineRule="auto"/>
        <w:ind w:firstLine="6"/>
        <w:jc w:val="both"/>
        <w:outlineLvl w:val="3"/>
        <w:rPr>
          <w:rFonts w:ascii="Times New Roman" w:hAnsi="Times New Roman"/>
          <w:b/>
          <w:bCs/>
          <w:noProof/>
          <w:spacing w:val="-6"/>
          <w:sz w:val="24"/>
          <w:szCs w:val="24"/>
          <w:lang w:val="sk-SK"/>
        </w:rPr>
        <w:sectPr w:rsidR="00302FC1" w:rsidRPr="00AB26B3" w:rsidSect="009A23C0">
          <w:headerReference w:type="even" r:id="rId336"/>
          <w:headerReference w:type="default" r:id="rId337"/>
          <w:footerReference w:type="even" r:id="rId338"/>
          <w:footerReference w:type="default" r:id="rId339"/>
          <w:headerReference w:type="first" r:id="rId340"/>
          <w:footerReference w:type="first" r:id="rId341"/>
          <w:pgSz w:w="16838" w:h="11906" w:orient="landscape"/>
          <w:pgMar w:top="1417" w:right="1417" w:bottom="1417" w:left="1417" w:header="708" w:footer="708" w:gutter="0"/>
          <w:cols w:space="708"/>
          <w:docGrid w:linePitch="360"/>
        </w:sectPr>
      </w:pPr>
    </w:p>
    <w:p w14:paraId="5A59BA2F" w14:textId="77777777" w:rsidR="00302FC1" w:rsidRPr="00AB26B3" w:rsidRDefault="00D64F26">
      <w:pPr>
        <w:pStyle w:val="P68B1DB1-Normal46"/>
        <w:spacing w:before="120" w:after="120" w:line="240" w:lineRule="auto"/>
        <w:ind w:firstLine="6"/>
        <w:jc w:val="both"/>
        <w:outlineLvl w:val="3"/>
        <w:rPr>
          <w:rFonts w:cs="Times New Roman"/>
          <w:bCs/>
          <w:noProof/>
          <w:spacing w:val="-6"/>
          <w:lang w:val="sk-SK"/>
        </w:rPr>
      </w:pPr>
      <w:r w:rsidRPr="00AB26B3">
        <w:rPr>
          <w:noProof/>
          <w:spacing w:val="-6"/>
          <w:lang w:val="sk-SK"/>
        </w:rPr>
        <w:t>T. ZLOŽKA 5.1: REFORMY REPowerEU</w:t>
      </w:r>
    </w:p>
    <w:p w14:paraId="3F4870EB" w14:textId="3B7B329C"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T.1.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5920CB06" w14:textId="750ED687"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Kapitola obsahuje súbor reforiem na podporu dekarbonizácie,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plynov</w:t>
      </w:r>
      <w:r w:rsidR="00AB26B3" w:rsidRPr="00AB26B3">
        <w:rPr>
          <w:noProof/>
          <w:spacing w:val="-6"/>
          <w:lang w:val="sk-SK"/>
        </w:rPr>
        <w:t xml:space="preserve"> z </w:t>
      </w:r>
      <w:r w:rsidRPr="00AB26B3">
        <w:rPr>
          <w:noProof/>
          <w:spacing w:val="-6"/>
          <w:lang w:val="sk-SK"/>
        </w:rPr>
        <w:t>obnoviteľných zdrojov vrátane: 1. reformu týkajúcu sa zavedenia legislatívneho rámca na umožnenie</w:t>
      </w:r>
      <w:r w:rsidR="00AB26B3" w:rsidRPr="00AB26B3">
        <w:rPr>
          <w:noProof/>
          <w:spacing w:val="-6"/>
          <w:lang w:val="sk-SK"/>
        </w:rPr>
        <w:t xml:space="preserve"> a </w:t>
      </w:r>
      <w:r w:rsidRPr="00AB26B3">
        <w:rPr>
          <w:noProof/>
          <w:spacing w:val="-6"/>
          <w:lang w:val="sk-SK"/>
        </w:rPr>
        <w:t>uľahčenie výroby, skladovania, prepravy</w:t>
      </w:r>
      <w:r w:rsidR="00AB26B3" w:rsidRPr="00AB26B3">
        <w:rPr>
          <w:noProof/>
          <w:spacing w:val="-6"/>
          <w:lang w:val="sk-SK"/>
        </w:rPr>
        <w:t xml:space="preserve"> a </w:t>
      </w:r>
      <w:r w:rsidRPr="00AB26B3">
        <w:rPr>
          <w:noProof/>
          <w:spacing w:val="-6"/>
          <w:lang w:val="sk-SK"/>
        </w:rPr>
        <w:t>využívania obnoviteľného vodíka</w:t>
      </w:r>
      <w:r w:rsidR="00AB26B3" w:rsidRPr="00AB26B3">
        <w:rPr>
          <w:noProof/>
          <w:spacing w:val="-6"/>
          <w:lang w:val="sk-SK"/>
        </w:rPr>
        <w:t xml:space="preserve"> a </w:t>
      </w:r>
      <w:r w:rsidRPr="00AB26B3">
        <w:rPr>
          <w:noProof/>
          <w:spacing w:val="-6"/>
          <w:lang w:val="sk-SK"/>
        </w:rPr>
        <w:t>biometánu; reformu týkajúcu sa vytvorenia regulačného rámca</w:t>
      </w:r>
      <w:r w:rsidR="00AB26B3" w:rsidRPr="00AB26B3">
        <w:rPr>
          <w:noProof/>
          <w:spacing w:val="-6"/>
          <w:lang w:val="sk-SK"/>
        </w:rPr>
        <w:t xml:space="preserve"> a </w:t>
      </w:r>
      <w:r w:rsidRPr="00AB26B3">
        <w:rPr>
          <w:noProof/>
          <w:spacing w:val="-6"/>
          <w:lang w:val="sk-SK"/>
        </w:rPr>
        <w:t>rámca trhových operácií pre technológie zachytávania, využívania</w:t>
      </w:r>
      <w:r w:rsidR="00AB26B3" w:rsidRPr="00AB26B3">
        <w:rPr>
          <w:noProof/>
          <w:spacing w:val="-6"/>
          <w:lang w:val="sk-SK"/>
        </w:rPr>
        <w:t xml:space="preserve"> a </w:t>
      </w:r>
      <w:r w:rsidRPr="00AB26B3">
        <w:rPr>
          <w:noProof/>
          <w:spacing w:val="-6"/>
          <w:lang w:val="sk-SK"/>
        </w:rPr>
        <w:t>ukladania uhlíka na podporu dekarbonizácie priemyslu</w:t>
      </w:r>
      <w:r w:rsidR="00AB26B3" w:rsidRPr="00AB26B3">
        <w:rPr>
          <w:noProof/>
          <w:spacing w:val="-6"/>
          <w:lang w:val="sk-SK"/>
        </w:rPr>
        <w:t xml:space="preserve"> v </w:t>
      </w:r>
      <w:r w:rsidRPr="00AB26B3">
        <w:rPr>
          <w:noProof/>
          <w:spacing w:val="-6"/>
          <w:lang w:val="sk-SK"/>
        </w:rPr>
        <w:t>Grécku; reformu týkajúcu sa optimalizácie využívania pevninského</w:t>
      </w:r>
      <w:r w:rsidR="00AB26B3" w:rsidRPr="00AB26B3">
        <w:rPr>
          <w:noProof/>
          <w:spacing w:val="-6"/>
          <w:lang w:val="sk-SK"/>
        </w:rPr>
        <w:t xml:space="preserve"> a </w:t>
      </w:r>
      <w:r w:rsidRPr="00AB26B3">
        <w:rPr>
          <w:noProof/>
          <w:spacing w:val="-6"/>
          <w:lang w:val="sk-SK"/>
        </w:rPr>
        <w:t>morského priestoru na rozvoj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to popri ďalšom pokroku</w:t>
      </w:r>
      <w:r w:rsidR="00AB26B3" w:rsidRPr="00AB26B3">
        <w:rPr>
          <w:noProof/>
          <w:spacing w:val="-6"/>
          <w:lang w:val="sk-SK"/>
        </w:rPr>
        <w:t xml:space="preserve"> v </w:t>
      </w:r>
      <w:r w:rsidRPr="00AB26B3">
        <w:rPr>
          <w:noProof/>
          <w:spacing w:val="-6"/>
          <w:lang w:val="sk-SK"/>
        </w:rPr>
        <w:t>legislatívnom rámci pre inštaláciu veterných parkov na mori; reformu na zvýšenie kapacity siete</w:t>
      </w:r>
      <w:r w:rsidR="00AB26B3" w:rsidRPr="00AB26B3">
        <w:rPr>
          <w:noProof/>
          <w:spacing w:val="-6"/>
          <w:lang w:val="sk-SK"/>
        </w:rPr>
        <w:t xml:space="preserve"> a </w:t>
      </w:r>
      <w:r w:rsidRPr="00AB26B3">
        <w:rPr>
          <w:noProof/>
          <w:spacing w:val="-6"/>
          <w:lang w:val="sk-SK"/>
        </w:rPr>
        <w:t>uskladňovacej kapacity riešením stability</w:t>
      </w:r>
      <w:r w:rsidR="00AB26B3" w:rsidRPr="00AB26B3">
        <w:rPr>
          <w:noProof/>
          <w:spacing w:val="-6"/>
          <w:lang w:val="sk-SK"/>
        </w:rPr>
        <w:t xml:space="preserve"> a </w:t>
      </w:r>
      <w:r w:rsidRPr="00AB26B3">
        <w:rPr>
          <w:noProof/>
          <w:spacing w:val="-6"/>
          <w:lang w:val="sk-SK"/>
        </w:rPr>
        <w:t>úzkych miest siete; reformu regulačného rámca pre inteligentné siete</w:t>
      </w:r>
      <w:r w:rsidR="00AB26B3" w:rsidRPr="00AB26B3">
        <w:rPr>
          <w:noProof/>
          <w:spacing w:val="-6"/>
          <w:lang w:val="sk-SK"/>
        </w:rPr>
        <w:t xml:space="preserve"> s </w:t>
      </w:r>
      <w:r w:rsidRPr="00AB26B3">
        <w:rPr>
          <w:noProof/>
          <w:spacing w:val="-6"/>
          <w:lang w:val="sk-SK"/>
        </w:rPr>
        <w:t>cieľom urýchliť zavádzanie inteligentných</w:t>
      </w:r>
      <w:r w:rsidR="00AB26B3" w:rsidRPr="00AB26B3">
        <w:rPr>
          <w:noProof/>
          <w:spacing w:val="-6"/>
          <w:lang w:val="sk-SK"/>
        </w:rPr>
        <w:t xml:space="preserve"> a </w:t>
      </w:r>
      <w:r w:rsidRPr="00AB26B3">
        <w:rPr>
          <w:noProof/>
          <w:spacing w:val="-6"/>
          <w:lang w:val="sk-SK"/>
        </w:rPr>
        <w:t>digitálnych technológií</w:t>
      </w:r>
      <w:r w:rsidR="00AB26B3" w:rsidRPr="00AB26B3">
        <w:rPr>
          <w:noProof/>
          <w:spacing w:val="-6"/>
          <w:lang w:val="sk-SK"/>
        </w:rPr>
        <w:t xml:space="preserve"> v </w:t>
      </w:r>
      <w:r w:rsidRPr="00AB26B3">
        <w:rPr>
          <w:noProof/>
          <w:spacing w:val="-6"/>
          <w:lang w:val="sk-SK"/>
        </w:rPr>
        <w:t>distribučnej sieti</w:t>
      </w:r>
      <w:r w:rsidR="00AB26B3" w:rsidRPr="00AB26B3">
        <w:rPr>
          <w:noProof/>
          <w:spacing w:val="-6"/>
          <w:lang w:val="sk-SK"/>
        </w:rPr>
        <w:t xml:space="preserve"> a </w:t>
      </w:r>
      <w:r w:rsidRPr="00AB26B3">
        <w:rPr>
          <w:noProof/>
          <w:spacing w:val="-6"/>
          <w:lang w:val="sk-SK"/>
        </w:rPr>
        <w:t>podporiť reakciu na strane dopytu pre konečného spotrebiteľa; reformu zameranú na podporu spoločného využívania energie, čím sa podporí využívanie obnoviteľných zdrojov energie tým, že sa umožní decentralizovaná výroba</w:t>
      </w:r>
      <w:r w:rsidR="00AB26B3" w:rsidRPr="00AB26B3">
        <w:rPr>
          <w:noProof/>
          <w:spacing w:val="-6"/>
          <w:lang w:val="sk-SK"/>
        </w:rPr>
        <w:t xml:space="preserve"> a </w:t>
      </w:r>
      <w:r w:rsidRPr="00AB26B3">
        <w:rPr>
          <w:noProof/>
          <w:spacing w:val="-6"/>
          <w:lang w:val="sk-SK"/>
        </w:rPr>
        <w:t>spoločné využívanie viacerých malých systémov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7. reformu, ktorou sa zavedie plán inovačných intervencií</w:t>
      </w:r>
      <w:r w:rsidR="00AB26B3" w:rsidRPr="00AB26B3">
        <w:rPr>
          <w:noProof/>
          <w:spacing w:val="-6"/>
          <w:lang w:val="sk-SK"/>
        </w:rPr>
        <w:t xml:space="preserve"> v </w:t>
      </w:r>
      <w:r w:rsidRPr="00AB26B3">
        <w:rPr>
          <w:noProof/>
          <w:spacing w:val="-6"/>
          <w:lang w:val="sk-SK"/>
        </w:rPr>
        <w:t>oblasti energetickej efektívnosti vrátane identifikácie</w:t>
      </w:r>
      <w:r w:rsidR="00AB26B3" w:rsidRPr="00AB26B3">
        <w:rPr>
          <w:noProof/>
          <w:spacing w:val="-6"/>
          <w:lang w:val="sk-SK"/>
        </w:rPr>
        <w:t xml:space="preserve"> a </w:t>
      </w:r>
      <w:r w:rsidRPr="00AB26B3">
        <w:rPr>
          <w:noProof/>
          <w:spacing w:val="-6"/>
          <w:lang w:val="sk-SK"/>
        </w:rPr>
        <w:t>zavedenia nových finančných nástrojov, ktoré nie sú založené na grantoch.</w:t>
      </w:r>
    </w:p>
    <w:p w14:paraId="22834DF4" w14:textId="6C550EA2"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 xml:space="preserve">Reforma: </w:t>
      </w:r>
      <w:r w:rsidRPr="00AB26B3">
        <w:rPr>
          <w:noProof/>
          <w:spacing w:val="-6"/>
          <w:lang w:val="sk-SK"/>
        </w:rPr>
        <w:t>Licenčný rámec pre obnoviteľný vodík</w:t>
      </w:r>
      <w:r w:rsidR="00AB26B3" w:rsidRPr="00AB26B3">
        <w:rPr>
          <w:noProof/>
          <w:spacing w:val="-6"/>
          <w:lang w:val="sk-SK"/>
        </w:rPr>
        <w:t xml:space="preserve"> a </w:t>
      </w:r>
      <w:r w:rsidRPr="00AB26B3">
        <w:rPr>
          <w:noProof/>
          <w:spacing w:val="-6"/>
          <w:lang w:val="sk-SK"/>
        </w:rPr>
        <w:t>udržateľný biometán (opatrenie ID: 16987)</w:t>
      </w:r>
    </w:p>
    <w:p w14:paraId="22523C38" w14:textId="7F94EC4E"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reformy je zaviesť požadované právne predpisy na účinné zavádzanie vodíka</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udržateľného biometánu</w:t>
      </w:r>
      <w:r w:rsidR="00AB26B3" w:rsidRPr="00AB26B3">
        <w:rPr>
          <w:noProof/>
          <w:spacing w:val="-6"/>
          <w:lang w:val="sk-SK"/>
        </w:rPr>
        <w:t xml:space="preserve"> v </w:t>
      </w:r>
      <w:r w:rsidRPr="00AB26B3">
        <w:rPr>
          <w:noProof/>
          <w:spacing w:val="-6"/>
          <w:lang w:val="sk-SK"/>
        </w:rPr>
        <w:t>Grécku odstránením potenciálnych prekážok</w:t>
      </w:r>
      <w:r w:rsidR="00AB26B3" w:rsidRPr="00AB26B3">
        <w:rPr>
          <w:noProof/>
          <w:spacing w:val="-6"/>
          <w:lang w:val="sk-SK"/>
        </w:rPr>
        <w:t xml:space="preserve"> a </w:t>
      </w:r>
      <w:r w:rsidRPr="00AB26B3">
        <w:rPr>
          <w:noProof/>
          <w:spacing w:val="-6"/>
          <w:lang w:val="sk-SK"/>
        </w:rPr>
        <w:t>zavedením procesov rozvoja odvetvia</w:t>
      </w:r>
      <w:r w:rsidR="00AB26B3" w:rsidRPr="00AB26B3">
        <w:rPr>
          <w:noProof/>
          <w:spacing w:val="-6"/>
          <w:lang w:val="sk-SK"/>
        </w:rPr>
        <w:t xml:space="preserve"> a </w:t>
      </w:r>
      <w:r w:rsidRPr="00AB26B3">
        <w:rPr>
          <w:noProof/>
          <w:spacing w:val="-6"/>
          <w:lang w:val="sk-SK"/>
        </w:rPr>
        <w:t>trhov</w:t>
      </w:r>
      <w:r w:rsidR="00AB26B3" w:rsidRPr="00AB26B3">
        <w:rPr>
          <w:noProof/>
          <w:spacing w:val="-6"/>
          <w:lang w:val="sk-SK"/>
        </w:rPr>
        <w:t xml:space="preserve"> s </w:t>
      </w:r>
      <w:r w:rsidRPr="00AB26B3">
        <w:rPr>
          <w:noProof/>
          <w:spacing w:val="-6"/>
          <w:lang w:val="sk-SK"/>
        </w:rPr>
        <w:t>plynmi</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V </w:t>
      </w:r>
      <w:r w:rsidRPr="00AB26B3">
        <w:rPr>
          <w:noProof/>
          <w:spacing w:val="-6"/>
          <w:lang w:val="sk-SK"/>
        </w:rPr>
        <w:t>reforme sa predpokladá prijatie legislatívneho rámca zameraného na podporu výroby</w:t>
      </w:r>
      <w:r w:rsidR="00AB26B3" w:rsidRPr="00AB26B3">
        <w:rPr>
          <w:noProof/>
          <w:spacing w:val="-6"/>
          <w:lang w:val="sk-SK"/>
        </w:rPr>
        <w:t xml:space="preserve"> a </w:t>
      </w:r>
      <w:r w:rsidRPr="00AB26B3">
        <w:rPr>
          <w:noProof/>
          <w:spacing w:val="-6"/>
          <w:lang w:val="sk-SK"/>
        </w:rPr>
        <w:t>spotreby obnoviteľného vodíka</w:t>
      </w:r>
      <w:r w:rsidR="00AB26B3" w:rsidRPr="00AB26B3">
        <w:rPr>
          <w:noProof/>
          <w:spacing w:val="-6"/>
          <w:lang w:val="sk-SK"/>
        </w:rPr>
        <w:t xml:space="preserve"> a </w:t>
      </w:r>
      <w:r w:rsidRPr="00AB26B3">
        <w:rPr>
          <w:noProof/>
          <w:spacing w:val="-6"/>
          <w:lang w:val="sk-SK"/>
        </w:rPr>
        <w:t>udržateľného biometánu. Zahŕňa to špecifikáciu postupov udeľovania licencií</w:t>
      </w:r>
      <w:r w:rsidR="00AB26B3" w:rsidRPr="00AB26B3">
        <w:rPr>
          <w:noProof/>
          <w:spacing w:val="-6"/>
          <w:lang w:val="sk-SK"/>
        </w:rPr>
        <w:t xml:space="preserve"> a </w:t>
      </w:r>
      <w:r w:rsidRPr="00AB26B3">
        <w:rPr>
          <w:noProof/>
          <w:spacing w:val="-6"/>
          <w:lang w:val="sk-SK"/>
        </w:rPr>
        <w:t>povolení vrátane ustanovení</w:t>
      </w:r>
      <w:r w:rsidR="00AB26B3" w:rsidRPr="00AB26B3">
        <w:rPr>
          <w:noProof/>
          <w:spacing w:val="-6"/>
          <w:lang w:val="sk-SK"/>
        </w:rPr>
        <w:t xml:space="preserve"> o </w:t>
      </w:r>
      <w:r w:rsidRPr="00AB26B3">
        <w:rPr>
          <w:noProof/>
          <w:spacing w:val="-6"/>
          <w:lang w:val="sk-SK"/>
        </w:rPr>
        <w:t>priestorovom plánovaní, vymedzenie technických špecifikácií prenosu, skladovania</w:t>
      </w:r>
      <w:r w:rsidR="00AB26B3" w:rsidRPr="00AB26B3">
        <w:rPr>
          <w:noProof/>
          <w:spacing w:val="-6"/>
          <w:lang w:val="sk-SK"/>
        </w:rPr>
        <w:t xml:space="preserve"> a </w:t>
      </w:r>
      <w:r w:rsidRPr="00AB26B3">
        <w:rPr>
          <w:noProof/>
          <w:spacing w:val="-6"/>
          <w:lang w:val="sk-SK"/>
        </w:rPr>
        <w:t>vtláčania do siete, objasnenie úloh rôznych zainteresovaných strán vrátane zapojených verejných orgánov</w:t>
      </w:r>
      <w:r w:rsidR="00AB26B3" w:rsidRPr="00AB26B3">
        <w:rPr>
          <w:noProof/>
          <w:spacing w:val="-6"/>
          <w:lang w:val="sk-SK"/>
        </w:rPr>
        <w:t xml:space="preserve"> a </w:t>
      </w:r>
      <w:r w:rsidRPr="00AB26B3">
        <w:rPr>
          <w:noProof/>
          <w:spacing w:val="-6"/>
          <w:lang w:val="sk-SK"/>
        </w:rPr>
        <w:t>zároveň zabezpečenie mechanizmu na osvedčenie toho, že vyrobený vodík bude obnoviteľný</w:t>
      </w:r>
      <w:r w:rsidR="00AB26B3" w:rsidRPr="00AB26B3">
        <w:rPr>
          <w:noProof/>
          <w:spacing w:val="-6"/>
          <w:lang w:val="sk-SK"/>
        </w:rPr>
        <w:t xml:space="preserve"> a </w:t>
      </w:r>
      <w:r w:rsidRPr="00AB26B3">
        <w:rPr>
          <w:noProof/>
          <w:spacing w:val="-6"/>
          <w:lang w:val="sk-SK"/>
        </w:rPr>
        <w:t>biometán udržateľný,</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nedávnymi ustanoveniami delegovaných aktov</w:t>
      </w:r>
      <w:r w:rsidR="00AB26B3" w:rsidRPr="00AB26B3">
        <w:rPr>
          <w:noProof/>
          <w:spacing w:val="-6"/>
          <w:lang w:val="sk-SK"/>
        </w:rPr>
        <w:t xml:space="preserve"> k </w:t>
      </w:r>
      <w:r w:rsidRPr="00AB26B3">
        <w:rPr>
          <w:noProof/>
          <w:spacing w:val="-6"/>
          <w:lang w:val="sk-SK"/>
        </w:rPr>
        <w:t>smernici RED II.</w:t>
      </w:r>
    </w:p>
    <w:p w14:paraId="47DCFB1F" w14:textId="22EB3CF5"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Implementácia tejto reformy sa dokončí do 30</w:t>
      </w:r>
      <w:r w:rsidR="00AB26B3" w:rsidRPr="00AB26B3">
        <w:rPr>
          <w:noProof/>
          <w:spacing w:val="-6"/>
          <w:lang w:val="sk-SK"/>
        </w:rPr>
        <w:t>. júna</w:t>
      </w:r>
      <w:r w:rsidRPr="00AB26B3">
        <w:rPr>
          <w:noProof/>
          <w:spacing w:val="-6"/>
          <w:lang w:val="sk-SK"/>
        </w:rPr>
        <w:t xml:space="preserve"> 2024.</w:t>
      </w:r>
    </w:p>
    <w:p w14:paraId="039AB8BF" w14:textId="5EAEDB38"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 xml:space="preserve">Reforma: </w:t>
      </w:r>
      <w:r w:rsidRPr="00AB26B3">
        <w:rPr>
          <w:noProof/>
          <w:spacing w:val="-6"/>
          <w:lang w:val="sk-SK"/>
        </w:rPr>
        <w:t>Regulačný rámec</w:t>
      </w:r>
      <w:r w:rsidR="00AB26B3" w:rsidRPr="00AB26B3">
        <w:rPr>
          <w:noProof/>
          <w:spacing w:val="-6"/>
          <w:lang w:val="sk-SK"/>
        </w:rPr>
        <w:t xml:space="preserve"> a </w:t>
      </w:r>
      <w:r w:rsidRPr="00AB26B3">
        <w:rPr>
          <w:noProof/>
          <w:spacing w:val="-6"/>
          <w:lang w:val="sk-SK"/>
        </w:rPr>
        <w:t>rámec fungovania trhu pre technológie zachytávania, využívania</w:t>
      </w:r>
      <w:r w:rsidR="00AB26B3" w:rsidRPr="00AB26B3">
        <w:rPr>
          <w:noProof/>
          <w:spacing w:val="-6"/>
          <w:lang w:val="sk-SK"/>
        </w:rPr>
        <w:t xml:space="preserve"> a </w:t>
      </w:r>
      <w:r w:rsidRPr="00AB26B3">
        <w:rPr>
          <w:noProof/>
          <w:spacing w:val="-6"/>
          <w:lang w:val="sk-SK"/>
        </w:rPr>
        <w:t>ukladania oxidu uhličitého na podporu dekarbonizácie priemyslu (identifikačné číslo opatrenia: 16988)</w:t>
      </w:r>
    </w:p>
    <w:p w14:paraId="61AE1AC0" w14:textId="37162314"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Cieľom tejto reformy je vytvoriť právny</w:t>
      </w:r>
      <w:r w:rsidR="00AB26B3" w:rsidRPr="00AB26B3">
        <w:rPr>
          <w:noProof/>
          <w:spacing w:val="-6"/>
          <w:lang w:val="sk-SK"/>
        </w:rPr>
        <w:t xml:space="preserve"> a </w:t>
      </w:r>
      <w:r w:rsidRPr="00AB26B3">
        <w:rPr>
          <w:noProof/>
          <w:spacing w:val="-6"/>
          <w:lang w:val="sk-SK"/>
        </w:rPr>
        <w:t>regulačný rámec pre technológie zachytávania, využívania</w:t>
      </w:r>
      <w:r w:rsidR="00AB26B3" w:rsidRPr="00AB26B3">
        <w:rPr>
          <w:noProof/>
          <w:spacing w:val="-6"/>
          <w:lang w:val="sk-SK"/>
        </w:rPr>
        <w:t xml:space="preserve"> a </w:t>
      </w:r>
      <w:r w:rsidRPr="00AB26B3">
        <w:rPr>
          <w:noProof/>
          <w:spacing w:val="-6"/>
          <w:lang w:val="sk-SK"/>
        </w:rPr>
        <w:t>ukladania oxidu uhličitého. Reforma pozostáva</w:t>
      </w:r>
      <w:r w:rsidR="00AB26B3" w:rsidRPr="00AB26B3">
        <w:rPr>
          <w:noProof/>
          <w:spacing w:val="-6"/>
          <w:lang w:val="sk-SK"/>
        </w:rPr>
        <w:t xml:space="preserve"> z </w:t>
      </w:r>
      <w:r w:rsidRPr="00AB26B3">
        <w:rPr>
          <w:noProof/>
          <w:spacing w:val="-6"/>
          <w:lang w:val="sk-SK"/>
        </w:rPr>
        <w:t>rozvoja licenčného rámca, zavedenia procesu normalizácie</w:t>
      </w:r>
      <w:r w:rsidR="00AB26B3" w:rsidRPr="00AB26B3">
        <w:rPr>
          <w:noProof/>
          <w:spacing w:val="-6"/>
          <w:lang w:val="sk-SK"/>
        </w:rPr>
        <w:t xml:space="preserve"> a </w:t>
      </w:r>
      <w:r w:rsidRPr="00AB26B3">
        <w:rPr>
          <w:noProof/>
          <w:spacing w:val="-6"/>
          <w:lang w:val="sk-SK"/>
        </w:rPr>
        <w:t>certifikácie</w:t>
      </w:r>
      <w:r w:rsidR="00AB26B3" w:rsidRPr="00AB26B3">
        <w:rPr>
          <w:noProof/>
          <w:spacing w:val="-6"/>
          <w:lang w:val="sk-SK"/>
        </w:rPr>
        <w:t xml:space="preserve"> a </w:t>
      </w:r>
      <w:r w:rsidRPr="00AB26B3">
        <w:rPr>
          <w:noProof/>
          <w:spacing w:val="-6"/>
          <w:lang w:val="sk-SK"/>
        </w:rPr>
        <w:t>vymedzenia prístupu tretích strán.</w:t>
      </w:r>
    </w:p>
    <w:p w14:paraId="6F452DC2" w14:textId="13E6CA32"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 xml:space="preserve">Reforma: </w:t>
      </w:r>
      <w:r w:rsidRPr="00AB26B3">
        <w:rPr>
          <w:noProof/>
          <w:spacing w:val="-6"/>
          <w:lang w:val="sk-SK"/>
        </w:rPr>
        <w:t>Optimalizácia využívania pevninského</w:t>
      </w:r>
      <w:r w:rsidR="00AB26B3" w:rsidRPr="00AB26B3">
        <w:rPr>
          <w:noProof/>
          <w:spacing w:val="-6"/>
          <w:lang w:val="sk-SK"/>
        </w:rPr>
        <w:t xml:space="preserve"> a </w:t>
      </w:r>
      <w:r w:rsidRPr="00AB26B3">
        <w:rPr>
          <w:noProof/>
          <w:spacing w:val="-6"/>
          <w:lang w:val="sk-SK"/>
        </w:rPr>
        <w:t>morského priestoru na rozvoj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rozvoj veternej energie na mori (opatrenie ID: 16989)</w:t>
      </w:r>
    </w:p>
    <w:p w14:paraId="4BF96EE7" w14:textId="6D20C6A6" w:rsidR="00302FC1" w:rsidRPr="00AB26B3" w:rsidRDefault="00D64F26">
      <w:pPr>
        <w:pStyle w:val="P68B1DB1-Normal7"/>
        <w:spacing w:before="120" w:after="120" w:line="240" w:lineRule="auto"/>
        <w:jc w:val="both"/>
        <w:rPr>
          <w:noProof/>
          <w:spacing w:val="-6"/>
          <w:lang w:val="sk-SK"/>
        </w:rPr>
      </w:pPr>
      <w:r w:rsidRPr="00AB26B3">
        <w:rPr>
          <w:noProof/>
          <w:spacing w:val="-6"/>
          <w:lang w:val="sk-SK"/>
        </w:rPr>
        <w:t>Cieľom tejto reformy je posilniť rozvoj obnoviteľných zdrojov energie</w:t>
      </w:r>
      <w:r w:rsidR="00AB26B3" w:rsidRPr="00AB26B3">
        <w:rPr>
          <w:noProof/>
          <w:spacing w:val="-6"/>
          <w:lang w:val="sk-SK"/>
        </w:rPr>
        <w:t xml:space="preserve"> v </w:t>
      </w:r>
      <w:r w:rsidRPr="00AB26B3">
        <w:rPr>
          <w:noProof/>
          <w:spacing w:val="-6"/>
          <w:lang w:val="sk-SK"/>
        </w:rPr>
        <w:t>Grécku. Reforma pozostáva</w:t>
      </w:r>
      <w:r w:rsidR="00AB26B3" w:rsidRPr="00AB26B3">
        <w:rPr>
          <w:noProof/>
          <w:spacing w:val="-6"/>
          <w:lang w:val="sk-SK"/>
        </w:rPr>
        <w:t xml:space="preserve"> z </w:t>
      </w:r>
      <w:r w:rsidRPr="00AB26B3">
        <w:rPr>
          <w:noProof/>
          <w:spacing w:val="-6"/>
          <w:lang w:val="sk-SK"/>
        </w:rPr>
        <w:t>právneho rámca pre veterné parky na mori, ako aj</w:t>
      </w:r>
      <w:r w:rsidR="00AB26B3" w:rsidRPr="00AB26B3">
        <w:rPr>
          <w:noProof/>
          <w:spacing w:val="-6"/>
          <w:lang w:val="sk-SK"/>
        </w:rPr>
        <w:t xml:space="preserve"> z </w:t>
      </w:r>
      <w:r w:rsidRPr="00AB26B3">
        <w:rPr>
          <w:noProof/>
          <w:spacing w:val="-6"/>
          <w:lang w:val="sk-SK"/>
        </w:rPr>
        <w:t>uľahčenia využívania obnoviteľných zdrojov energie na pevnine.</w:t>
      </w:r>
    </w:p>
    <w:p w14:paraId="3B205E79" w14:textId="2AD86396"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 xml:space="preserve">Reforma: Reforma </w:t>
      </w:r>
      <w:r w:rsidRPr="00AB26B3">
        <w:rPr>
          <w:noProof/>
          <w:spacing w:val="-6"/>
          <w:lang w:val="sk-SK"/>
        </w:rPr>
        <w:t>siete</w:t>
      </w:r>
      <w:r w:rsidR="00AB26B3" w:rsidRPr="00AB26B3">
        <w:rPr>
          <w:noProof/>
          <w:spacing w:val="-6"/>
          <w:lang w:val="sk-SK"/>
        </w:rPr>
        <w:t xml:space="preserve"> a </w:t>
      </w:r>
      <w:r w:rsidRPr="00AB26B3">
        <w:rPr>
          <w:noProof/>
          <w:spacing w:val="-6"/>
          <w:lang w:val="sk-SK"/>
        </w:rPr>
        <w:t>uskladňovacej kapacity (identifikačné číslo opatrenia: 16990)</w:t>
      </w:r>
    </w:p>
    <w:p w14:paraId="3A3663F6" w14:textId="7F6796B6"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reformy je prijatie právneho rámca pre účasť zásobníkov na trhu</w:t>
      </w:r>
      <w:r w:rsidR="00AB26B3" w:rsidRPr="00AB26B3">
        <w:rPr>
          <w:noProof/>
          <w:spacing w:val="-6"/>
          <w:lang w:val="sk-SK"/>
        </w:rPr>
        <w:t xml:space="preserve"> s </w:t>
      </w:r>
      <w:r w:rsidRPr="00AB26B3">
        <w:rPr>
          <w:noProof/>
          <w:spacing w:val="-6"/>
          <w:lang w:val="sk-SK"/>
        </w:rPr>
        <w:t>elektrinou. Reforma pozostáva</w:t>
      </w:r>
      <w:r w:rsidR="00AB26B3" w:rsidRPr="00AB26B3">
        <w:rPr>
          <w:noProof/>
          <w:spacing w:val="-6"/>
          <w:lang w:val="sk-SK"/>
        </w:rPr>
        <w:t xml:space="preserve"> z </w:t>
      </w:r>
      <w:r w:rsidRPr="00AB26B3">
        <w:rPr>
          <w:noProof/>
          <w:spacing w:val="-6"/>
          <w:lang w:val="sk-SK"/>
        </w:rPr>
        <w:t>prijatia rámca na podporu samostatných projektov uskladňovania energie</w:t>
      </w:r>
      <w:r w:rsidR="00AB26B3" w:rsidRPr="00AB26B3">
        <w:rPr>
          <w:noProof/>
          <w:spacing w:val="-6"/>
          <w:lang w:val="sk-SK"/>
        </w:rPr>
        <w:t xml:space="preserve"> v </w:t>
      </w:r>
      <w:r w:rsidRPr="00AB26B3">
        <w:rPr>
          <w:noProof/>
          <w:spacing w:val="-6"/>
          <w:lang w:val="sk-SK"/>
        </w:rPr>
        <w:t>batériách, ako aj zariadení na uskladňovanie energie</w:t>
      </w:r>
      <w:r w:rsidR="00AB26B3" w:rsidRPr="00AB26B3">
        <w:rPr>
          <w:noProof/>
          <w:spacing w:val="-6"/>
          <w:lang w:val="sk-SK"/>
        </w:rPr>
        <w:t xml:space="preserve"> v </w:t>
      </w:r>
      <w:r w:rsidRPr="00AB26B3">
        <w:rPr>
          <w:noProof/>
          <w:spacing w:val="-6"/>
          <w:lang w:val="sk-SK"/>
        </w:rPr>
        <w:t>kombinácii</w:t>
      </w:r>
      <w:r w:rsidR="00AB26B3" w:rsidRPr="00AB26B3">
        <w:rPr>
          <w:noProof/>
          <w:spacing w:val="-6"/>
          <w:lang w:val="sk-SK"/>
        </w:rPr>
        <w:t xml:space="preserve"> s </w:t>
      </w:r>
      <w:r w:rsidRPr="00AB26B3">
        <w:rPr>
          <w:noProof/>
          <w:spacing w:val="-6"/>
          <w:lang w:val="sk-SK"/>
        </w:rPr>
        <w:t>novými zariadeniami na výrobu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systému podpory pre kombinované obnoviteľné zdroje energie</w:t>
      </w:r>
      <w:r w:rsidR="00AB26B3" w:rsidRPr="00AB26B3">
        <w:rPr>
          <w:noProof/>
          <w:spacing w:val="-6"/>
          <w:lang w:val="sk-SK"/>
        </w:rPr>
        <w:t xml:space="preserve"> a </w:t>
      </w:r>
      <w:r w:rsidRPr="00AB26B3">
        <w:rPr>
          <w:noProof/>
          <w:spacing w:val="-6"/>
          <w:lang w:val="sk-SK"/>
        </w:rPr>
        <w:t>zásobníky</w:t>
      </w:r>
      <w:r w:rsidR="00AB26B3" w:rsidRPr="00AB26B3">
        <w:rPr>
          <w:noProof/>
          <w:spacing w:val="-6"/>
          <w:lang w:val="sk-SK"/>
        </w:rPr>
        <w:t>.</w:t>
      </w:r>
    </w:p>
    <w:p w14:paraId="00F49281" w14:textId="44C42AE8"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 xml:space="preserve"> </w:t>
      </w:r>
      <w:r w:rsidRPr="00AB26B3">
        <w:rPr>
          <w:b/>
          <w:noProof/>
          <w:spacing w:val="-6"/>
          <w:lang w:val="sk-SK"/>
        </w:rPr>
        <w:t>Reforma:</w:t>
      </w:r>
      <w:r w:rsidRPr="00AB26B3">
        <w:rPr>
          <w:noProof/>
          <w:spacing w:val="-6"/>
          <w:lang w:val="sk-SK"/>
        </w:rPr>
        <w:t xml:space="preserve"> Regulačný rámec smerom</w:t>
      </w:r>
      <w:r w:rsidR="00AB26B3" w:rsidRPr="00AB26B3">
        <w:rPr>
          <w:noProof/>
          <w:spacing w:val="-6"/>
          <w:lang w:val="sk-SK"/>
        </w:rPr>
        <w:t xml:space="preserve"> k </w:t>
      </w:r>
      <w:r w:rsidRPr="00AB26B3">
        <w:rPr>
          <w:noProof/>
          <w:spacing w:val="-6"/>
          <w:lang w:val="sk-SK"/>
        </w:rPr>
        <w:t>inteligentnej sieti (identifikačné číslo opatrenia: 16991)</w:t>
      </w:r>
    </w:p>
    <w:p w14:paraId="14167014" w14:textId="3D3BD220" w:rsidR="00AB26B3" w:rsidRPr="00AB26B3" w:rsidRDefault="00D64F26">
      <w:pPr>
        <w:pStyle w:val="NormalWeb"/>
        <w:spacing w:before="120" w:after="120" w:line="240" w:lineRule="auto"/>
        <w:jc w:val="both"/>
        <w:rPr>
          <w:noProof/>
          <w:spacing w:val="-6"/>
          <w:lang w:val="sk-SK"/>
        </w:rPr>
      </w:pPr>
      <w:r w:rsidRPr="00AB26B3">
        <w:rPr>
          <w:noProof/>
          <w:spacing w:val="-6"/>
          <w:lang w:val="sk-SK"/>
        </w:rPr>
        <w:t>Cieľom opatrenia je investovať do technológií</w:t>
      </w:r>
      <w:r w:rsidR="00AB26B3" w:rsidRPr="00AB26B3">
        <w:rPr>
          <w:noProof/>
          <w:spacing w:val="-6"/>
          <w:lang w:val="sk-SK"/>
        </w:rPr>
        <w:t xml:space="preserve"> a </w:t>
      </w:r>
      <w:r w:rsidRPr="00AB26B3">
        <w:rPr>
          <w:noProof/>
          <w:spacing w:val="-6"/>
          <w:lang w:val="sk-SK"/>
        </w:rPr>
        <w:t>postupov inteligentných sietí na gréckom trhu</w:t>
      </w:r>
      <w:r w:rsidR="00AB26B3" w:rsidRPr="00AB26B3">
        <w:rPr>
          <w:noProof/>
          <w:spacing w:val="-6"/>
          <w:lang w:val="sk-SK"/>
        </w:rPr>
        <w:t xml:space="preserve"> s </w:t>
      </w:r>
      <w:r w:rsidRPr="00AB26B3">
        <w:rPr>
          <w:noProof/>
          <w:spacing w:val="-6"/>
          <w:lang w:val="sk-SK"/>
        </w:rPr>
        <w:t>elektrinou. Toto opatrenie pozostáva</w:t>
      </w:r>
      <w:r w:rsidR="00AB26B3" w:rsidRPr="00AB26B3">
        <w:rPr>
          <w:noProof/>
          <w:spacing w:val="-6"/>
          <w:lang w:val="sk-SK"/>
        </w:rPr>
        <w:t xml:space="preserve"> z </w:t>
      </w:r>
      <w:r w:rsidRPr="00AB26B3">
        <w:rPr>
          <w:noProof/>
          <w:spacing w:val="-6"/>
          <w:lang w:val="sk-SK"/>
        </w:rPr>
        <w:t>prijatia reforiem na stimulovanie používania inteligentných meračov</w:t>
      </w:r>
      <w:r w:rsidR="00AB26B3" w:rsidRPr="00AB26B3">
        <w:rPr>
          <w:noProof/>
          <w:spacing w:val="-6"/>
          <w:lang w:val="sk-SK"/>
        </w:rPr>
        <w:t xml:space="preserve"> a </w:t>
      </w:r>
      <w:r w:rsidRPr="00AB26B3">
        <w:rPr>
          <w:noProof/>
          <w:spacing w:val="-6"/>
          <w:lang w:val="sk-SK"/>
        </w:rPr>
        <w:t>vytvorenia rámca pre dynamickú cenotvorbu pre koncových spotrebiteľov, ako aj</w:t>
      </w:r>
      <w:r w:rsidR="00AB26B3" w:rsidRPr="00AB26B3">
        <w:rPr>
          <w:noProof/>
          <w:spacing w:val="-6"/>
          <w:lang w:val="sk-SK"/>
        </w:rPr>
        <w:t xml:space="preserve"> z </w:t>
      </w:r>
      <w:r w:rsidRPr="00AB26B3">
        <w:rPr>
          <w:noProof/>
          <w:spacing w:val="-6"/>
          <w:lang w:val="sk-SK"/>
        </w:rPr>
        <w:t>vykonania modernizácie existujúcej kontrolnej infraštruktúry riadenia distribučnej siete</w:t>
      </w:r>
      <w:r w:rsidR="00AB26B3" w:rsidRPr="00AB26B3">
        <w:rPr>
          <w:noProof/>
          <w:spacing w:val="-6"/>
          <w:lang w:val="sk-SK"/>
        </w:rPr>
        <w:t>.</w:t>
      </w:r>
    </w:p>
    <w:p w14:paraId="56240CF8" w14:textId="7C212D3A" w:rsidR="00302FC1" w:rsidRPr="00AB26B3" w:rsidRDefault="00D64F26">
      <w:pPr>
        <w:pStyle w:val="P68B1DB1-Normal5"/>
        <w:spacing w:before="120" w:after="120" w:line="240" w:lineRule="auto"/>
        <w:jc w:val="both"/>
        <w:rPr>
          <w:rFonts w:cs="Times New Roman"/>
          <w:noProof/>
          <w:spacing w:val="-6"/>
          <w:szCs w:val="24"/>
          <w:lang w:val="sk-SK"/>
        </w:rPr>
      </w:pPr>
      <w:r w:rsidRPr="00AB26B3">
        <w:rPr>
          <w:b/>
          <w:noProof/>
          <w:spacing w:val="-6"/>
          <w:lang w:val="sk-SK"/>
        </w:rPr>
        <w:t xml:space="preserve">Reforma: </w:t>
      </w:r>
      <w:r w:rsidRPr="00AB26B3">
        <w:rPr>
          <w:noProof/>
          <w:spacing w:val="-6"/>
          <w:lang w:val="sk-SK"/>
        </w:rPr>
        <w:t>Súbor nástrojov na podporu spoločného využívania energie, vlastnej spotreby</w:t>
      </w:r>
      <w:r w:rsidR="00AB26B3" w:rsidRPr="00AB26B3">
        <w:rPr>
          <w:noProof/>
          <w:spacing w:val="-6"/>
          <w:lang w:val="sk-SK"/>
        </w:rPr>
        <w:t xml:space="preserve"> a </w:t>
      </w:r>
      <w:r w:rsidRPr="00AB26B3">
        <w:rPr>
          <w:noProof/>
          <w:spacing w:val="-6"/>
          <w:lang w:val="sk-SK"/>
        </w:rPr>
        <w:t>komunít vyrábajúcich energiu</w:t>
      </w:r>
      <w:r w:rsidR="00AB26B3" w:rsidRPr="00AB26B3">
        <w:rPr>
          <w:noProof/>
          <w:spacing w:val="-6"/>
          <w:lang w:val="sk-SK"/>
        </w:rPr>
        <w:t xml:space="preserve"> z </w:t>
      </w:r>
      <w:r w:rsidRPr="00AB26B3">
        <w:rPr>
          <w:noProof/>
          <w:spacing w:val="-6"/>
          <w:lang w:val="sk-SK"/>
        </w:rPr>
        <w:t>obnoviteľných zdrojov (opatrenie ID: 16992)</w:t>
      </w:r>
    </w:p>
    <w:p w14:paraId="40126926" w14:textId="64FB10E4"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szCs w:val="24"/>
          <w:lang w:val="sk-SK"/>
        </w:rPr>
        <w:t>Cieľom tejto reformy je stimulovať spoločné využívanie energie. Reforma zahŕňa uľahčenie inštalácie staníc OZE</w:t>
      </w:r>
      <w:r w:rsidR="00AB26B3" w:rsidRPr="00AB26B3">
        <w:rPr>
          <w:noProof/>
          <w:spacing w:val="-6"/>
          <w:szCs w:val="24"/>
          <w:lang w:val="sk-SK"/>
        </w:rPr>
        <w:t xml:space="preserve"> v </w:t>
      </w:r>
      <w:r w:rsidRPr="00AB26B3">
        <w:rPr>
          <w:noProof/>
          <w:spacing w:val="-6"/>
          <w:szCs w:val="24"/>
          <w:lang w:val="sk-SK"/>
        </w:rPr>
        <w:t>budovách</w:t>
      </w:r>
      <w:r w:rsidR="00AB26B3" w:rsidRPr="00AB26B3">
        <w:rPr>
          <w:noProof/>
          <w:spacing w:val="-6"/>
          <w:szCs w:val="24"/>
          <w:lang w:val="sk-SK"/>
        </w:rPr>
        <w:t xml:space="preserve"> a </w:t>
      </w:r>
      <w:r w:rsidRPr="00AB26B3">
        <w:rPr>
          <w:noProof/>
          <w:spacing w:val="-6"/>
          <w:szCs w:val="24"/>
          <w:lang w:val="sk-SK"/>
        </w:rPr>
        <w:t xml:space="preserve">vytvorenie </w:t>
      </w:r>
      <w:r w:rsidRPr="00AB26B3">
        <w:rPr>
          <w:noProof/>
          <w:spacing w:val="-6"/>
          <w:lang w:val="sk-SK"/>
        </w:rPr>
        <w:t>regulačného rámca pre vlastnú spotrebu energie</w:t>
      </w:r>
      <w:r w:rsidR="00AB26B3" w:rsidRPr="00AB26B3">
        <w:rPr>
          <w:noProof/>
          <w:spacing w:val="-6"/>
          <w:lang w:val="sk-SK"/>
        </w:rPr>
        <w:t xml:space="preserve"> a </w:t>
      </w:r>
      <w:r w:rsidRPr="00AB26B3">
        <w:rPr>
          <w:noProof/>
          <w:spacing w:val="-6"/>
          <w:lang w:val="sk-SK"/>
        </w:rPr>
        <w:t>podporu komunít vyrábajúcich energiu</w:t>
      </w:r>
      <w:r w:rsidR="00AB26B3" w:rsidRPr="00AB26B3">
        <w:rPr>
          <w:noProof/>
          <w:spacing w:val="-6"/>
          <w:lang w:val="sk-SK"/>
        </w:rPr>
        <w:t xml:space="preserve"> z </w:t>
      </w:r>
      <w:r w:rsidRPr="00AB26B3">
        <w:rPr>
          <w:noProof/>
          <w:spacing w:val="-6"/>
          <w:lang w:val="sk-SK"/>
        </w:rPr>
        <w:t>obnoviteľných zdrojov.</w:t>
      </w:r>
    </w:p>
    <w:p w14:paraId="1D58B597" w14:textId="0F629501"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 xml:space="preserve">Reforma: </w:t>
      </w:r>
      <w:r w:rsidRPr="00AB26B3">
        <w:rPr>
          <w:noProof/>
          <w:spacing w:val="-6"/>
          <w:lang w:val="sk-SK"/>
        </w:rPr>
        <w:t>Plán inovačných intervencií</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identifikácia nových finančných nástrojov (identifikačné číslo opatrenia: 16993)</w:t>
      </w:r>
    </w:p>
    <w:p w14:paraId="2BD5F657" w14:textId="5F6FF086"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reformy je stanoviť plán inovačných intervencií</w:t>
      </w:r>
      <w:r w:rsidR="00AB26B3" w:rsidRPr="00AB26B3">
        <w:rPr>
          <w:noProof/>
          <w:spacing w:val="-6"/>
          <w:lang w:val="sk-SK"/>
        </w:rPr>
        <w:t xml:space="preserve"> v </w:t>
      </w:r>
      <w:r w:rsidRPr="00AB26B3">
        <w:rPr>
          <w:noProof/>
          <w:spacing w:val="-6"/>
          <w:lang w:val="sk-SK"/>
        </w:rPr>
        <w:t>oblasti energetickej efektívnosti na podporu hĺbkovej obnovy obydlí</w:t>
      </w:r>
      <w:r w:rsidR="00AB26B3" w:rsidRPr="00AB26B3">
        <w:rPr>
          <w:noProof/>
          <w:spacing w:val="-6"/>
          <w:lang w:val="sk-SK"/>
        </w:rPr>
        <w:t xml:space="preserve"> a </w:t>
      </w:r>
      <w:r w:rsidRPr="00AB26B3">
        <w:rPr>
          <w:noProof/>
          <w:spacing w:val="-6"/>
          <w:lang w:val="sk-SK"/>
        </w:rPr>
        <w:t>priemyselných budov</w:t>
      </w:r>
      <w:r w:rsidR="00AB26B3" w:rsidRPr="00AB26B3">
        <w:rPr>
          <w:noProof/>
          <w:spacing w:val="-6"/>
          <w:lang w:val="sk-SK"/>
        </w:rPr>
        <w:t>.</w:t>
      </w:r>
    </w:p>
    <w:p w14:paraId="37325FD2" w14:textId="00305B72" w:rsidR="00AB26B3" w:rsidRPr="00AB26B3" w:rsidRDefault="00D64F26">
      <w:pPr>
        <w:pStyle w:val="P68B1DB1-Normal7"/>
        <w:spacing w:before="120" w:after="120" w:line="240" w:lineRule="auto"/>
        <w:jc w:val="both"/>
        <w:rPr>
          <w:noProof/>
          <w:spacing w:val="-6"/>
          <w:lang w:val="sk-SK"/>
        </w:rPr>
      </w:pPr>
      <w:r w:rsidRPr="00AB26B3">
        <w:rPr>
          <w:noProof/>
          <w:spacing w:val="-6"/>
          <w:lang w:val="sk-SK"/>
        </w:rPr>
        <w:t>Reforma pozostáva</w:t>
      </w:r>
      <w:r w:rsidR="00AB26B3" w:rsidRPr="00AB26B3">
        <w:rPr>
          <w:noProof/>
          <w:spacing w:val="-6"/>
          <w:lang w:val="sk-SK"/>
        </w:rPr>
        <w:t xml:space="preserve"> z </w:t>
      </w:r>
      <w:r w:rsidRPr="00AB26B3">
        <w:rPr>
          <w:noProof/>
          <w:spacing w:val="-6"/>
          <w:lang w:val="sk-SK"/>
        </w:rPr>
        <w:t>i) plánu vymedzujúceho inovačné intervencie</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ii) spustenie finančného nástroja energetickej efektívnosti založeného na negrantových finančných zdrojoch</w:t>
      </w:r>
      <w:r w:rsidR="00AB26B3" w:rsidRPr="00AB26B3">
        <w:rPr>
          <w:noProof/>
          <w:spacing w:val="-6"/>
          <w:lang w:val="sk-SK"/>
        </w:rPr>
        <w:t>.</w:t>
      </w:r>
    </w:p>
    <w:p w14:paraId="4D235C35" w14:textId="4A5843EB" w:rsidR="00302FC1" w:rsidRPr="00AB26B3" w:rsidRDefault="00302FC1">
      <w:pPr>
        <w:spacing w:before="120" w:after="120" w:line="240" w:lineRule="auto"/>
        <w:jc w:val="both"/>
        <w:rPr>
          <w:rFonts w:ascii="Times New Roman" w:hAnsi="Times New Roman" w:cs="Times New Roman"/>
          <w:noProof/>
          <w:spacing w:val="-6"/>
          <w:sz w:val="24"/>
          <w:lang w:val="sk-SK"/>
        </w:rPr>
      </w:pPr>
    </w:p>
    <w:p w14:paraId="60954447" w14:textId="7777777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15FC0">
          <w:headerReference w:type="even" r:id="rId342"/>
          <w:headerReference w:type="default" r:id="rId343"/>
          <w:footerReference w:type="even" r:id="rId344"/>
          <w:footerReference w:type="default" r:id="rId345"/>
          <w:headerReference w:type="first" r:id="rId346"/>
          <w:footerReference w:type="first" r:id="rId347"/>
          <w:pgSz w:w="11907" w:h="16839"/>
          <w:pgMar w:top="1134" w:right="1417" w:bottom="1134" w:left="1417" w:header="709" w:footer="709" w:gutter="0"/>
          <w:cols w:space="720"/>
          <w:docGrid w:linePitch="360"/>
        </w:sectPr>
      </w:pPr>
    </w:p>
    <w:p w14:paraId="59694EA1" w14:textId="25061BF3" w:rsidR="00302FC1" w:rsidRPr="00AB26B3" w:rsidRDefault="00D64F26">
      <w:pPr>
        <w:pStyle w:val="P68B1DB1-Normal6"/>
        <w:keepNext/>
        <w:keepLines/>
        <w:spacing w:before="240" w:after="0" w:line="240" w:lineRule="auto"/>
        <w:jc w:val="both"/>
        <w:outlineLvl w:val="4"/>
        <w:rPr>
          <w:rFonts w:eastAsia="Times New Roman"/>
          <w:noProof/>
          <w:color w:val="365F91"/>
          <w:spacing w:val="-6"/>
          <w:lang w:val="sk-SK"/>
        </w:rPr>
      </w:pPr>
      <w:r w:rsidRPr="00AB26B3">
        <w:rPr>
          <w:noProof/>
          <w:spacing w:val="-6"/>
          <w:lang w:val="sk-SK"/>
        </w:rPr>
        <w:t>T.2.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37FA537A" w14:textId="032E2A11" w:rsidR="00302FC1" w:rsidRPr="00AB26B3" w:rsidRDefault="00D64F26">
      <w:pPr>
        <w:pStyle w:val="P68B1DB1-Normal9"/>
        <w:keepNext/>
        <w:keepLines/>
        <w:spacing w:before="240" w:after="240" w:line="240" w:lineRule="auto"/>
        <w:jc w:val="both"/>
        <w:outlineLvl w:val="4"/>
        <w:rPr>
          <w:rFonts w:ascii="Times New Roman" w:eastAsia="Times New Roman" w:hAnsi="Times New Roman"/>
          <w:noProof/>
          <w:spacing w:val="-6"/>
          <w:szCs w:val="24"/>
          <w:lang w:val="sk-SK"/>
        </w:rPr>
      </w:pPr>
      <w:r w:rsidRPr="00AB26B3">
        <w:rPr>
          <w:rFonts w:ascii="Times New Roman" w:hAnsi="Times New Roman"/>
          <w:noProof/>
          <w:spacing w:val="-6"/>
          <w:lang w:val="sk-SK"/>
        </w:rPr>
        <w:t>Reforma 1: Licenčný rámec pre obnoviteľný vodík</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 xml:space="preserve">udržateľný biometán (opatrenie ID: 16987)  </w:t>
      </w:r>
    </w:p>
    <w:tbl>
      <w:tblPr>
        <w:tblpPr w:leftFromText="180" w:rightFromText="180" w:vertAnchor="text" w:tblpX="113" w:tblpY="1"/>
        <w:tblOverlap w:val="never"/>
        <w:tblW w:w="14312" w:type="dxa"/>
        <w:tblLook w:val="04A0" w:firstRow="1" w:lastRow="0" w:firstColumn="1" w:lastColumn="0" w:noHBand="0" w:noVBand="1"/>
      </w:tblPr>
      <w:tblGrid>
        <w:gridCol w:w="675"/>
        <w:gridCol w:w="2014"/>
        <w:gridCol w:w="1134"/>
        <w:gridCol w:w="1275"/>
        <w:gridCol w:w="1164"/>
        <w:gridCol w:w="993"/>
        <w:gridCol w:w="1134"/>
        <w:gridCol w:w="850"/>
        <w:gridCol w:w="1119"/>
        <w:gridCol w:w="850"/>
        <w:gridCol w:w="3402"/>
      </w:tblGrid>
      <w:tr w:rsidR="00302FC1" w:rsidRPr="00AB26B3" w14:paraId="18DA938D" w14:textId="77777777">
        <w:trPr>
          <w:trHeight w:val="540"/>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196132C2" w14:textId="0169AB8F" w:rsidR="00302FC1" w:rsidRPr="00AB26B3" w:rsidRDefault="00D64F26">
            <w:pPr>
              <w:pStyle w:val="P68B1DB1-Normal14"/>
              <w:spacing w:before="120" w:after="12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40E5023C"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2C9395C2"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Míľnik/cieľ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34E504C6"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Názov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50F4FCD7"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977" w:type="dxa"/>
            <w:gridSpan w:val="3"/>
            <w:tcBorders>
              <w:top w:val="single" w:sz="4" w:space="0" w:color="auto"/>
              <w:left w:val="single" w:sz="4" w:space="0" w:color="auto"/>
              <w:bottom w:val="single" w:sz="4" w:space="0" w:color="auto"/>
              <w:right w:val="single" w:sz="4" w:space="0" w:color="auto"/>
            </w:tcBorders>
            <w:shd w:val="clear" w:color="auto" w:fill="BDD7EE"/>
            <w:noWrap/>
            <w:vAlign w:val="center"/>
          </w:tcPr>
          <w:p w14:paraId="6194A6EF"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701" w:type="dxa"/>
            <w:gridSpan w:val="2"/>
            <w:tcBorders>
              <w:top w:val="single" w:sz="4" w:space="0" w:color="auto"/>
              <w:left w:val="nil"/>
              <w:bottom w:val="single" w:sz="4" w:space="0" w:color="auto"/>
              <w:right w:val="single" w:sz="4" w:space="0" w:color="auto"/>
            </w:tcBorders>
            <w:shd w:val="clear" w:color="auto" w:fill="BDD7EE"/>
            <w:noWrap/>
          </w:tcPr>
          <w:p w14:paraId="1ED50F12"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Orientačný harmonogram dokončenia</w:t>
            </w:r>
          </w:p>
        </w:tc>
        <w:tc>
          <w:tcPr>
            <w:tcW w:w="3402" w:type="dxa"/>
            <w:vMerge w:val="restart"/>
            <w:tcBorders>
              <w:top w:val="single" w:sz="4" w:space="0" w:color="auto"/>
              <w:left w:val="nil"/>
              <w:bottom w:val="single" w:sz="4" w:space="0" w:color="auto"/>
              <w:right w:val="single" w:sz="4" w:space="0" w:color="auto"/>
            </w:tcBorders>
            <w:shd w:val="clear" w:color="auto" w:fill="BDD7EE"/>
            <w:noWrap/>
          </w:tcPr>
          <w:p w14:paraId="6EAFDCC2"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p w14:paraId="6BB4F9A8" w14:textId="1F501E11"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29EA0BC2" w14:textId="77777777">
        <w:trPr>
          <w:trHeight w:val="557"/>
        </w:trPr>
        <w:tc>
          <w:tcPr>
            <w:tcW w:w="675" w:type="dxa"/>
            <w:vMerge/>
            <w:tcBorders>
              <w:top w:val="single" w:sz="4" w:space="0" w:color="auto"/>
              <w:left w:val="single" w:sz="4" w:space="0" w:color="auto"/>
              <w:bottom w:val="single" w:sz="4" w:space="0" w:color="auto"/>
              <w:right w:val="single" w:sz="4" w:space="0" w:color="auto"/>
            </w:tcBorders>
            <w:noWrap/>
            <w:vAlign w:val="center"/>
          </w:tcPr>
          <w:p w14:paraId="145B42E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014" w:type="dxa"/>
            <w:vMerge/>
            <w:tcBorders>
              <w:top w:val="single" w:sz="4" w:space="0" w:color="auto"/>
              <w:left w:val="single" w:sz="4" w:space="0" w:color="auto"/>
              <w:bottom w:val="single" w:sz="4" w:space="0" w:color="auto"/>
              <w:right w:val="single" w:sz="4" w:space="0" w:color="auto"/>
            </w:tcBorders>
            <w:noWrap/>
            <w:vAlign w:val="center"/>
          </w:tcPr>
          <w:p w14:paraId="0C22074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4" w:type="dxa"/>
            <w:vMerge/>
            <w:tcBorders>
              <w:top w:val="single" w:sz="4" w:space="0" w:color="auto"/>
              <w:left w:val="single" w:sz="4" w:space="0" w:color="auto"/>
              <w:bottom w:val="single" w:sz="4" w:space="0" w:color="auto"/>
              <w:right w:val="single" w:sz="4" w:space="0" w:color="auto"/>
            </w:tcBorders>
            <w:noWrap/>
            <w:vAlign w:val="center"/>
          </w:tcPr>
          <w:p w14:paraId="107E48E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75" w:type="dxa"/>
            <w:vMerge/>
            <w:tcBorders>
              <w:top w:val="single" w:sz="4" w:space="0" w:color="auto"/>
              <w:left w:val="single" w:sz="4" w:space="0" w:color="auto"/>
              <w:bottom w:val="single" w:sz="4" w:space="0" w:color="auto"/>
              <w:right w:val="single" w:sz="4" w:space="0" w:color="auto"/>
            </w:tcBorders>
            <w:noWrap/>
            <w:vAlign w:val="center"/>
          </w:tcPr>
          <w:p w14:paraId="57C05190"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34" w:type="dxa"/>
            <w:vMerge/>
            <w:tcBorders>
              <w:top w:val="single" w:sz="4" w:space="0" w:color="auto"/>
              <w:left w:val="single" w:sz="4" w:space="0" w:color="auto"/>
              <w:bottom w:val="single" w:sz="4" w:space="0" w:color="auto"/>
              <w:right w:val="single" w:sz="4" w:space="0" w:color="auto"/>
            </w:tcBorders>
            <w:noWrap/>
            <w:vAlign w:val="center"/>
          </w:tcPr>
          <w:p w14:paraId="0805D443"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9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62ACC4BC"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tcPr>
          <w:p w14:paraId="19045B8E"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Základná</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573928B5"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Cieľ</w:t>
            </w:r>
          </w:p>
        </w:tc>
        <w:tc>
          <w:tcPr>
            <w:tcW w:w="851" w:type="dxa"/>
            <w:tcBorders>
              <w:top w:val="single" w:sz="4" w:space="0" w:color="auto"/>
              <w:left w:val="single" w:sz="4" w:space="0" w:color="auto"/>
              <w:bottom w:val="single" w:sz="4" w:space="0" w:color="auto"/>
              <w:right w:val="single" w:sz="4" w:space="0" w:color="auto"/>
            </w:tcBorders>
            <w:shd w:val="clear" w:color="auto" w:fill="BDD7EE"/>
            <w:noWrap/>
          </w:tcPr>
          <w:p w14:paraId="46DB8497"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Štvrtina</w:t>
            </w:r>
          </w:p>
        </w:tc>
        <w:tc>
          <w:tcPr>
            <w:tcW w:w="850" w:type="dxa"/>
            <w:tcBorders>
              <w:top w:val="single" w:sz="4" w:space="0" w:color="auto"/>
              <w:left w:val="single" w:sz="4" w:space="0" w:color="auto"/>
              <w:bottom w:val="single" w:sz="4" w:space="0" w:color="auto"/>
              <w:right w:val="single" w:sz="4" w:space="0" w:color="auto"/>
            </w:tcBorders>
            <w:shd w:val="clear" w:color="auto" w:fill="BDD7EE"/>
          </w:tcPr>
          <w:p w14:paraId="6E7A70B7"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Rok</w:t>
            </w:r>
          </w:p>
        </w:tc>
        <w:tc>
          <w:tcPr>
            <w:tcW w:w="3402" w:type="dxa"/>
            <w:vMerge/>
            <w:tcBorders>
              <w:top w:val="single" w:sz="4" w:space="0" w:color="auto"/>
              <w:left w:val="single" w:sz="4" w:space="0" w:color="auto"/>
              <w:bottom w:val="single" w:sz="4" w:space="0" w:color="auto"/>
              <w:right w:val="single" w:sz="4" w:space="0" w:color="auto"/>
            </w:tcBorders>
            <w:noWrap/>
          </w:tcPr>
          <w:p w14:paraId="6A4310D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43822273" w14:textId="77777777">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12D1CA6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351</w:t>
            </w:r>
          </w:p>
        </w:tc>
        <w:tc>
          <w:tcPr>
            <w:tcW w:w="2014" w:type="dxa"/>
            <w:tcBorders>
              <w:top w:val="single" w:sz="4" w:space="0" w:color="auto"/>
              <w:left w:val="nil"/>
              <w:bottom w:val="single" w:sz="4" w:space="0" w:color="auto"/>
              <w:right w:val="single" w:sz="4" w:space="0" w:color="auto"/>
            </w:tcBorders>
            <w:shd w:val="clear" w:color="auto" w:fill="C6EFCE"/>
            <w:noWrap/>
          </w:tcPr>
          <w:p w14:paraId="154F6CE0" w14:textId="528A18A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 – 5.1. Reformy REPowerEU – 16987_Licenčný rámec pre obnoviteľný vodík</w:t>
            </w:r>
            <w:r w:rsidR="00AB26B3" w:rsidRPr="00AB26B3">
              <w:rPr>
                <w:noProof/>
                <w:spacing w:val="-6"/>
                <w:lang w:val="sk-SK"/>
              </w:rPr>
              <w:t xml:space="preserve"> a </w:t>
            </w:r>
            <w:r w:rsidRPr="00AB26B3">
              <w:rPr>
                <w:noProof/>
                <w:spacing w:val="-6"/>
                <w:lang w:val="sk-SK"/>
              </w:rPr>
              <w:t>udržateľný biometán</w:t>
            </w:r>
          </w:p>
        </w:tc>
        <w:tc>
          <w:tcPr>
            <w:tcW w:w="1134" w:type="dxa"/>
            <w:tcBorders>
              <w:top w:val="single" w:sz="4" w:space="0" w:color="auto"/>
              <w:left w:val="nil"/>
              <w:bottom w:val="single" w:sz="4" w:space="0" w:color="auto"/>
              <w:right w:val="single" w:sz="4" w:space="0" w:color="auto"/>
            </w:tcBorders>
            <w:shd w:val="clear" w:color="auto" w:fill="C6EFCE"/>
            <w:noWrap/>
          </w:tcPr>
          <w:p w14:paraId="231086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75" w:type="dxa"/>
            <w:tcBorders>
              <w:top w:val="single" w:sz="4" w:space="0" w:color="auto"/>
              <w:left w:val="nil"/>
              <w:bottom w:val="single" w:sz="4" w:space="0" w:color="auto"/>
              <w:right w:val="single" w:sz="4" w:space="0" w:color="auto"/>
            </w:tcBorders>
            <w:shd w:val="clear" w:color="auto" w:fill="C6EFCE"/>
            <w:noWrap/>
          </w:tcPr>
          <w:p w14:paraId="4C03932B" w14:textId="47C7DA0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Legislatívny rámec pre obnoviteľný vodík</w:t>
            </w:r>
            <w:r w:rsidR="00AB26B3" w:rsidRPr="00AB26B3">
              <w:rPr>
                <w:noProof/>
                <w:spacing w:val="-6"/>
                <w:lang w:val="sk-SK"/>
              </w:rPr>
              <w:t xml:space="preserve"> a </w:t>
            </w:r>
            <w:r w:rsidRPr="00AB26B3">
              <w:rPr>
                <w:noProof/>
                <w:spacing w:val="-6"/>
                <w:lang w:val="sk-SK"/>
              </w:rPr>
              <w:t>udržateľný biometán</w:t>
            </w:r>
          </w:p>
        </w:tc>
        <w:tc>
          <w:tcPr>
            <w:tcW w:w="1134" w:type="dxa"/>
            <w:tcBorders>
              <w:top w:val="single" w:sz="4" w:space="0" w:color="auto"/>
              <w:left w:val="nil"/>
              <w:bottom w:val="single" w:sz="4" w:space="0" w:color="auto"/>
              <w:right w:val="single" w:sz="4" w:space="0" w:color="auto"/>
            </w:tcBorders>
            <w:shd w:val="clear" w:color="auto" w:fill="C6EFCE"/>
            <w:noWrap/>
          </w:tcPr>
          <w:p w14:paraId="1664F0D0" w14:textId="0038CB8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právnych predpisov </w:t>
            </w:r>
          </w:p>
        </w:tc>
        <w:tc>
          <w:tcPr>
            <w:tcW w:w="993" w:type="dxa"/>
            <w:tcBorders>
              <w:top w:val="single" w:sz="4" w:space="0" w:color="auto"/>
              <w:left w:val="nil"/>
              <w:bottom w:val="single" w:sz="4" w:space="0" w:color="auto"/>
              <w:right w:val="single" w:sz="4" w:space="0" w:color="auto"/>
            </w:tcBorders>
            <w:shd w:val="clear" w:color="auto" w:fill="C6EFCE"/>
            <w:noWrap/>
          </w:tcPr>
          <w:p w14:paraId="3977091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34" w:type="dxa"/>
            <w:tcBorders>
              <w:top w:val="single" w:sz="4" w:space="0" w:color="auto"/>
              <w:left w:val="nil"/>
              <w:bottom w:val="single" w:sz="4" w:space="0" w:color="auto"/>
              <w:right w:val="single" w:sz="4" w:space="0" w:color="auto"/>
            </w:tcBorders>
            <w:shd w:val="clear" w:color="auto" w:fill="C6EFCE"/>
            <w:noWrap/>
          </w:tcPr>
          <w:p w14:paraId="26A5AE8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0" w:type="dxa"/>
            <w:tcBorders>
              <w:top w:val="single" w:sz="4" w:space="0" w:color="auto"/>
              <w:left w:val="nil"/>
              <w:bottom w:val="single" w:sz="4" w:space="0" w:color="auto"/>
              <w:right w:val="single" w:sz="4" w:space="0" w:color="auto"/>
            </w:tcBorders>
            <w:shd w:val="clear" w:color="auto" w:fill="C6EFCE"/>
            <w:noWrap/>
          </w:tcPr>
          <w:p w14:paraId="3D25105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single" w:sz="4" w:space="0" w:color="auto"/>
              <w:left w:val="nil"/>
              <w:bottom w:val="single" w:sz="4" w:space="0" w:color="auto"/>
              <w:right w:val="single" w:sz="4" w:space="0" w:color="auto"/>
            </w:tcBorders>
            <w:shd w:val="clear" w:color="auto" w:fill="C6EFCE"/>
            <w:noWrap/>
          </w:tcPr>
          <w:p w14:paraId="51F196C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850" w:type="dxa"/>
            <w:tcBorders>
              <w:top w:val="single" w:sz="4" w:space="0" w:color="auto"/>
              <w:left w:val="nil"/>
              <w:bottom w:val="single" w:sz="4" w:space="0" w:color="auto"/>
              <w:right w:val="single" w:sz="4" w:space="0" w:color="auto"/>
            </w:tcBorders>
            <w:shd w:val="clear" w:color="auto" w:fill="C6EFCE"/>
            <w:noWrap/>
          </w:tcPr>
          <w:p w14:paraId="3C3225B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402" w:type="dxa"/>
            <w:tcBorders>
              <w:top w:val="single" w:sz="4" w:space="0" w:color="auto"/>
              <w:left w:val="nil"/>
              <w:bottom w:val="single" w:sz="4" w:space="0" w:color="auto"/>
              <w:right w:val="single" w:sz="4" w:space="0" w:color="auto"/>
            </w:tcBorders>
            <w:shd w:val="clear" w:color="auto" w:fill="C6EFCE"/>
            <w:noWrap/>
          </w:tcPr>
          <w:p w14:paraId="43CAE375" w14:textId="64EDF02F" w:rsidR="00AB26B3" w:rsidRPr="00AB26B3" w:rsidRDefault="00D64F26">
            <w:pPr>
              <w:pStyle w:val="P68B1DB1-Normal12"/>
              <w:spacing w:after="0" w:line="240" w:lineRule="auto"/>
              <w:rPr>
                <w:noProof/>
                <w:spacing w:val="-6"/>
                <w:lang w:val="sk-SK"/>
              </w:rPr>
            </w:pPr>
            <w:r w:rsidRPr="00AB26B3">
              <w:rPr>
                <w:noProof/>
                <w:spacing w:val="-6"/>
                <w:lang w:val="sk-SK"/>
              </w:rPr>
              <w:t>Nadobudnutie účinnosti právnych predpisov (primárnych</w:t>
            </w:r>
            <w:r w:rsidR="00AB26B3" w:rsidRPr="00AB26B3">
              <w:rPr>
                <w:noProof/>
                <w:spacing w:val="-6"/>
                <w:lang w:val="sk-SK"/>
              </w:rPr>
              <w:t xml:space="preserve"> a </w:t>
            </w:r>
            <w:r w:rsidRPr="00AB26B3">
              <w:rPr>
                <w:noProof/>
                <w:spacing w:val="-6"/>
                <w:lang w:val="sk-SK"/>
              </w:rPr>
              <w:t>sekundárnych) na podporu vodíka</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udržateľného biometánu</w:t>
            </w:r>
            <w:r w:rsidR="00AB26B3" w:rsidRPr="00AB26B3">
              <w:rPr>
                <w:noProof/>
                <w:spacing w:val="-6"/>
                <w:lang w:val="sk-SK"/>
              </w:rPr>
              <w:t>.</w:t>
            </w:r>
          </w:p>
          <w:p w14:paraId="51765405" w14:textId="6DDF3DC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Právne predpisy zahŕňajú: podpora výroby</w:t>
            </w:r>
            <w:r w:rsidR="00AB26B3" w:rsidRPr="00AB26B3">
              <w:rPr>
                <w:noProof/>
                <w:spacing w:val="-6"/>
                <w:lang w:val="sk-SK"/>
              </w:rPr>
              <w:t xml:space="preserve"> a </w:t>
            </w:r>
            <w:r w:rsidRPr="00AB26B3">
              <w:rPr>
                <w:noProof/>
                <w:spacing w:val="-6"/>
                <w:lang w:val="sk-SK"/>
              </w:rPr>
              <w:t>spotreby obnoviteľného vodíka</w:t>
            </w:r>
            <w:r w:rsidR="00AB26B3" w:rsidRPr="00AB26B3">
              <w:rPr>
                <w:noProof/>
                <w:spacing w:val="-6"/>
                <w:lang w:val="sk-SK"/>
              </w:rPr>
              <w:t xml:space="preserve"> a </w:t>
            </w:r>
            <w:r w:rsidRPr="00AB26B3">
              <w:rPr>
                <w:noProof/>
                <w:spacing w:val="-6"/>
                <w:lang w:val="sk-SK"/>
              </w:rPr>
              <w:t>udržateľného biometánu vrátane špecifikácie postupov udeľovania licencií</w:t>
            </w:r>
            <w:r w:rsidR="00AB26B3" w:rsidRPr="00AB26B3">
              <w:rPr>
                <w:noProof/>
                <w:spacing w:val="-6"/>
                <w:lang w:val="sk-SK"/>
              </w:rPr>
              <w:t xml:space="preserve"> a </w:t>
            </w:r>
            <w:r w:rsidRPr="00AB26B3">
              <w:rPr>
                <w:noProof/>
                <w:spacing w:val="-6"/>
                <w:lang w:val="sk-SK"/>
              </w:rPr>
              <w:t>povolení, ustanovení</w:t>
            </w:r>
            <w:r w:rsidR="00AB26B3" w:rsidRPr="00AB26B3">
              <w:rPr>
                <w:noProof/>
                <w:spacing w:val="-6"/>
                <w:lang w:val="sk-SK"/>
              </w:rPr>
              <w:t xml:space="preserve"> o </w:t>
            </w:r>
            <w:r w:rsidRPr="00AB26B3">
              <w:rPr>
                <w:noProof/>
                <w:spacing w:val="-6"/>
                <w:lang w:val="sk-SK"/>
              </w:rPr>
              <w:t>priestorovom plánovaní, vymedzenia technických špecifikácií prenosu, skladovania</w:t>
            </w:r>
            <w:r w:rsidR="00AB26B3" w:rsidRPr="00AB26B3">
              <w:rPr>
                <w:noProof/>
                <w:spacing w:val="-6"/>
                <w:lang w:val="sk-SK"/>
              </w:rPr>
              <w:t xml:space="preserve"> a </w:t>
            </w:r>
            <w:r w:rsidRPr="00AB26B3">
              <w:rPr>
                <w:noProof/>
                <w:spacing w:val="-6"/>
                <w:lang w:val="sk-SK"/>
              </w:rPr>
              <w:t>vtláčania do siete, objasnenia úloh rôznych zainteresovaných strán, ako aj zapojených verejných orgánov, pričom sa zabezpečí mechanizmus na osvedčenie toho, že vyrobený vodík bude obnoviteľný</w:t>
            </w:r>
            <w:r w:rsidR="00AB26B3" w:rsidRPr="00AB26B3">
              <w:rPr>
                <w:noProof/>
                <w:spacing w:val="-6"/>
                <w:lang w:val="sk-SK"/>
              </w:rPr>
              <w:t xml:space="preserve"> a </w:t>
            </w:r>
            <w:r w:rsidRPr="00AB26B3">
              <w:rPr>
                <w:noProof/>
                <w:spacing w:val="-6"/>
                <w:lang w:val="sk-SK"/>
              </w:rPr>
              <w:t>biometán udržateľný,</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nedávnymi ustanoveniami delegovaných aktov</w:t>
            </w:r>
            <w:r w:rsidR="00AB26B3" w:rsidRPr="00AB26B3">
              <w:rPr>
                <w:noProof/>
                <w:spacing w:val="-6"/>
                <w:lang w:val="sk-SK"/>
              </w:rPr>
              <w:t xml:space="preserve"> k </w:t>
            </w:r>
            <w:r w:rsidRPr="00AB26B3">
              <w:rPr>
                <w:noProof/>
                <w:spacing w:val="-6"/>
                <w:lang w:val="sk-SK"/>
              </w:rPr>
              <w:t>smernici RED II.</w:t>
            </w:r>
          </w:p>
        </w:tc>
      </w:tr>
    </w:tbl>
    <w:p w14:paraId="72707F6C" w14:textId="77777777" w:rsidR="00302FC1" w:rsidRPr="00AB26B3" w:rsidRDefault="00302FC1">
      <w:pPr>
        <w:rPr>
          <w:rFonts w:ascii="Times New Roman" w:hAnsi="Times New Roman"/>
          <w:noProof/>
          <w:spacing w:val="-6"/>
          <w:lang w:val="sk-SK"/>
        </w:rPr>
      </w:pPr>
    </w:p>
    <w:p w14:paraId="52867A2F" w14:textId="77777777" w:rsidR="00302FC1" w:rsidRPr="00AB26B3" w:rsidRDefault="00D64F26">
      <w:pPr>
        <w:pStyle w:val="P68B1DB1-Normal9"/>
        <w:spacing w:after="0" w:line="240" w:lineRule="auto"/>
        <w:rPr>
          <w:rFonts w:ascii="Times New Roman" w:hAnsi="Times New Roman"/>
          <w:noProof/>
          <w:color w:val="365F91" w:themeColor="accent1" w:themeShade="BF"/>
          <w:spacing w:val="-6"/>
          <w:lang w:val="sk-SK"/>
        </w:rPr>
      </w:pPr>
      <w:r w:rsidRPr="00AB26B3">
        <w:rPr>
          <w:rFonts w:ascii="Times New Roman" w:hAnsi="Times New Roman"/>
          <w:noProof/>
          <w:spacing w:val="-6"/>
          <w:lang w:val="sk-SK"/>
        </w:rPr>
        <w:br w:type="page"/>
      </w:r>
    </w:p>
    <w:p w14:paraId="60D556C8" w14:textId="2CB57C94" w:rsidR="00302FC1" w:rsidRPr="00AB26B3" w:rsidRDefault="00D64F26">
      <w:pPr>
        <w:pStyle w:val="P68B1DB1-Normal9"/>
        <w:keepNext/>
        <w:keepLines/>
        <w:spacing w:before="240" w:after="0" w:line="240" w:lineRule="auto"/>
        <w:jc w:val="both"/>
        <w:outlineLvl w:val="4"/>
        <w:rPr>
          <w:rFonts w:ascii="Times New Roman" w:hAnsi="Times New Roman"/>
          <w:noProof/>
          <w:color w:val="365F91" w:themeColor="accent1" w:themeShade="BF"/>
          <w:spacing w:val="-6"/>
          <w:lang w:val="sk-SK"/>
        </w:rPr>
      </w:pPr>
      <w:r w:rsidRPr="00AB26B3">
        <w:rPr>
          <w:rFonts w:ascii="Times New Roman" w:hAnsi="Times New Roman"/>
          <w:noProof/>
          <w:spacing w:val="-6"/>
          <w:lang w:val="sk-SK"/>
        </w:rPr>
        <w:t>Reforma 2: Optimalizácia využívania pevninského</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morského priestoru na rozvoj energie</w:t>
      </w:r>
      <w:r w:rsidR="00AB26B3" w:rsidRPr="00AB26B3">
        <w:rPr>
          <w:rFonts w:ascii="Times New Roman" w:hAnsi="Times New Roman"/>
          <w:noProof/>
          <w:spacing w:val="-6"/>
          <w:lang w:val="sk-SK"/>
        </w:rPr>
        <w:t xml:space="preserve"> z </w:t>
      </w:r>
      <w:r w:rsidRPr="00AB26B3">
        <w:rPr>
          <w:rFonts w:ascii="Times New Roman" w:hAnsi="Times New Roman"/>
          <w:noProof/>
          <w:spacing w:val="-6"/>
          <w:lang w:val="sk-SK"/>
        </w:rPr>
        <w:t>obnoviteľných zdrojov</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rozvoj veternej energie na mori (opatrenie ID: 16989)</w:t>
      </w:r>
    </w:p>
    <w:tbl>
      <w:tblPr>
        <w:tblW w:w="14454" w:type="dxa"/>
        <w:jc w:val="center"/>
        <w:tblLayout w:type="fixed"/>
        <w:tblLook w:val="04A0" w:firstRow="1" w:lastRow="0" w:firstColumn="1" w:lastColumn="0" w:noHBand="0" w:noVBand="1"/>
      </w:tblPr>
      <w:tblGrid>
        <w:gridCol w:w="793"/>
        <w:gridCol w:w="2126"/>
        <w:gridCol w:w="1134"/>
        <w:gridCol w:w="1559"/>
        <w:gridCol w:w="1418"/>
        <w:gridCol w:w="992"/>
        <w:gridCol w:w="992"/>
        <w:gridCol w:w="709"/>
        <w:gridCol w:w="851"/>
        <w:gridCol w:w="634"/>
        <w:gridCol w:w="3246"/>
      </w:tblGrid>
      <w:tr w:rsidR="00302FC1" w:rsidRPr="00AB26B3" w14:paraId="1960619C" w14:textId="77777777">
        <w:trPr>
          <w:trHeight w:val="844"/>
          <w:tblHeader/>
          <w:jc w:val="center"/>
        </w:trPr>
        <w:tc>
          <w:tcPr>
            <w:tcW w:w="7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B5D458" w14:textId="7F4BE4EC" w:rsidR="00302FC1" w:rsidRPr="00AB26B3" w:rsidRDefault="00D64F26">
            <w:pPr>
              <w:pStyle w:val="P68B1DB1-Normal14"/>
              <w:spacing w:before="120" w:after="120" w:line="240" w:lineRule="auto"/>
              <w:jc w:val="center"/>
              <w:rPr>
                <w:noProof/>
                <w:spacing w:val="-6"/>
                <w:lang w:val="sk-SK"/>
              </w:rPr>
            </w:pPr>
            <w:r w:rsidRPr="00AB26B3">
              <w:rPr>
                <w:noProof/>
                <w:spacing w:val="-6"/>
                <w:lang w:val="sk-SK"/>
              </w:rPr>
              <w:t xml:space="preserve">A nasl. </w:t>
            </w:r>
            <w:r w:rsidRPr="00AB26B3">
              <w:rPr>
                <w:noProof/>
                <w:spacing w:val="-6"/>
                <w:lang w:val="sk-SK"/>
              </w:rPr>
              <w:br/>
              <w:t>Nie.</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29FED70"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Súvisiace opatrenie (reforma alebo investícia)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64C7BE"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Míľnik/cieľ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4F86A3"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Názov</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ECE10D"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Kvalitatívne ukazovatele (pre míľniky)</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4826E4A"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Kvantitatívne ukazovatele (pre ciele)</w:t>
            </w:r>
          </w:p>
        </w:tc>
        <w:tc>
          <w:tcPr>
            <w:tcW w:w="1485"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ACDDA0F"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Orientačný harmonogram dokončenia</w:t>
            </w:r>
          </w:p>
        </w:tc>
        <w:tc>
          <w:tcPr>
            <w:tcW w:w="32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334EBD" w14:textId="43AD2198"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460C9F75" w14:textId="77777777">
        <w:trPr>
          <w:trHeight w:val="277"/>
          <w:tblHeader/>
          <w:jc w:val="center"/>
        </w:trPr>
        <w:tc>
          <w:tcPr>
            <w:tcW w:w="793" w:type="dxa"/>
            <w:vMerge/>
            <w:tcBorders>
              <w:top w:val="single" w:sz="4" w:space="0" w:color="auto"/>
              <w:left w:val="single" w:sz="4" w:space="0" w:color="auto"/>
              <w:bottom w:val="single" w:sz="4" w:space="0" w:color="auto"/>
              <w:right w:val="single" w:sz="4" w:space="0" w:color="auto"/>
            </w:tcBorders>
            <w:vAlign w:val="center"/>
          </w:tcPr>
          <w:p w14:paraId="218D52F3"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5B3ED5F"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2A63F16"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ECF0635"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418" w:type="dxa"/>
            <w:vMerge/>
            <w:tcBorders>
              <w:top w:val="single" w:sz="4" w:space="0" w:color="auto"/>
              <w:left w:val="single" w:sz="4" w:space="0" w:color="auto"/>
              <w:bottom w:val="single" w:sz="4" w:space="0" w:color="auto"/>
            </w:tcBorders>
            <w:vAlign w:val="center"/>
          </w:tcPr>
          <w:p w14:paraId="472E0994"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tcPr>
          <w:p w14:paraId="4C3242F0"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tcPr>
          <w:p w14:paraId="3F3ED8AA"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Základná</w:t>
            </w:r>
          </w:p>
        </w:tc>
        <w:tc>
          <w:tcPr>
            <w:tcW w:w="709" w:type="dxa"/>
            <w:tcBorders>
              <w:top w:val="single" w:sz="4" w:space="0" w:color="auto"/>
              <w:left w:val="nil"/>
              <w:bottom w:val="single" w:sz="4" w:space="0" w:color="auto"/>
              <w:right w:val="single" w:sz="4" w:space="0" w:color="auto"/>
            </w:tcBorders>
            <w:shd w:val="clear" w:color="auto" w:fill="BDD7EE"/>
            <w:vAlign w:val="center"/>
          </w:tcPr>
          <w:p w14:paraId="690AC5AD"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Cieľ</w:t>
            </w:r>
          </w:p>
        </w:tc>
        <w:tc>
          <w:tcPr>
            <w:tcW w:w="851" w:type="dxa"/>
            <w:tcBorders>
              <w:top w:val="single" w:sz="4" w:space="0" w:color="auto"/>
              <w:left w:val="nil"/>
              <w:bottom w:val="single" w:sz="4" w:space="0" w:color="auto"/>
              <w:right w:val="single" w:sz="4" w:space="0" w:color="auto"/>
            </w:tcBorders>
            <w:shd w:val="clear" w:color="auto" w:fill="BDD7EE"/>
            <w:vAlign w:val="center"/>
          </w:tcPr>
          <w:p w14:paraId="5D4E6878"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Štvrtina</w:t>
            </w:r>
          </w:p>
        </w:tc>
        <w:tc>
          <w:tcPr>
            <w:tcW w:w="634" w:type="dxa"/>
            <w:tcBorders>
              <w:top w:val="single" w:sz="4" w:space="0" w:color="auto"/>
              <w:left w:val="nil"/>
              <w:bottom w:val="single" w:sz="4" w:space="0" w:color="auto"/>
              <w:right w:val="single" w:sz="4" w:space="0" w:color="auto"/>
            </w:tcBorders>
            <w:shd w:val="clear" w:color="auto" w:fill="BDD7EE"/>
            <w:vAlign w:val="center"/>
          </w:tcPr>
          <w:p w14:paraId="240AAFA4"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Rok</w:t>
            </w:r>
          </w:p>
        </w:tc>
        <w:tc>
          <w:tcPr>
            <w:tcW w:w="3246" w:type="dxa"/>
            <w:vMerge/>
            <w:tcBorders>
              <w:top w:val="single" w:sz="4" w:space="0" w:color="auto"/>
              <w:bottom w:val="single" w:sz="4" w:space="0" w:color="auto"/>
              <w:right w:val="single" w:sz="4" w:space="0" w:color="auto"/>
            </w:tcBorders>
            <w:vAlign w:val="center"/>
          </w:tcPr>
          <w:p w14:paraId="4900FD92"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r>
      <w:tr w:rsidR="00302FC1" w:rsidRPr="00AB26B3" w14:paraId="43DD2AC5" w14:textId="77777777">
        <w:trPr>
          <w:jc w:val="center"/>
        </w:trPr>
        <w:tc>
          <w:tcPr>
            <w:tcW w:w="793" w:type="dxa"/>
            <w:tcBorders>
              <w:top w:val="single" w:sz="4" w:space="0" w:color="auto"/>
              <w:left w:val="single" w:sz="4" w:space="0" w:color="auto"/>
              <w:bottom w:val="single" w:sz="4" w:space="0" w:color="auto"/>
              <w:right w:val="single" w:sz="4" w:space="0" w:color="auto"/>
            </w:tcBorders>
            <w:shd w:val="clear" w:color="auto" w:fill="C6EFCE"/>
            <w:noWrap/>
          </w:tcPr>
          <w:p w14:paraId="6D4E280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353</w:t>
            </w:r>
          </w:p>
        </w:tc>
        <w:tc>
          <w:tcPr>
            <w:tcW w:w="2126" w:type="dxa"/>
            <w:tcBorders>
              <w:top w:val="single" w:sz="4" w:space="0" w:color="auto"/>
              <w:left w:val="nil"/>
              <w:bottom w:val="single" w:sz="4" w:space="0" w:color="auto"/>
              <w:right w:val="single" w:sz="4" w:space="0" w:color="auto"/>
            </w:tcBorders>
            <w:shd w:val="clear" w:color="auto" w:fill="C6EFCE"/>
            <w:noWrap/>
          </w:tcPr>
          <w:p w14:paraId="6A62EDFC" w14:textId="060F6714" w:rsidR="00302FC1" w:rsidRPr="00AB26B3" w:rsidRDefault="00D64F26">
            <w:pPr>
              <w:pStyle w:val="P68B1DB1-Normal12"/>
              <w:spacing w:after="120" w:line="240" w:lineRule="auto"/>
              <w:rPr>
                <w:noProof/>
                <w:spacing w:val="-6"/>
                <w:lang w:val="sk-SK"/>
              </w:rPr>
            </w:pPr>
            <w:r w:rsidRPr="00AB26B3">
              <w:rPr>
                <w:noProof/>
                <w:spacing w:val="-6"/>
                <w:lang w:val="sk-SK"/>
              </w:rPr>
              <w:t>20 – 5.1. Reformy REPowerEU – 16989_Optimalizácia využívania pevniny</w:t>
            </w:r>
            <w:r w:rsidR="00AB26B3" w:rsidRPr="00AB26B3">
              <w:rPr>
                <w:noProof/>
                <w:spacing w:val="-6"/>
                <w:lang w:val="sk-SK"/>
              </w:rPr>
              <w:t xml:space="preserve"> a </w:t>
            </w:r>
            <w:r w:rsidRPr="00AB26B3">
              <w:rPr>
                <w:noProof/>
                <w:spacing w:val="-6"/>
                <w:lang w:val="sk-SK"/>
              </w:rPr>
              <w:t>morského priestoru na rozvoj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rozvoj veternej energie na mori</w:t>
            </w:r>
          </w:p>
        </w:tc>
        <w:tc>
          <w:tcPr>
            <w:tcW w:w="1134" w:type="dxa"/>
            <w:tcBorders>
              <w:top w:val="single" w:sz="4" w:space="0" w:color="auto"/>
              <w:left w:val="nil"/>
              <w:bottom w:val="single" w:sz="4" w:space="0" w:color="auto"/>
              <w:right w:val="single" w:sz="4" w:space="0" w:color="auto"/>
            </w:tcBorders>
            <w:shd w:val="clear" w:color="auto" w:fill="C6EFCE"/>
            <w:noWrap/>
          </w:tcPr>
          <w:p w14:paraId="7050BB2E" w14:textId="77777777" w:rsidR="00302FC1" w:rsidRPr="00AB26B3" w:rsidRDefault="00D64F26">
            <w:pPr>
              <w:pStyle w:val="P68B1DB1-Normal12"/>
              <w:spacing w:after="120" w:line="240" w:lineRule="auto"/>
              <w:rPr>
                <w:noProof/>
                <w:spacing w:val="-6"/>
                <w:lang w:val="sk-SK"/>
              </w:rPr>
            </w:pPr>
            <w:r w:rsidRPr="00AB26B3">
              <w:rPr>
                <w:noProof/>
                <w:spacing w:val="-6"/>
                <w:lang w:val="sk-SK"/>
              </w:rPr>
              <w:t>Míľnik</w:t>
            </w:r>
          </w:p>
        </w:tc>
        <w:tc>
          <w:tcPr>
            <w:tcW w:w="1559" w:type="dxa"/>
            <w:tcBorders>
              <w:top w:val="single" w:sz="4" w:space="0" w:color="auto"/>
              <w:left w:val="nil"/>
              <w:bottom w:val="single" w:sz="4" w:space="0" w:color="auto"/>
              <w:right w:val="single" w:sz="4" w:space="0" w:color="auto"/>
            </w:tcBorders>
            <w:shd w:val="clear" w:color="auto" w:fill="C6EFCE"/>
            <w:noWrap/>
          </w:tcPr>
          <w:p w14:paraId="305250C2" w14:textId="2CC4ADA4" w:rsidR="00302FC1" w:rsidRPr="00AB26B3" w:rsidRDefault="00D64F26">
            <w:pPr>
              <w:pStyle w:val="P68B1DB1-Normal12"/>
              <w:spacing w:after="0" w:line="240" w:lineRule="auto"/>
              <w:rPr>
                <w:noProof/>
                <w:spacing w:val="-6"/>
                <w:lang w:val="sk-SK"/>
              </w:rPr>
            </w:pPr>
            <w:r w:rsidRPr="00AB26B3">
              <w:rPr>
                <w:noProof/>
                <w:spacing w:val="-6"/>
                <w:lang w:val="sk-SK"/>
              </w:rPr>
              <w:t>Určenie oblastí pre obnoviteľné zdroje energie</w:t>
            </w:r>
            <w:r w:rsidR="00AB26B3" w:rsidRPr="00AB26B3">
              <w:rPr>
                <w:noProof/>
                <w:spacing w:val="-6"/>
                <w:lang w:val="sk-SK"/>
              </w:rPr>
              <w:t xml:space="preserve"> a </w:t>
            </w:r>
            <w:r w:rsidRPr="00AB26B3">
              <w:rPr>
                <w:noProof/>
                <w:spacing w:val="-6"/>
                <w:lang w:val="sk-SK"/>
              </w:rPr>
              <w:t>rámec pre dvojaké využitie pôdy na poľnohospodárstvo</w:t>
            </w:r>
            <w:r w:rsidR="00AB26B3" w:rsidRPr="00AB26B3">
              <w:rPr>
                <w:noProof/>
                <w:spacing w:val="-6"/>
                <w:lang w:val="sk-SK"/>
              </w:rPr>
              <w:t xml:space="preserve"> a </w:t>
            </w:r>
            <w:r w:rsidRPr="00AB26B3">
              <w:rPr>
                <w:noProof/>
                <w:spacing w:val="-6"/>
                <w:lang w:val="sk-SK"/>
              </w:rPr>
              <w:t>fotovoltiku</w:t>
            </w:r>
          </w:p>
        </w:tc>
        <w:tc>
          <w:tcPr>
            <w:tcW w:w="1418" w:type="dxa"/>
            <w:tcBorders>
              <w:top w:val="single" w:sz="4" w:space="0" w:color="auto"/>
              <w:left w:val="nil"/>
              <w:bottom w:val="single" w:sz="4" w:space="0" w:color="auto"/>
              <w:right w:val="single" w:sz="4" w:space="0" w:color="auto"/>
            </w:tcBorders>
            <w:shd w:val="clear" w:color="auto" w:fill="C6EFCE"/>
            <w:noWrap/>
          </w:tcPr>
          <w:p w14:paraId="60F0F040" w14:textId="77777777" w:rsidR="00302FC1" w:rsidRPr="00AB26B3" w:rsidRDefault="00D64F26">
            <w:pPr>
              <w:pStyle w:val="P68B1DB1-Normal12"/>
              <w:spacing w:after="120" w:line="240" w:lineRule="auto"/>
              <w:rPr>
                <w:rFonts w:eastAsia="Times New Roman"/>
                <w:noProof/>
                <w:spacing w:val="-6"/>
                <w:highlight w:val="yellow"/>
                <w:lang w:val="sk-SK"/>
              </w:rPr>
            </w:pPr>
            <w:r w:rsidRPr="00AB26B3">
              <w:rPr>
                <w:noProof/>
                <w:spacing w:val="-6"/>
                <w:lang w:val="sk-SK"/>
              </w:rPr>
              <w:t xml:space="preserve"> Právny(-e) akt(-y)</w:t>
            </w:r>
          </w:p>
        </w:tc>
        <w:tc>
          <w:tcPr>
            <w:tcW w:w="992" w:type="dxa"/>
            <w:tcBorders>
              <w:top w:val="nil"/>
              <w:left w:val="nil"/>
              <w:bottom w:val="single" w:sz="4" w:space="0" w:color="auto"/>
              <w:right w:val="single" w:sz="4" w:space="0" w:color="auto"/>
            </w:tcBorders>
            <w:shd w:val="clear" w:color="auto" w:fill="C6EFCE"/>
            <w:noWrap/>
          </w:tcPr>
          <w:p w14:paraId="163DB5E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2" w:type="dxa"/>
            <w:tcBorders>
              <w:top w:val="nil"/>
              <w:left w:val="nil"/>
              <w:bottom w:val="single" w:sz="4" w:space="0" w:color="auto"/>
              <w:right w:val="single" w:sz="4" w:space="0" w:color="auto"/>
            </w:tcBorders>
            <w:shd w:val="clear" w:color="auto" w:fill="C6EFCE"/>
            <w:noWrap/>
          </w:tcPr>
          <w:p w14:paraId="5878DD1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09" w:type="dxa"/>
            <w:tcBorders>
              <w:top w:val="nil"/>
              <w:left w:val="nil"/>
              <w:bottom w:val="single" w:sz="4" w:space="0" w:color="auto"/>
              <w:right w:val="single" w:sz="4" w:space="0" w:color="auto"/>
            </w:tcBorders>
            <w:shd w:val="clear" w:color="auto" w:fill="C6EFCE"/>
            <w:noWrap/>
          </w:tcPr>
          <w:p w14:paraId="2FC6008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51" w:type="dxa"/>
            <w:tcBorders>
              <w:top w:val="nil"/>
              <w:left w:val="nil"/>
              <w:bottom w:val="single" w:sz="4" w:space="0" w:color="auto"/>
              <w:right w:val="single" w:sz="4" w:space="0" w:color="auto"/>
            </w:tcBorders>
            <w:shd w:val="clear" w:color="auto" w:fill="C6EFCE"/>
            <w:noWrap/>
          </w:tcPr>
          <w:p w14:paraId="5A0F716B"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ŠTVRTÝ ŠTVRŤROK</w:t>
            </w:r>
          </w:p>
        </w:tc>
        <w:tc>
          <w:tcPr>
            <w:tcW w:w="634" w:type="dxa"/>
            <w:tcBorders>
              <w:top w:val="nil"/>
              <w:left w:val="nil"/>
              <w:bottom w:val="single" w:sz="4" w:space="0" w:color="auto"/>
              <w:right w:val="single" w:sz="4" w:space="0" w:color="auto"/>
            </w:tcBorders>
            <w:shd w:val="clear" w:color="auto" w:fill="C6EFCE"/>
            <w:noWrap/>
          </w:tcPr>
          <w:p w14:paraId="1D7EF40F"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2024</w:t>
            </w:r>
          </w:p>
        </w:tc>
        <w:tc>
          <w:tcPr>
            <w:tcW w:w="3246" w:type="dxa"/>
            <w:tcBorders>
              <w:top w:val="single" w:sz="4" w:space="0" w:color="auto"/>
              <w:left w:val="nil"/>
              <w:bottom w:val="single" w:sz="4" w:space="0" w:color="auto"/>
              <w:right w:val="single" w:sz="4" w:space="0" w:color="auto"/>
            </w:tcBorders>
            <w:shd w:val="clear" w:color="auto" w:fill="C6EFCE"/>
            <w:noWrap/>
          </w:tcPr>
          <w:p w14:paraId="2A65A34A" w14:textId="1F21A00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právneho aktu,</w:t>
            </w:r>
            <w:r w:rsidR="00AB26B3" w:rsidRPr="00AB26B3">
              <w:rPr>
                <w:noProof/>
                <w:spacing w:val="-6"/>
                <w:lang w:val="sk-SK"/>
              </w:rPr>
              <w:t xml:space="preserve"> v </w:t>
            </w:r>
            <w:r w:rsidRPr="00AB26B3">
              <w:rPr>
                <w:noProof/>
                <w:spacing w:val="-6"/>
                <w:lang w:val="sk-SK"/>
              </w:rPr>
              <w:t>ktorom sa identifikujú:</w:t>
            </w:r>
          </w:p>
          <w:p w14:paraId="18361E6F" w14:textId="77777777" w:rsidR="00302FC1" w:rsidRPr="00AB26B3" w:rsidRDefault="00D64F26">
            <w:pPr>
              <w:pStyle w:val="P68B1DB1-ListParagraph19"/>
              <w:numPr>
                <w:ilvl w:val="0"/>
                <w:numId w:val="81"/>
              </w:numPr>
              <w:spacing w:after="0" w:line="240" w:lineRule="auto"/>
              <w:rPr>
                <w:noProof/>
                <w:spacing w:val="-6"/>
                <w:lang w:val="sk-SK"/>
              </w:rPr>
            </w:pPr>
            <w:r w:rsidRPr="00AB26B3">
              <w:rPr>
                <w:noProof/>
                <w:spacing w:val="-6"/>
                <w:lang w:val="sk-SK"/>
              </w:rPr>
              <w:t>Potenciál obnoviteľných zdrojov energie;</w:t>
            </w:r>
          </w:p>
          <w:p w14:paraId="6F3A45EA" w14:textId="77777777" w:rsidR="00302FC1" w:rsidRPr="00AB26B3" w:rsidRDefault="00D64F26">
            <w:pPr>
              <w:pStyle w:val="P68B1DB1-ListParagraph19"/>
              <w:numPr>
                <w:ilvl w:val="0"/>
                <w:numId w:val="81"/>
              </w:numPr>
              <w:spacing w:after="0" w:line="240" w:lineRule="auto"/>
              <w:rPr>
                <w:noProof/>
                <w:spacing w:val="-6"/>
                <w:lang w:val="sk-SK"/>
              </w:rPr>
            </w:pPr>
            <w:r w:rsidRPr="00AB26B3">
              <w:rPr>
                <w:noProof/>
                <w:spacing w:val="-6"/>
                <w:lang w:val="sk-SK"/>
              </w:rPr>
              <w:t>geografické rozloženie existujúcich jednotiek obnoviteľných zdrojov energie;</w:t>
            </w:r>
          </w:p>
          <w:p w14:paraId="57650438" w14:textId="77777777" w:rsidR="00AB26B3" w:rsidRPr="00AB26B3" w:rsidRDefault="00D64F26">
            <w:pPr>
              <w:pStyle w:val="P68B1DB1-ListParagraph19"/>
              <w:numPr>
                <w:ilvl w:val="0"/>
                <w:numId w:val="81"/>
              </w:numPr>
              <w:spacing w:after="0" w:line="240" w:lineRule="auto"/>
              <w:rPr>
                <w:noProof/>
                <w:spacing w:val="-6"/>
                <w:lang w:val="sk-SK"/>
              </w:rPr>
            </w:pPr>
            <w:r w:rsidRPr="00AB26B3">
              <w:rPr>
                <w:noProof/>
                <w:spacing w:val="-6"/>
                <w:lang w:val="sk-SK"/>
              </w:rPr>
              <w:t>povolenia pre budúce jednotky obnoviteľných zdrojov energie</w:t>
            </w:r>
            <w:r w:rsidR="00AB26B3" w:rsidRPr="00AB26B3">
              <w:rPr>
                <w:noProof/>
                <w:spacing w:val="-6"/>
                <w:lang w:val="sk-SK"/>
              </w:rPr>
              <w:t>.</w:t>
            </w:r>
          </w:p>
          <w:p w14:paraId="623CD36C" w14:textId="77777777" w:rsidR="00AB26B3" w:rsidRPr="00AB26B3" w:rsidRDefault="00AB26B3">
            <w:pPr>
              <w:pStyle w:val="P68B1DB1-Normal12"/>
              <w:spacing w:after="0" w:line="240" w:lineRule="auto"/>
              <w:rPr>
                <w:noProof/>
                <w:spacing w:val="-6"/>
                <w:lang w:val="sk-SK"/>
              </w:rPr>
            </w:pPr>
          </w:p>
          <w:p w14:paraId="5344A996" w14:textId="36F4D2E7" w:rsidR="00AB26B3" w:rsidRPr="00AB26B3" w:rsidRDefault="00D64F26">
            <w:pPr>
              <w:pStyle w:val="P68B1DB1-Normal12"/>
              <w:spacing w:after="0" w:line="240" w:lineRule="auto"/>
              <w:rPr>
                <w:noProof/>
                <w:spacing w:val="-6"/>
                <w:lang w:val="sk-SK"/>
              </w:rPr>
            </w:pPr>
            <w:r w:rsidRPr="00AB26B3">
              <w:rPr>
                <w:noProof/>
                <w:spacing w:val="-6"/>
                <w:lang w:val="sk-SK"/>
              </w:rPr>
              <w:t>Nadobudnutie účinnosti právneho aktu,</w:t>
            </w:r>
            <w:r w:rsidR="00AB26B3" w:rsidRPr="00AB26B3">
              <w:rPr>
                <w:noProof/>
                <w:spacing w:val="-6"/>
                <w:lang w:val="sk-SK"/>
              </w:rPr>
              <w:t xml:space="preserve"> v </w:t>
            </w:r>
            <w:r w:rsidRPr="00AB26B3">
              <w:rPr>
                <w:noProof/>
                <w:spacing w:val="-6"/>
                <w:lang w:val="sk-SK"/>
              </w:rPr>
              <w:t>ktorom sa identifikujú</w:t>
            </w:r>
            <w:r w:rsidR="00AB26B3" w:rsidRPr="00AB26B3">
              <w:rPr>
                <w:noProof/>
                <w:spacing w:val="-6"/>
                <w:lang w:val="sk-SK"/>
              </w:rPr>
              <w:t>:</w:t>
            </w:r>
          </w:p>
          <w:p w14:paraId="622698C4" w14:textId="04DDFD22" w:rsidR="00302FC1" w:rsidRPr="00AB26B3" w:rsidRDefault="00D64F26">
            <w:pPr>
              <w:pStyle w:val="P68B1DB1-ListParagraph19"/>
              <w:numPr>
                <w:ilvl w:val="0"/>
                <w:numId w:val="80"/>
              </w:numPr>
              <w:spacing w:after="0" w:line="240" w:lineRule="auto"/>
              <w:rPr>
                <w:noProof/>
                <w:spacing w:val="-6"/>
                <w:lang w:val="sk-SK"/>
              </w:rPr>
            </w:pPr>
            <w:r w:rsidRPr="00AB26B3">
              <w:rPr>
                <w:noProof/>
                <w:spacing w:val="-6"/>
                <w:lang w:val="sk-SK"/>
              </w:rPr>
              <w:t>vhodné miesta na zavedenie agrofotovoltiky;</w:t>
            </w:r>
          </w:p>
          <w:p w14:paraId="2429546C" w14:textId="77777777" w:rsidR="00AB26B3" w:rsidRPr="00AB26B3" w:rsidRDefault="00D64F26">
            <w:pPr>
              <w:pStyle w:val="P68B1DB1-ListParagraph19"/>
              <w:numPr>
                <w:ilvl w:val="0"/>
                <w:numId w:val="80"/>
              </w:numPr>
              <w:spacing w:after="0" w:line="240" w:lineRule="auto"/>
              <w:rPr>
                <w:noProof/>
                <w:spacing w:val="-6"/>
                <w:lang w:val="sk-SK"/>
              </w:rPr>
            </w:pPr>
            <w:r w:rsidRPr="00AB26B3">
              <w:rPr>
                <w:noProof/>
                <w:spacing w:val="-6"/>
                <w:lang w:val="sk-SK"/>
              </w:rPr>
              <w:t>akcie na podporu agrofotovoltiky</w:t>
            </w:r>
            <w:r w:rsidR="00AB26B3" w:rsidRPr="00AB26B3">
              <w:rPr>
                <w:noProof/>
                <w:spacing w:val="-6"/>
                <w:lang w:val="sk-SK"/>
              </w:rPr>
              <w:t>;</w:t>
            </w:r>
          </w:p>
          <w:p w14:paraId="352C9B7D" w14:textId="6F2E54E6" w:rsidR="00302FC1" w:rsidRPr="00AB26B3" w:rsidRDefault="00D64F26">
            <w:pPr>
              <w:pStyle w:val="P68B1DB1-ListParagraph19"/>
              <w:numPr>
                <w:ilvl w:val="0"/>
                <w:numId w:val="80"/>
              </w:numPr>
              <w:spacing w:after="0" w:line="240" w:lineRule="auto"/>
              <w:rPr>
                <w:noProof/>
                <w:spacing w:val="-6"/>
                <w:lang w:val="sk-SK"/>
              </w:rPr>
            </w:pPr>
            <w:r w:rsidRPr="00AB26B3">
              <w:rPr>
                <w:noProof/>
                <w:spacing w:val="-6"/>
                <w:lang w:val="sk-SK"/>
              </w:rPr>
              <w:t>pravidlá dvojakého využívania pôdy</w:t>
            </w:r>
            <w:r w:rsidR="00AB26B3" w:rsidRPr="00AB26B3">
              <w:rPr>
                <w:noProof/>
                <w:spacing w:val="-6"/>
                <w:lang w:val="sk-SK"/>
              </w:rPr>
              <w:t xml:space="preserve"> a </w:t>
            </w:r>
            <w:r w:rsidRPr="00AB26B3">
              <w:rPr>
                <w:noProof/>
                <w:spacing w:val="-6"/>
                <w:lang w:val="sk-SK"/>
              </w:rPr>
              <w:t>agrofotovoltické projekty.</w:t>
            </w:r>
          </w:p>
          <w:p w14:paraId="75792714"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r w:rsidR="00302FC1" w:rsidRPr="00AB26B3" w14:paraId="5B513910" w14:textId="77777777">
        <w:trPr>
          <w:jc w:val="center"/>
        </w:trPr>
        <w:tc>
          <w:tcPr>
            <w:tcW w:w="793" w:type="dxa"/>
            <w:tcBorders>
              <w:top w:val="single" w:sz="4" w:space="0" w:color="auto"/>
              <w:left w:val="single" w:sz="4" w:space="0" w:color="auto"/>
              <w:bottom w:val="single" w:sz="4" w:space="0" w:color="auto"/>
              <w:right w:val="single" w:sz="4" w:space="0" w:color="auto"/>
            </w:tcBorders>
            <w:shd w:val="clear" w:color="auto" w:fill="C6EFCE"/>
            <w:noWrap/>
          </w:tcPr>
          <w:p w14:paraId="16BE8ED3" w14:textId="77777777" w:rsidR="00302FC1" w:rsidRPr="00AB26B3" w:rsidRDefault="00D64F26">
            <w:pPr>
              <w:pStyle w:val="P68B1DB1-Normal12"/>
              <w:spacing w:after="0" w:line="240" w:lineRule="auto"/>
              <w:rPr>
                <w:noProof/>
                <w:spacing w:val="-6"/>
                <w:lang w:val="sk-SK"/>
              </w:rPr>
            </w:pPr>
            <w:r w:rsidRPr="00AB26B3">
              <w:rPr>
                <w:noProof/>
                <w:spacing w:val="-6"/>
                <w:lang w:val="sk-SK"/>
              </w:rPr>
              <w:t>354</w:t>
            </w:r>
          </w:p>
        </w:tc>
        <w:tc>
          <w:tcPr>
            <w:tcW w:w="2126" w:type="dxa"/>
            <w:tcBorders>
              <w:top w:val="single" w:sz="4" w:space="0" w:color="auto"/>
              <w:left w:val="nil"/>
              <w:bottom w:val="single" w:sz="4" w:space="0" w:color="auto"/>
              <w:right w:val="single" w:sz="4" w:space="0" w:color="auto"/>
            </w:tcBorders>
            <w:shd w:val="clear" w:color="auto" w:fill="C6EFCE"/>
            <w:noWrap/>
          </w:tcPr>
          <w:p w14:paraId="277A0487" w14:textId="6D64E8EF" w:rsidR="00302FC1" w:rsidRPr="00AB26B3" w:rsidRDefault="00D64F26">
            <w:pPr>
              <w:pStyle w:val="P68B1DB1-Normal12"/>
              <w:spacing w:after="120" w:line="240" w:lineRule="auto"/>
              <w:rPr>
                <w:noProof/>
                <w:spacing w:val="-6"/>
                <w:lang w:val="sk-SK"/>
              </w:rPr>
            </w:pPr>
            <w:r w:rsidRPr="00AB26B3">
              <w:rPr>
                <w:noProof/>
                <w:spacing w:val="-6"/>
                <w:lang w:val="sk-SK"/>
              </w:rPr>
              <w:t>20 – 5.1. Reformy REPowerEU – 16989_Optimalizácia využívania pevniny</w:t>
            </w:r>
            <w:r w:rsidR="00AB26B3" w:rsidRPr="00AB26B3">
              <w:rPr>
                <w:noProof/>
                <w:spacing w:val="-6"/>
                <w:lang w:val="sk-SK"/>
              </w:rPr>
              <w:t xml:space="preserve"> a </w:t>
            </w:r>
            <w:r w:rsidRPr="00AB26B3">
              <w:rPr>
                <w:noProof/>
                <w:spacing w:val="-6"/>
                <w:lang w:val="sk-SK"/>
              </w:rPr>
              <w:t>morského priestoru na rozvoj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rozvoj veternej energie na mori</w:t>
            </w:r>
          </w:p>
        </w:tc>
        <w:tc>
          <w:tcPr>
            <w:tcW w:w="1134" w:type="dxa"/>
            <w:tcBorders>
              <w:top w:val="single" w:sz="4" w:space="0" w:color="auto"/>
              <w:left w:val="nil"/>
              <w:bottom w:val="single" w:sz="4" w:space="0" w:color="auto"/>
              <w:right w:val="single" w:sz="4" w:space="0" w:color="auto"/>
            </w:tcBorders>
            <w:shd w:val="clear" w:color="auto" w:fill="C6EFCE"/>
            <w:noWrap/>
          </w:tcPr>
          <w:p w14:paraId="0F0C7AA6" w14:textId="77777777" w:rsidR="00302FC1" w:rsidRPr="00AB26B3" w:rsidRDefault="00D64F26">
            <w:pPr>
              <w:pStyle w:val="P68B1DB1-Normal12"/>
              <w:spacing w:after="120" w:line="240" w:lineRule="auto"/>
              <w:rPr>
                <w:noProof/>
                <w:spacing w:val="-6"/>
                <w:lang w:val="sk-SK"/>
              </w:rPr>
            </w:pPr>
            <w:r w:rsidRPr="00AB26B3">
              <w:rPr>
                <w:noProof/>
                <w:spacing w:val="-6"/>
                <w:lang w:val="sk-SK"/>
              </w:rPr>
              <w:t>Míľnik</w:t>
            </w:r>
          </w:p>
        </w:tc>
        <w:tc>
          <w:tcPr>
            <w:tcW w:w="1559" w:type="dxa"/>
            <w:tcBorders>
              <w:top w:val="single" w:sz="4" w:space="0" w:color="auto"/>
              <w:left w:val="nil"/>
              <w:bottom w:val="single" w:sz="4" w:space="0" w:color="auto"/>
              <w:right w:val="single" w:sz="4" w:space="0" w:color="auto"/>
            </w:tcBorders>
            <w:shd w:val="clear" w:color="auto" w:fill="C6EFCE"/>
            <w:noWrap/>
          </w:tcPr>
          <w:p w14:paraId="6CC9F058"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Rámec na uľahčenie využívania obnoviteľných zdrojov energie</w:t>
            </w:r>
          </w:p>
        </w:tc>
        <w:tc>
          <w:tcPr>
            <w:tcW w:w="1418" w:type="dxa"/>
            <w:tcBorders>
              <w:top w:val="single" w:sz="4" w:space="0" w:color="auto"/>
              <w:left w:val="nil"/>
              <w:bottom w:val="single" w:sz="4" w:space="0" w:color="auto"/>
              <w:right w:val="single" w:sz="4" w:space="0" w:color="auto"/>
            </w:tcBorders>
            <w:shd w:val="clear" w:color="auto" w:fill="C6EFCE"/>
            <w:noWrap/>
          </w:tcPr>
          <w:p w14:paraId="1A164919" w14:textId="77777777" w:rsidR="00302FC1" w:rsidRPr="00AB26B3" w:rsidRDefault="00D64F26">
            <w:pPr>
              <w:pStyle w:val="P68B1DB1-Normal12"/>
              <w:spacing w:after="120" w:line="240" w:lineRule="auto"/>
              <w:rPr>
                <w:noProof/>
                <w:spacing w:val="-6"/>
                <w:lang w:val="sk-SK"/>
              </w:rPr>
            </w:pPr>
            <w:r w:rsidRPr="00AB26B3">
              <w:rPr>
                <w:noProof/>
                <w:spacing w:val="-6"/>
                <w:lang w:val="sk-SK"/>
              </w:rPr>
              <w:t>Právny(-e) akt(-y)</w:t>
            </w:r>
          </w:p>
        </w:tc>
        <w:tc>
          <w:tcPr>
            <w:tcW w:w="992" w:type="dxa"/>
            <w:tcBorders>
              <w:top w:val="single" w:sz="4" w:space="0" w:color="auto"/>
              <w:left w:val="nil"/>
              <w:bottom w:val="single" w:sz="4" w:space="0" w:color="auto"/>
              <w:right w:val="single" w:sz="4" w:space="0" w:color="auto"/>
            </w:tcBorders>
            <w:shd w:val="clear" w:color="auto" w:fill="C6EFCE"/>
            <w:noWrap/>
          </w:tcPr>
          <w:p w14:paraId="63FEF190" w14:textId="77777777" w:rsidR="00302FC1" w:rsidRPr="00AB26B3" w:rsidRDefault="00302FC1">
            <w:pPr>
              <w:spacing w:after="120" w:line="240" w:lineRule="auto"/>
              <w:rPr>
                <w:rFonts w:ascii="Times New Roman" w:hAnsi="Times New Roman" w:cs="Times New Roman"/>
                <w:noProof/>
                <w:spacing w:val="-6"/>
                <w:sz w:val="18"/>
                <w:szCs w:val="18"/>
                <w:lang w:val="sk-SK"/>
              </w:rPr>
            </w:pPr>
          </w:p>
        </w:tc>
        <w:tc>
          <w:tcPr>
            <w:tcW w:w="992" w:type="dxa"/>
            <w:tcBorders>
              <w:top w:val="single" w:sz="4" w:space="0" w:color="auto"/>
              <w:left w:val="nil"/>
              <w:bottom w:val="single" w:sz="4" w:space="0" w:color="auto"/>
              <w:right w:val="single" w:sz="4" w:space="0" w:color="auto"/>
            </w:tcBorders>
            <w:shd w:val="clear" w:color="auto" w:fill="C6EFCE"/>
            <w:noWrap/>
          </w:tcPr>
          <w:p w14:paraId="468604F8" w14:textId="77777777" w:rsidR="00302FC1" w:rsidRPr="00AB26B3" w:rsidRDefault="00302FC1">
            <w:pPr>
              <w:spacing w:after="120" w:line="240" w:lineRule="auto"/>
              <w:rPr>
                <w:rFonts w:ascii="Times New Roman" w:hAnsi="Times New Roman" w:cs="Times New Roman"/>
                <w:noProof/>
                <w:spacing w:val="-6"/>
                <w:sz w:val="18"/>
                <w:szCs w:val="18"/>
                <w:lang w:val="sk-SK"/>
              </w:rPr>
            </w:pPr>
          </w:p>
        </w:tc>
        <w:tc>
          <w:tcPr>
            <w:tcW w:w="709" w:type="dxa"/>
            <w:tcBorders>
              <w:top w:val="single" w:sz="4" w:space="0" w:color="auto"/>
              <w:left w:val="nil"/>
              <w:bottom w:val="single" w:sz="4" w:space="0" w:color="auto"/>
              <w:right w:val="single" w:sz="4" w:space="0" w:color="auto"/>
            </w:tcBorders>
            <w:shd w:val="clear" w:color="auto" w:fill="C6EFCE"/>
            <w:noWrap/>
          </w:tcPr>
          <w:p w14:paraId="1E7967E7" w14:textId="77777777" w:rsidR="00302FC1" w:rsidRPr="00AB26B3" w:rsidRDefault="00302FC1">
            <w:pPr>
              <w:spacing w:after="120" w:line="240" w:lineRule="auto"/>
              <w:rPr>
                <w:rFonts w:ascii="Times New Roman" w:hAnsi="Times New Roman" w:cs="Times New Roman"/>
                <w:noProof/>
                <w:spacing w:val="-6"/>
                <w:sz w:val="18"/>
                <w:szCs w:val="18"/>
                <w:lang w:val="sk-SK"/>
              </w:rPr>
            </w:pPr>
          </w:p>
        </w:tc>
        <w:tc>
          <w:tcPr>
            <w:tcW w:w="851" w:type="dxa"/>
            <w:tcBorders>
              <w:top w:val="single" w:sz="4" w:space="0" w:color="auto"/>
              <w:left w:val="nil"/>
              <w:bottom w:val="single" w:sz="4" w:space="0" w:color="auto"/>
              <w:right w:val="single" w:sz="4" w:space="0" w:color="auto"/>
            </w:tcBorders>
            <w:shd w:val="clear" w:color="auto" w:fill="C6EFCE"/>
            <w:noWrap/>
          </w:tcPr>
          <w:p w14:paraId="3293B92C"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ŠTVRTÝ ŠTVRŤROK</w:t>
            </w:r>
          </w:p>
        </w:tc>
        <w:tc>
          <w:tcPr>
            <w:tcW w:w="634" w:type="dxa"/>
            <w:tcBorders>
              <w:top w:val="single" w:sz="4" w:space="0" w:color="auto"/>
              <w:left w:val="nil"/>
              <w:bottom w:val="single" w:sz="4" w:space="0" w:color="auto"/>
              <w:right w:val="single" w:sz="4" w:space="0" w:color="auto"/>
            </w:tcBorders>
            <w:shd w:val="clear" w:color="auto" w:fill="C6EFCE"/>
            <w:noWrap/>
          </w:tcPr>
          <w:p w14:paraId="6833A5EC"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2025</w:t>
            </w:r>
          </w:p>
        </w:tc>
        <w:tc>
          <w:tcPr>
            <w:tcW w:w="3246" w:type="dxa"/>
            <w:tcBorders>
              <w:top w:val="single" w:sz="4" w:space="0" w:color="auto"/>
              <w:left w:val="nil"/>
              <w:bottom w:val="single" w:sz="4" w:space="0" w:color="auto"/>
              <w:right w:val="single" w:sz="4" w:space="0" w:color="auto"/>
            </w:tcBorders>
            <w:shd w:val="clear" w:color="auto" w:fill="C6EFCE"/>
            <w:noWrap/>
          </w:tcPr>
          <w:p w14:paraId="20713FE1" w14:textId="74F8DFA6" w:rsidR="00302FC1" w:rsidRPr="00AB26B3" w:rsidRDefault="00D64F26">
            <w:pPr>
              <w:pStyle w:val="P68B1DB1-Normal24"/>
              <w:spacing w:after="0" w:line="240" w:lineRule="auto"/>
              <w:rPr>
                <w:noProof/>
                <w:spacing w:val="-6"/>
                <w:lang w:val="sk-SK"/>
              </w:rPr>
            </w:pPr>
            <w:r w:rsidRPr="00AB26B3">
              <w:rPr>
                <w:noProof/>
                <w:spacing w:val="-6"/>
                <w:lang w:val="sk-SK"/>
              </w:rPr>
              <w:t>Nadobudnutie účinnosti právnych aktov týkajúcich sa zariadení na výrobu veternej energie na mori:</w:t>
            </w:r>
          </w:p>
          <w:p w14:paraId="33AC58D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75D99349" w14:textId="332FF74C" w:rsidR="00302FC1" w:rsidRPr="00AB26B3" w:rsidRDefault="00D64F26">
            <w:pPr>
              <w:pStyle w:val="P68B1DB1-Normal24"/>
              <w:spacing w:after="0" w:line="240" w:lineRule="auto"/>
              <w:rPr>
                <w:noProof/>
                <w:spacing w:val="-6"/>
                <w:lang w:val="sk-SK"/>
              </w:rPr>
            </w:pPr>
            <w:r w:rsidRPr="00AB26B3">
              <w:rPr>
                <w:noProof/>
                <w:spacing w:val="-6"/>
                <w:lang w:val="sk-SK"/>
              </w:rPr>
              <w:t>I) Vytvorenie účelovo vytvoreného subjektu (SPV) zodpovedného za koordináciu zberu údajov pre veterné parky na mori: a)</w:t>
            </w:r>
            <w:r w:rsidR="00AB26B3" w:rsidRPr="00AB26B3">
              <w:rPr>
                <w:noProof/>
                <w:spacing w:val="-6"/>
                <w:lang w:val="sk-SK"/>
              </w:rPr>
              <w:t xml:space="preserve"> v </w:t>
            </w:r>
            <w:r w:rsidRPr="00AB26B3">
              <w:rPr>
                <w:noProof/>
                <w:spacing w:val="-6"/>
                <w:lang w:val="sk-SK"/>
              </w:rPr>
              <w:t>právnom akte sa stanoví mandát účelovo vytvoreného subjektu, rozsah činností, riadiaca štruktúra, mobilizácia zabezpečeného financovania;</w:t>
            </w:r>
            <w:r w:rsidR="00AB26B3" w:rsidRPr="00AB26B3">
              <w:rPr>
                <w:noProof/>
                <w:spacing w:val="-6"/>
                <w:lang w:val="sk-SK"/>
              </w:rPr>
              <w:t xml:space="preserve"> a </w:t>
            </w:r>
            <w:r w:rsidRPr="00AB26B3">
              <w:rPr>
                <w:noProof/>
                <w:spacing w:val="-6"/>
                <w:lang w:val="sk-SK"/>
              </w:rPr>
              <w:t>b) registrácia účelovo vytvoreného subjektu</w:t>
            </w:r>
            <w:r w:rsidR="00AB26B3" w:rsidRPr="00AB26B3">
              <w:rPr>
                <w:noProof/>
                <w:spacing w:val="-6"/>
                <w:lang w:val="sk-SK"/>
              </w:rPr>
              <w:t xml:space="preserve"> v </w:t>
            </w:r>
            <w:r w:rsidRPr="00AB26B3">
              <w:rPr>
                <w:noProof/>
                <w:spacing w:val="-6"/>
                <w:lang w:val="sk-SK"/>
              </w:rPr>
              <w:t>obchodnom registri.</w:t>
            </w:r>
          </w:p>
          <w:p w14:paraId="36F44D88" w14:textId="77777777" w:rsidR="00302FC1" w:rsidRPr="00AB26B3" w:rsidRDefault="00302FC1">
            <w:pPr>
              <w:spacing w:after="120" w:line="240" w:lineRule="auto"/>
              <w:rPr>
                <w:rFonts w:ascii="Times New Roman" w:eastAsia="Times New Roman" w:hAnsi="Times New Roman" w:cs="Times New Roman"/>
                <w:noProof/>
                <w:color w:val="006100"/>
                <w:spacing w:val="-6"/>
                <w:sz w:val="18"/>
                <w:szCs w:val="18"/>
                <w:lang w:val="sk-SK"/>
              </w:rPr>
            </w:pPr>
          </w:p>
          <w:p w14:paraId="48CD5507" w14:textId="11078F52" w:rsidR="00AB26B3" w:rsidRPr="00AB26B3" w:rsidRDefault="00D64F26">
            <w:pPr>
              <w:pStyle w:val="P68B1DB1-Normal24"/>
              <w:spacing w:after="120" w:line="240" w:lineRule="auto"/>
              <w:rPr>
                <w:noProof/>
                <w:spacing w:val="-6"/>
                <w:lang w:val="sk-SK"/>
              </w:rPr>
            </w:pPr>
            <w:r w:rsidRPr="00AB26B3">
              <w:rPr>
                <w:noProof/>
                <w:spacing w:val="-6"/>
                <w:lang w:val="sk-SK"/>
              </w:rPr>
              <w:t>II)</w:t>
            </w:r>
            <w:r w:rsidR="00AB26B3" w:rsidRPr="00AB26B3">
              <w:rPr>
                <w:noProof/>
                <w:spacing w:val="-6"/>
                <w:lang w:val="sk-SK"/>
              </w:rPr>
              <w:t xml:space="preserve"> V </w:t>
            </w:r>
            <w:r w:rsidRPr="00AB26B3">
              <w:rPr>
                <w:noProof/>
                <w:spacing w:val="-6"/>
                <w:lang w:val="sk-SK"/>
              </w:rPr>
              <w:t>právnom akte sa stanoví vyhradenie elektrického priestoru pre projekty veterných parkov na mori</w:t>
            </w:r>
            <w:r w:rsidR="00AB26B3" w:rsidRPr="00AB26B3">
              <w:rPr>
                <w:noProof/>
                <w:spacing w:val="-6"/>
                <w:lang w:val="sk-SK"/>
              </w:rPr>
              <w:t xml:space="preserve"> s </w:t>
            </w:r>
            <w:r w:rsidRPr="00AB26B3">
              <w:rPr>
                <w:noProof/>
                <w:spacing w:val="-6"/>
                <w:lang w:val="sk-SK"/>
              </w:rPr>
              <w:t>celkovou odhadovanou kapacitou 1,9 GW</w:t>
            </w:r>
            <w:r w:rsidR="00AB26B3" w:rsidRPr="00AB26B3">
              <w:rPr>
                <w:noProof/>
                <w:spacing w:val="-6"/>
                <w:lang w:val="sk-SK"/>
              </w:rPr>
              <w:t>.</w:t>
            </w:r>
          </w:p>
          <w:p w14:paraId="5B12A0DE" w14:textId="4E074931" w:rsidR="00302FC1" w:rsidRPr="00AB26B3" w:rsidRDefault="00D64F26">
            <w:pPr>
              <w:pStyle w:val="P68B1DB1-Normal24"/>
              <w:spacing w:after="120" w:line="240" w:lineRule="auto"/>
              <w:rPr>
                <w:noProof/>
                <w:spacing w:val="-6"/>
                <w:lang w:val="sk-SK"/>
              </w:rPr>
            </w:pPr>
            <w:r w:rsidRPr="00AB26B3">
              <w:rPr>
                <w:noProof/>
                <w:spacing w:val="-6"/>
                <w:lang w:val="sk-SK"/>
              </w:rPr>
              <w:t>III)</w:t>
            </w:r>
            <w:r w:rsidR="00AB26B3" w:rsidRPr="00AB26B3">
              <w:rPr>
                <w:noProof/>
                <w:spacing w:val="-6"/>
                <w:lang w:val="sk-SK"/>
              </w:rPr>
              <w:t xml:space="preserve"> V </w:t>
            </w:r>
            <w:r w:rsidRPr="00AB26B3">
              <w:rPr>
                <w:noProof/>
                <w:spacing w:val="-6"/>
                <w:lang w:val="sk-SK"/>
              </w:rPr>
              <w:t>právnom akte sa stanoví rámec pre verejné súťaže veterných parkov na mori.</w:t>
            </w:r>
          </w:p>
          <w:p w14:paraId="74B24886" w14:textId="77777777" w:rsidR="00302FC1" w:rsidRPr="00AB26B3" w:rsidRDefault="00D64F26">
            <w:pPr>
              <w:pStyle w:val="P68B1DB1-Normal24"/>
              <w:spacing w:after="0" w:line="240" w:lineRule="auto"/>
              <w:rPr>
                <w:noProof/>
                <w:spacing w:val="-6"/>
                <w:lang w:val="sk-SK"/>
              </w:rPr>
            </w:pPr>
            <w:r w:rsidRPr="00AB26B3">
              <w:rPr>
                <w:noProof/>
                <w:spacing w:val="-6"/>
                <w:lang w:val="sk-SK"/>
              </w:rPr>
              <w:t>Nadobudnutie účinnosti právnych aktov týkajúcich sa rozvoja pozemných obnoviteľných zdrojov energie:</w:t>
            </w:r>
          </w:p>
          <w:p w14:paraId="769541C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5708535E" w14:textId="6EC1C82A" w:rsidR="00302FC1" w:rsidRPr="00AB26B3" w:rsidRDefault="00D64F26">
            <w:pPr>
              <w:pStyle w:val="P68B1DB1-Normal24"/>
              <w:spacing w:after="120" w:line="240" w:lineRule="auto"/>
              <w:rPr>
                <w:noProof/>
                <w:spacing w:val="-6"/>
                <w:lang w:val="sk-SK"/>
              </w:rPr>
            </w:pPr>
            <w:r w:rsidRPr="00AB26B3">
              <w:rPr>
                <w:noProof/>
                <w:spacing w:val="-6"/>
                <w:lang w:val="sk-SK"/>
              </w:rPr>
              <w:t>I)</w:t>
            </w:r>
            <w:r w:rsidR="00AB26B3" w:rsidRPr="00AB26B3">
              <w:rPr>
                <w:noProof/>
                <w:spacing w:val="-6"/>
                <w:lang w:val="sk-SK"/>
              </w:rPr>
              <w:t xml:space="preserve"> V </w:t>
            </w:r>
            <w:r w:rsidRPr="00AB26B3">
              <w:rPr>
                <w:noProof/>
                <w:spacing w:val="-6"/>
                <w:lang w:val="sk-SK"/>
              </w:rPr>
              <w:t>právnom akte sa stanovia a) optimálne oblasti,</w:t>
            </w:r>
            <w:r w:rsidR="00AB26B3" w:rsidRPr="00AB26B3">
              <w:rPr>
                <w:noProof/>
                <w:spacing w:val="-6"/>
                <w:lang w:val="sk-SK"/>
              </w:rPr>
              <w:t xml:space="preserve"> v </w:t>
            </w:r>
            <w:r w:rsidRPr="00AB26B3">
              <w:rPr>
                <w:noProof/>
                <w:spacing w:val="-6"/>
                <w:lang w:val="sk-SK"/>
              </w:rPr>
              <w:t>ktorých by sa mali nachádzať jednotky obnoviteľných zdrojov energie;</w:t>
            </w:r>
            <w:r w:rsidR="00AB26B3" w:rsidRPr="00AB26B3">
              <w:rPr>
                <w:noProof/>
                <w:spacing w:val="-6"/>
                <w:lang w:val="sk-SK"/>
              </w:rPr>
              <w:t xml:space="preserve"> a </w:t>
            </w:r>
            <w:r w:rsidRPr="00AB26B3">
              <w:rPr>
                <w:noProof/>
                <w:spacing w:val="-6"/>
                <w:lang w:val="sk-SK"/>
              </w:rPr>
              <w:t>b) prvý súbor oblastí, ktorý sa má neskôr použiť na vymedzenie oblastí zrýchlenia výroby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v </w:t>
            </w:r>
            <w:r w:rsidRPr="00AB26B3">
              <w:rPr>
                <w:noProof/>
                <w:spacing w:val="-6"/>
                <w:lang w:val="sk-SK"/>
              </w:rPr>
              <w:t>Grécku. Vykonajú sa strategické environmentálne hodnotenia týchto oblastí.</w:t>
            </w:r>
          </w:p>
          <w:p w14:paraId="75731749" w14:textId="08B85998" w:rsidR="00302FC1" w:rsidRPr="00AB26B3" w:rsidRDefault="00D64F26">
            <w:pPr>
              <w:pStyle w:val="P68B1DB1-Normal24"/>
              <w:spacing w:after="120" w:line="240" w:lineRule="auto"/>
              <w:rPr>
                <w:noProof/>
                <w:spacing w:val="-6"/>
                <w:lang w:val="sk-SK"/>
              </w:rPr>
            </w:pPr>
            <w:r w:rsidRPr="00AB26B3">
              <w:rPr>
                <w:noProof/>
                <w:spacing w:val="-6"/>
                <w:lang w:val="sk-SK"/>
              </w:rPr>
              <w:t>II) Právny akt, ktorým sa stimulujú projekty</w:t>
            </w:r>
            <w:r w:rsidR="00AB26B3" w:rsidRPr="00AB26B3">
              <w:rPr>
                <w:noProof/>
                <w:spacing w:val="-6"/>
                <w:lang w:val="sk-SK"/>
              </w:rPr>
              <w:t xml:space="preserve"> v </w:t>
            </w:r>
            <w:r w:rsidRPr="00AB26B3">
              <w:rPr>
                <w:noProof/>
                <w:spacing w:val="-6"/>
                <w:lang w:val="sk-SK"/>
              </w:rPr>
              <w:t>oblasti obnoviteľných zdrojov energie</w:t>
            </w:r>
            <w:r w:rsidR="00AB26B3" w:rsidRPr="00AB26B3">
              <w:rPr>
                <w:noProof/>
                <w:spacing w:val="-6"/>
                <w:lang w:val="sk-SK"/>
              </w:rPr>
              <w:t xml:space="preserve"> v </w:t>
            </w:r>
            <w:r w:rsidRPr="00AB26B3">
              <w:rPr>
                <w:noProof/>
                <w:spacing w:val="-6"/>
                <w:lang w:val="sk-SK"/>
              </w:rPr>
              <w:t>oblastiach zrýchlenia, čím sa umožní zavádzanie obnoviteľných zdrojov energie po roku 2030. To zahŕňa vytvorenie rámca pre oblasti zrýchlenia vrátane a) obmedzeného trvania postupov udeľovania povolení, ktoré nepresahuje 12 mesiacov;</w:t>
            </w:r>
            <w:r w:rsidR="00AB26B3" w:rsidRPr="00AB26B3">
              <w:rPr>
                <w:noProof/>
                <w:spacing w:val="-6"/>
                <w:lang w:val="sk-SK"/>
              </w:rPr>
              <w:t xml:space="preserve"> a </w:t>
            </w:r>
            <w:r w:rsidRPr="00AB26B3">
              <w:rPr>
                <w:noProof/>
                <w:spacing w:val="-6"/>
                <w:lang w:val="sk-SK"/>
              </w:rPr>
              <w:t>b) uprednostnenie aplikácií súvisiacich</w:t>
            </w:r>
            <w:r w:rsidR="00AB26B3" w:rsidRPr="00AB26B3">
              <w:rPr>
                <w:noProof/>
                <w:spacing w:val="-6"/>
                <w:lang w:val="sk-SK"/>
              </w:rPr>
              <w:t xml:space="preserve"> s </w:t>
            </w:r>
            <w:r w:rsidRPr="00AB26B3">
              <w:rPr>
                <w:noProof/>
                <w:spacing w:val="-6"/>
                <w:lang w:val="sk-SK"/>
              </w:rPr>
              <w:t>oblasťami zrýchlenia.</w:t>
            </w:r>
          </w:p>
        </w:tc>
      </w:tr>
    </w:tbl>
    <w:p w14:paraId="46FFA526" w14:textId="77777777" w:rsidR="00302FC1" w:rsidRPr="00AB26B3" w:rsidRDefault="00302FC1">
      <w:pPr>
        <w:keepNext/>
        <w:keepLines/>
        <w:spacing w:before="240" w:after="0" w:line="240" w:lineRule="auto"/>
        <w:jc w:val="both"/>
        <w:outlineLvl w:val="4"/>
        <w:rPr>
          <w:rFonts w:ascii="Times New Roman" w:hAnsi="Times New Roman"/>
          <w:noProof/>
          <w:color w:val="365F91" w:themeColor="accent1" w:themeShade="BF"/>
          <w:spacing w:val="-6"/>
          <w:sz w:val="24"/>
          <w:lang w:val="sk-SK"/>
        </w:rPr>
        <w:sectPr w:rsidR="00302FC1" w:rsidRPr="00AB26B3" w:rsidSect="00315FC0">
          <w:headerReference w:type="even" r:id="rId348"/>
          <w:headerReference w:type="default" r:id="rId349"/>
          <w:footerReference w:type="even" r:id="rId350"/>
          <w:footerReference w:type="default" r:id="rId351"/>
          <w:headerReference w:type="first" r:id="rId352"/>
          <w:footerReference w:type="first" r:id="rId353"/>
          <w:pgSz w:w="16839" w:h="11907" w:orient="landscape"/>
          <w:pgMar w:top="1134" w:right="1134" w:bottom="1134" w:left="1134" w:header="567" w:footer="355" w:gutter="0"/>
          <w:cols w:space="720"/>
          <w:docGrid w:linePitch="360"/>
        </w:sectPr>
      </w:pPr>
    </w:p>
    <w:p w14:paraId="5EBA0F81" w14:textId="5FBE06B7" w:rsidR="00302FC1" w:rsidRPr="00AB26B3" w:rsidRDefault="00D64F26">
      <w:pPr>
        <w:pStyle w:val="P68B1DB1-Normal9"/>
        <w:keepNext/>
        <w:keepLines/>
        <w:spacing w:before="240" w:after="0" w:line="240" w:lineRule="auto"/>
        <w:jc w:val="both"/>
        <w:outlineLvl w:val="4"/>
        <w:rPr>
          <w:rFonts w:ascii="Times New Roman" w:eastAsia="Times New Roman" w:hAnsi="Times New Roman"/>
          <w:noProof/>
          <w:color w:val="4F81BD" w:themeColor="accent1"/>
          <w:spacing w:val="-6"/>
          <w:szCs w:val="24"/>
          <w:lang w:val="sk-SK"/>
        </w:rPr>
      </w:pPr>
      <w:r w:rsidRPr="00AB26B3">
        <w:rPr>
          <w:rFonts w:ascii="Times New Roman" w:hAnsi="Times New Roman"/>
          <w:noProof/>
          <w:spacing w:val="-6"/>
          <w:lang w:val="sk-SK"/>
        </w:rPr>
        <w:t>Reforma 3: Regulačný rámec</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rámec fungovania trhu pre technológie zachytávania, využívania</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ukladania oxidu uhličitého na podporu dekarbonizácie priemyslu (identifikačné číslo opatrenia: 16988)</w:t>
      </w:r>
    </w:p>
    <w:tbl>
      <w:tblPr>
        <w:tblpPr w:leftFromText="181" w:rightFromText="181" w:vertAnchor="text" w:tblpX="-318" w:tblpY="1"/>
        <w:tblOverlap w:val="never"/>
        <w:tblW w:w="15417" w:type="dxa"/>
        <w:tblLayout w:type="fixed"/>
        <w:tblLook w:val="04A0" w:firstRow="1" w:lastRow="0" w:firstColumn="1" w:lastColumn="0" w:noHBand="0" w:noVBand="1"/>
      </w:tblPr>
      <w:tblGrid>
        <w:gridCol w:w="588"/>
        <w:gridCol w:w="2781"/>
        <w:gridCol w:w="1134"/>
        <w:gridCol w:w="1275"/>
        <w:gridCol w:w="1701"/>
        <w:gridCol w:w="856"/>
        <w:gridCol w:w="24"/>
        <w:gridCol w:w="963"/>
        <w:gridCol w:w="709"/>
        <w:gridCol w:w="850"/>
        <w:gridCol w:w="645"/>
        <w:gridCol w:w="3891"/>
      </w:tblGrid>
      <w:tr w:rsidR="00302FC1" w:rsidRPr="00AB26B3" w14:paraId="12F0A1A7" w14:textId="77777777">
        <w:trPr>
          <w:trHeight w:val="694"/>
          <w:tblHeader/>
        </w:trPr>
        <w:tc>
          <w:tcPr>
            <w:tcW w:w="5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C3864F" w14:textId="620599A9" w:rsidR="00302FC1" w:rsidRPr="00AB26B3" w:rsidRDefault="00D64F26">
            <w:pPr>
              <w:pStyle w:val="P68B1DB1-Normal14"/>
              <w:spacing w:before="120" w:after="120" w:line="240" w:lineRule="auto"/>
              <w:jc w:val="center"/>
              <w:rPr>
                <w:noProof/>
                <w:spacing w:val="-6"/>
                <w:lang w:val="sk-SK"/>
              </w:rPr>
            </w:pPr>
            <w:r w:rsidRPr="00AB26B3">
              <w:rPr>
                <w:noProof/>
                <w:spacing w:val="-6"/>
                <w:lang w:val="sk-SK"/>
              </w:rPr>
              <w:t xml:space="preserve">A nasl. </w:t>
            </w:r>
            <w:r w:rsidRPr="00AB26B3">
              <w:rPr>
                <w:noProof/>
                <w:spacing w:val="-6"/>
                <w:lang w:val="sk-SK"/>
              </w:rPr>
              <w:br/>
              <w:t>Nie.</w:t>
            </w:r>
          </w:p>
        </w:tc>
        <w:tc>
          <w:tcPr>
            <w:tcW w:w="27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045CAA" w14:textId="7777777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Súvisiace opatrenie (reforma alebo investícia)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F63C909" w14:textId="7777777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Míľnik/cieľ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22451F6" w14:textId="7777777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Názov</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6690F3B" w14:textId="5F855C08"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Kvalitatívne ukazovatele (pre míľniky)</w:t>
            </w:r>
          </w:p>
        </w:tc>
        <w:tc>
          <w:tcPr>
            <w:tcW w:w="2552" w:type="dxa"/>
            <w:gridSpan w:val="4"/>
            <w:tcBorders>
              <w:top w:val="single" w:sz="4" w:space="0" w:color="auto"/>
              <w:left w:val="single" w:sz="4" w:space="0" w:color="auto"/>
              <w:bottom w:val="single" w:sz="4" w:space="0" w:color="auto"/>
              <w:right w:val="single" w:sz="4" w:space="0" w:color="auto"/>
            </w:tcBorders>
            <w:shd w:val="clear" w:color="auto" w:fill="BDD7EE"/>
            <w:vAlign w:val="center"/>
            <w:hideMark/>
          </w:tcPr>
          <w:p w14:paraId="5779FB23" w14:textId="1E96AAFA"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Kvantitatívne ukazovatele (pre ciele)</w:t>
            </w:r>
          </w:p>
        </w:tc>
        <w:tc>
          <w:tcPr>
            <w:tcW w:w="1495"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DA44A19" w14:textId="77777777"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Orientačný harmonogram dokončenia</w:t>
            </w:r>
          </w:p>
        </w:tc>
        <w:tc>
          <w:tcPr>
            <w:tcW w:w="38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BB9FDD" w14:textId="64437983" w:rsidR="00302FC1" w:rsidRPr="00AB26B3" w:rsidRDefault="00D64F26">
            <w:pPr>
              <w:pStyle w:val="P68B1DB1-Normal10"/>
              <w:spacing w:before="120" w:after="120" w:line="240" w:lineRule="auto"/>
              <w:jc w:val="center"/>
              <w:rPr>
                <w:rFonts w:cs="Times New Roman"/>
                <w:noProof/>
                <w:spacing w:val="-6"/>
                <w:sz w:val="24"/>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7DEBBE74" w14:textId="77777777">
        <w:trPr>
          <w:trHeight w:val="413"/>
          <w:tblHeader/>
        </w:trPr>
        <w:tc>
          <w:tcPr>
            <w:tcW w:w="588" w:type="dxa"/>
            <w:vMerge/>
            <w:tcBorders>
              <w:top w:val="single" w:sz="4" w:space="0" w:color="auto"/>
              <w:left w:val="single" w:sz="4" w:space="0" w:color="auto"/>
              <w:bottom w:val="single" w:sz="4" w:space="0" w:color="auto"/>
              <w:right w:val="single" w:sz="4" w:space="0" w:color="auto"/>
            </w:tcBorders>
            <w:vAlign w:val="center"/>
          </w:tcPr>
          <w:p w14:paraId="34763845"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2781" w:type="dxa"/>
            <w:vMerge/>
            <w:tcBorders>
              <w:top w:val="single" w:sz="4" w:space="0" w:color="auto"/>
              <w:left w:val="single" w:sz="4" w:space="0" w:color="auto"/>
              <w:bottom w:val="single" w:sz="4" w:space="0" w:color="auto"/>
              <w:right w:val="single" w:sz="4" w:space="0" w:color="auto"/>
            </w:tcBorders>
            <w:vAlign w:val="center"/>
          </w:tcPr>
          <w:p w14:paraId="3659762D"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1175E49"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888EA5E"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793D570"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BDD7EE"/>
            <w:vAlign w:val="center"/>
          </w:tcPr>
          <w:p w14:paraId="5D7019DB"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63" w:type="dxa"/>
            <w:tcBorders>
              <w:top w:val="single" w:sz="4" w:space="0" w:color="auto"/>
              <w:left w:val="single" w:sz="4" w:space="0" w:color="auto"/>
              <w:bottom w:val="single" w:sz="4" w:space="0" w:color="auto"/>
              <w:right w:val="single" w:sz="4" w:space="0" w:color="auto"/>
            </w:tcBorders>
            <w:shd w:val="clear" w:color="auto" w:fill="BDD7EE"/>
            <w:vAlign w:val="center"/>
          </w:tcPr>
          <w:p w14:paraId="309CBD2D"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Základná</w:t>
            </w:r>
          </w:p>
        </w:tc>
        <w:tc>
          <w:tcPr>
            <w:tcW w:w="709" w:type="dxa"/>
            <w:tcBorders>
              <w:top w:val="single" w:sz="4" w:space="0" w:color="auto"/>
              <w:left w:val="single" w:sz="4" w:space="0" w:color="auto"/>
              <w:bottom w:val="single" w:sz="4" w:space="0" w:color="auto"/>
              <w:right w:val="single" w:sz="4" w:space="0" w:color="auto"/>
            </w:tcBorders>
            <w:shd w:val="clear" w:color="auto" w:fill="BDD7EE"/>
            <w:vAlign w:val="center"/>
          </w:tcPr>
          <w:p w14:paraId="0812404B"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Cieľ</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tcPr>
          <w:p w14:paraId="3F3921A9"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Štvrtina</w:t>
            </w:r>
          </w:p>
        </w:tc>
        <w:tc>
          <w:tcPr>
            <w:tcW w:w="645" w:type="dxa"/>
            <w:tcBorders>
              <w:top w:val="single" w:sz="4" w:space="0" w:color="auto"/>
              <w:left w:val="single" w:sz="4" w:space="0" w:color="auto"/>
              <w:bottom w:val="single" w:sz="4" w:space="0" w:color="auto"/>
              <w:right w:val="single" w:sz="4" w:space="0" w:color="auto"/>
            </w:tcBorders>
            <w:shd w:val="clear" w:color="auto" w:fill="BDD7EE"/>
            <w:vAlign w:val="center"/>
          </w:tcPr>
          <w:p w14:paraId="0DCD34E0"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Rok</w:t>
            </w:r>
          </w:p>
        </w:tc>
        <w:tc>
          <w:tcPr>
            <w:tcW w:w="3891" w:type="dxa"/>
            <w:vMerge/>
            <w:tcBorders>
              <w:top w:val="single" w:sz="4" w:space="0" w:color="auto"/>
              <w:bottom w:val="single" w:sz="4" w:space="0" w:color="auto"/>
              <w:right w:val="single" w:sz="4" w:space="0" w:color="auto"/>
            </w:tcBorders>
            <w:vAlign w:val="center"/>
          </w:tcPr>
          <w:p w14:paraId="14723F1C"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r>
      <w:tr w:rsidR="00302FC1" w:rsidRPr="00AB26B3" w14:paraId="1B4ECB6E" w14:textId="77777777">
        <w:tc>
          <w:tcPr>
            <w:tcW w:w="588" w:type="dxa"/>
            <w:tcBorders>
              <w:top w:val="single" w:sz="4" w:space="0" w:color="auto"/>
              <w:left w:val="single" w:sz="4" w:space="0" w:color="auto"/>
              <w:bottom w:val="single" w:sz="4" w:space="0" w:color="auto"/>
              <w:right w:val="single" w:sz="4" w:space="0" w:color="auto"/>
            </w:tcBorders>
            <w:shd w:val="clear" w:color="auto" w:fill="C6EFCE"/>
            <w:noWrap/>
          </w:tcPr>
          <w:p w14:paraId="57F66B9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355</w:t>
            </w:r>
          </w:p>
        </w:tc>
        <w:tc>
          <w:tcPr>
            <w:tcW w:w="2781" w:type="dxa"/>
            <w:tcBorders>
              <w:top w:val="single" w:sz="4" w:space="0" w:color="auto"/>
              <w:left w:val="nil"/>
              <w:bottom w:val="single" w:sz="4" w:space="0" w:color="auto"/>
              <w:right w:val="single" w:sz="4" w:space="0" w:color="auto"/>
            </w:tcBorders>
            <w:shd w:val="clear" w:color="auto" w:fill="C6EFCE"/>
            <w:noWrap/>
          </w:tcPr>
          <w:p w14:paraId="2389643B" w14:textId="11D3E29E"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20 – 5.1. Reformy REPowerEU – 16988_Regulačný rámec</w:t>
            </w:r>
            <w:r w:rsidR="00AB26B3" w:rsidRPr="00AB26B3">
              <w:rPr>
                <w:noProof/>
                <w:spacing w:val="-6"/>
                <w:lang w:val="sk-SK"/>
              </w:rPr>
              <w:t xml:space="preserve"> a </w:t>
            </w:r>
            <w:r w:rsidRPr="00AB26B3">
              <w:rPr>
                <w:noProof/>
                <w:spacing w:val="-6"/>
                <w:lang w:val="sk-SK"/>
              </w:rPr>
              <w:t>rámec fungovania trhu pre technológie zachytávania, využívania</w:t>
            </w:r>
            <w:r w:rsidR="00AB26B3" w:rsidRPr="00AB26B3">
              <w:rPr>
                <w:noProof/>
                <w:spacing w:val="-6"/>
                <w:lang w:val="sk-SK"/>
              </w:rPr>
              <w:t xml:space="preserve"> a </w:t>
            </w:r>
            <w:r w:rsidRPr="00AB26B3">
              <w:rPr>
                <w:noProof/>
                <w:spacing w:val="-6"/>
                <w:lang w:val="sk-SK"/>
              </w:rPr>
              <w:t xml:space="preserve">ukladania oxidu uhličitého na podporu dekarbonizácie priemyslu </w:t>
            </w:r>
          </w:p>
        </w:tc>
        <w:tc>
          <w:tcPr>
            <w:tcW w:w="1134" w:type="dxa"/>
            <w:tcBorders>
              <w:top w:val="single" w:sz="4" w:space="0" w:color="auto"/>
              <w:left w:val="nil"/>
              <w:bottom w:val="single" w:sz="4" w:space="0" w:color="auto"/>
              <w:right w:val="single" w:sz="4" w:space="0" w:color="auto"/>
            </w:tcBorders>
            <w:shd w:val="clear" w:color="auto" w:fill="C6EFCE"/>
            <w:noWrap/>
          </w:tcPr>
          <w:p w14:paraId="68D6FB01"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Míľnik</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1A6851D2" w14:textId="6B541898"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Vytvorenie právneho rámca pre zachytávanie, využívanie</w:t>
            </w:r>
            <w:r w:rsidR="00AB26B3" w:rsidRPr="00AB26B3">
              <w:rPr>
                <w:noProof/>
                <w:spacing w:val="-6"/>
                <w:lang w:val="sk-SK"/>
              </w:rPr>
              <w:t xml:space="preserve"> a </w:t>
            </w:r>
            <w:r w:rsidRPr="00AB26B3">
              <w:rPr>
                <w:noProof/>
                <w:spacing w:val="-6"/>
                <w:lang w:val="sk-SK"/>
              </w:rPr>
              <w:t>ukladanie oxidu uhličitého.</w:t>
            </w:r>
          </w:p>
        </w:tc>
        <w:tc>
          <w:tcPr>
            <w:tcW w:w="1701" w:type="dxa"/>
            <w:tcBorders>
              <w:top w:val="single" w:sz="4" w:space="0" w:color="auto"/>
              <w:left w:val="nil"/>
              <w:bottom w:val="single" w:sz="4" w:space="0" w:color="auto"/>
              <w:right w:val="single" w:sz="4" w:space="0" w:color="auto"/>
            </w:tcBorders>
            <w:shd w:val="clear" w:color="auto" w:fill="C6EFCE"/>
            <w:noWrap/>
          </w:tcPr>
          <w:p w14:paraId="2F17B3D1" w14:textId="77777777"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 xml:space="preserve">Nadobudnutie účinnosti právnych predpisov. </w:t>
            </w:r>
          </w:p>
        </w:tc>
        <w:tc>
          <w:tcPr>
            <w:tcW w:w="856" w:type="dxa"/>
            <w:tcBorders>
              <w:top w:val="single" w:sz="4" w:space="0" w:color="auto"/>
              <w:left w:val="nil"/>
              <w:bottom w:val="single" w:sz="4" w:space="0" w:color="auto"/>
              <w:right w:val="single" w:sz="4" w:space="0" w:color="auto"/>
            </w:tcBorders>
            <w:shd w:val="clear" w:color="auto" w:fill="C6EFCE"/>
            <w:noWrap/>
          </w:tcPr>
          <w:p w14:paraId="3B5A1A30"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87" w:type="dxa"/>
            <w:gridSpan w:val="2"/>
            <w:tcBorders>
              <w:top w:val="single" w:sz="4" w:space="0" w:color="auto"/>
              <w:left w:val="nil"/>
              <w:bottom w:val="single" w:sz="4" w:space="0" w:color="auto"/>
              <w:right w:val="single" w:sz="4" w:space="0" w:color="auto"/>
            </w:tcBorders>
            <w:shd w:val="clear" w:color="auto" w:fill="C6EFCE"/>
            <w:noWrap/>
          </w:tcPr>
          <w:p w14:paraId="0AAB854C"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709" w:type="dxa"/>
            <w:tcBorders>
              <w:top w:val="single" w:sz="4" w:space="0" w:color="auto"/>
              <w:left w:val="nil"/>
              <w:bottom w:val="single" w:sz="4" w:space="0" w:color="auto"/>
              <w:right w:val="single" w:sz="4" w:space="0" w:color="auto"/>
            </w:tcBorders>
            <w:shd w:val="clear" w:color="auto" w:fill="C6EFCE"/>
            <w:noWrap/>
          </w:tcPr>
          <w:p w14:paraId="712570A0"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850" w:type="dxa"/>
            <w:tcBorders>
              <w:top w:val="single" w:sz="4" w:space="0" w:color="auto"/>
              <w:left w:val="nil"/>
              <w:bottom w:val="single" w:sz="4" w:space="0" w:color="auto"/>
              <w:right w:val="single" w:sz="4" w:space="0" w:color="auto"/>
            </w:tcBorders>
            <w:shd w:val="clear" w:color="auto" w:fill="C6EFCE"/>
            <w:noWrap/>
          </w:tcPr>
          <w:p w14:paraId="445E96EC" w14:textId="77777777" w:rsidR="00302FC1" w:rsidRPr="00AB26B3" w:rsidRDefault="00D64F26">
            <w:pPr>
              <w:pStyle w:val="P68B1DB1-Normal13"/>
              <w:spacing w:after="120" w:line="240" w:lineRule="auto"/>
              <w:rPr>
                <w:rFonts w:eastAsia="Times New Roman"/>
                <w:noProof/>
                <w:spacing w:val="-6"/>
                <w:szCs w:val="18"/>
                <w:lang w:val="sk-SK"/>
              </w:rPr>
            </w:pPr>
            <w:r w:rsidRPr="00AB26B3">
              <w:rPr>
                <w:noProof/>
                <w:spacing w:val="-6"/>
                <w:lang w:val="sk-SK"/>
              </w:rPr>
              <w:t>TRETÍ ŠTVRŤROK</w:t>
            </w:r>
          </w:p>
        </w:tc>
        <w:tc>
          <w:tcPr>
            <w:tcW w:w="645" w:type="dxa"/>
            <w:tcBorders>
              <w:top w:val="single" w:sz="4" w:space="0" w:color="auto"/>
              <w:left w:val="nil"/>
              <w:bottom w:val="single" w:sz="4" w:space="0" w:color="auto"/>
              <w:right w:val="single" w:sz="4" w:space="0" w:color="auto"/>
            </w:tcBorders>
            <w:shd w:val="clear" w:color="auto" w:fill="C6EFCE"/>
            <w:noWrap/>
          </w:tcPr>
          <w:p w14:paraId="7BD0ABAE" w14:textId="77777777" w:rsidR="00302FC1" w:rsidRPr="00AB26B3" w:rsidRDefault="00D64F26">
            <w:pPr>
              <w:pStyle w:val="P68B1DB1-Normal13"/>
              <w:spacing w:after="120" w:line="240" w:lineRule="auto"/>
              <w:rPr>
                <w:rFonts w:eastAsia="Times New Roman"/>
                <w:noProof/>
                <w:spacing w:val="-6"/>
                <w:szCs w:val="18"/>
                <w:lang w:val="sk-SK"/>
              </w:rPr>
            </w:pPr>
            <w:r w:rsidRPr="00AB26B3">
              <w:rPr>
                <w:noProof/>
                <w:spacing w:val="-6"/>
                <w:lang w:val="sk-SK"/>
              </w:rPr>
              <w:t>2024</w:t>
            </w:r>
          </w:p>
        </w:tc>
        <w:tc>
          <w:tcPr>
            <w:tcW w:w="3891" w:type="dxa"/>
            <w:tcBorders>
              <w:top w:val="single" w:sz="4" w:space="0" w:color="auto"/>
              <w:left w:val="nil"/>
              <w:bottom w:val="single" w:sz="4" w:space="0" w:color="auto"/>
              <w:right w:val="single" w:sz="4" w:space="0" w:color="auto"/>
            </w:tcBorders>
            <w:shd w:val="clear" w:color="auto" w:fill="C6EFCE"/>
            <w:noWrap/>
          </w:tcPr>
          <w:p w14:paraId="0F572B26" w14:textId="05B08EAA" w:rsidR="00302FC1" w:rsidRPr="00AB26B3" w:rsidRDefault="00D64F26">
            <w:pPr>
              <w:pStyle w:val="P68B1DB1-Normal13"/>
              <w:spacing w:after="0" w:line="240" w:lineRule="auto"/>
              <w:rPr>
                <w:rFonts w:eastAsia="Times New Roman"/>
                <w:noProof/>
                <w:spacing w:val="-6"/>
                <w:szCs w:val="18"/>
                <w:lang w:val="sk-SK"/>
              </w:rPr>
            </w:pPr>
            <w:r w:rsidRPr="00AB26B3">
              <w:rPr>
                <w:noProof/>
                <w:spacing w:val="-6"/>
                <w:lang w:val="sk-SK"/>
              </w:rPr>
              <w:t>Nadobudnutie účinnosti právneho rámca pre zachytávanie, využívanie</w:t>
            </w:r>
            <w:r w:rsidR="00AB26B3" w:rsidRPr="00AB26B3">
              <w:rPr>
                <w:noProof/>
                <w:spacing w:val="-6"/>
                <w:lang w:val="sk-SK"/>
              </w:rPr>
              <w:t xml:space="preserve"> a </w:t>
            </w:r>
            <w:r w:rsidRPr="00AB26B3">
              <w:rPr>
                <w:noProof/>
                <w:spacing w:val="-6"/>
                <w:lang w:val="sk-SK"/>
              </w:rPr>
              <w:t>ukladanie uhlíka,</w:t>
            </w:r>
            <w:r w:rsidR="00AB26B3" w:rsidRPr="00AB26B3">
              <w:rPr>
                <w:noProof/>
                <w:spacing w:val="-6"/>
                <w:lang w:val="sk-SK"/>
              </w:rPr>
              <w:t xml:space="preserve"> v </w:t>
            </w:r>
            <w:r w:rsidRPr="00AB26B3">
              <w:rPr>
                <w:noProof/>
                <w:spacing w:val="-6"/>
                <w:lang w:val="sk-SK"/>
              </w:rPr>
              <w:t>ktorom sa stanovujú:</w:t>
            </w:r>
          </w:p>
          <w:p w14:paraId="1E1F0AE0" w14:textId="34DBD43C" w:rsidR="00302FC1" w:rsidRPr="00AB26B3" w:rsidRDefault="00D64F26">
            <w:pPr>
              <w:pStyle w:val="P68B1DB1-ListParagraph50"/>
              <w:numPr>
                <w:ilvl w:val="0"/>
                <w:numId w:val="82"/>
              </w:numPr>
              <w:spacing w:after="0" w:line="240" w:lineRule="auto"/>
              <w:rPr>
                <w:rFonts w:eastAsia="Times New Roman"/>
                <w:noProof/>
                <w:spacing w:val="-6"/>
                <w:szCs w:val="18"/>
                <w:lang w:val="sk-SK"/>
              </w:rPr>
            </w:pPr>
            <w:r w:rsidRPr="00AB26B3">
              <w:rPr>
                <w:noProof/>
                <w:spacing w:val="-6"/>
                <w:lang w:val="sk-SK"/>
              </w:rPr>
              <w:t>Rozvoj licenčného rámca pre inštaláciu</w:t>
            </w:r>
            <w:r w:rsidR="00AB26B3" w:rsidRPr="00AB26B3">
              <w:rPr>
                <w:noProof/>
                <w:spacing w:val="-6"/>
                <w:lang w:val="sk-SK"/>
              </w:rPr>
              <w:t xml:space="preserve"> a </w:t>
            </w:r>
            <w:r w:rsidRPr="00AB26B3">
              <w:rPr>
                <w:noProof/>
                <w:spacing w:val="-6"/>
                <w:lang w:val="sk-SK"/>
              </w:rPr>
              <w:t>prevádzku technológií na zachytávanie, využívanie</w:t>
            </w:r>
            <w:r w:rsidR="00AB26B3" w:rsidRPr="00AB26B3">
              <w:rPr>
                <w:noProof/>
                <w:spacing w:val="-6"/>
                <w:lang w:val="sk-SK"/>
              </w:rPr>
              <w:t xml:space="preserve"> a </w:t>
            </w:r>
            <w:r w:rsidRPr="00AB26B3">
              <w:rPr>
                <w:noProof/>
                <w:spacing w:val="-6"/>
                <w:lang w:val="sk-SK"/>
              </w:rPr>
              <w:t>ukladanie oxidu uhličitého vrátane vydávania environmentálneho povolenia.</w:t>
            </w:r>
          </w:p>
          <w:p w14:paraId="27F10473" w14:textId="52F2DD31" w:rsidR="00302FC1" w:rsidRPr="00AB26B3" w:rsidRDefault="00D64F26">
            <w:pPr>
              <w:pStyle w:val="P68B1DB1-ListParagraph50"/>
              <w:numPr>
                <w:ilvl w:val="0"/>
                <w:numId w:val="82"/>
              </w:numPr>
              <w:spacing w:after="0" w:line="240" w:lineRule="auto"/>
              <w:rPr>
                <w:rFonts w:eastAsia="Times New Roman"/>
                <w:noProof/>
                <w:spacing w:val="-6"/>
                <w:szCs w:val="18"/>
                <w:lang w:val="sk-SK"/>
              </w:rPr>
            </w:pPr>
            <w:r w:rsidRPr="00AB26B3">
              <w:rPr>
                <w:noProof/>
                <w:spacing w:val="-6"/>
                <w:lang w:val="sk-SK"/>
              </w:rPr>
              <w:t>Zavedenie príslušného procesu normalizácie</w:t>
            </w:r>
            <w:r w:rsidR="00AB26B3" w:rsidRPr="00AB26B3">
              <w:rPr>
                <w:noProof/>
                <w:spacing w:val="-6"/>
                <w:lang w:val="sk-SK"/>
              </w:rPr>
              <w:t xml:space="preserve"> a </w:t>
            </w:r>
            <w:r w:rsidRPr="00AB26B3">
              <w:rPr>
                <w:noProof/>
                <w:spacing w:val="-6"/>
                <w:lang w:val="sk-SK"/>
              </w:rPr>
              <w:t>certifikácie pôvodu zachytených</w:t>
            </w:r>
            <w:r w:rsidR="00AB26B3" w:rsidRPr="00AB26B3">
              <w:rPr>
                <w:noProof/>
                <w:spacing w:val="-6"/>
                <w:lang w:val="sk-SK"/>
              </w:rPr>
              <w:t xml:space="preserve"> a </w:t>
            </w:r>
            <w:r w:rsidRPr="00AB26B3">
              <w:rPr>
                <w:noProof/>
                <w:spacing w:val="-6"/>
                <w:lang w:val="sk-SK"/>
              </w:rPr>
              <w:t>uložených emisií CO2.</w:t>
            </w:r>
          </w:p>
          <w:p w14:paraId="644477C8" w14:textId="4445D878" w:rsidR="00302FC1" w:rsidRPr="00AB26B3" w:rsidRDefault="00D64F26">
            <w:pPr>
              <w:pStyle w:val="P68B1DB1-ListParagraph50"/>
              <w:numPr>
                <w:ilvl w:val="0"/>
                <w:numId w:val="82"/>
              </w:numPr>
              <w:spacing w:after="0" w:line="240" w:lineRule="auto"/>
              <w:rPr>
                <w:rFonts w:eastAsia="Times New Roman"/>
                <w:noProof/>
                <w:spacing w:val="-6"/>
                <w:szCs w:val="18"/>
                <w:lang w:val="sk-SK"/>
              </w:rPr>
            </w:pPr>
            <w:r w:rsidRPr="00AB26B3">
              <w:rPr>
                <w:noProof/>
                <w:spacing w:val="-6"/>
                <w:lang w:val="sk-SK"/>
              </w:rPr>
              <w:t>Rozvoj regulačného rámca pre hodnotový reťazec CCS pre poplatky za skladovanie</w:t>
            </w:r>
            <w:r w:rsidR="00AB26B3" w:rsidRPr="00AB26B3">
              <w:rPr>
                <w:noProof/>
                <w:spacing w:val="-6"/>
                <w:lang w:val="sk-SK"/>
              </w:rPr>
              <w:t xml:space="preserve"> a </w:t>
            </w:r>
            <w:r w:rsidRPr="00AB26B3">
              <w:rPr>
                <w:noProof/>
                <w:spacing w:val="-6"/>
                <w:lang w:val="sk-SK"/>
              </w:rPr>
              <w:t>prepravu. Rámec zahŕňa splnomocňujúce ustanovenia pre rozdielové zmluvy, ako aj regulované tarify. Vytvorenie rámca pre využívanie/využívanie zachyteného CO2</w:t>
            </w:r>
          </w:p>
          <w:p w14:paraId="31B422DA" w14:textId="5EAA510F" w:rsidR="00302FC1" w:rsidRPr="00AB26B3" w:rsidRDefault="00D64F26">
            <w:pPr>
              <w:pStyle w:val="P68B1DB1-ListParagraph50"/>
              <w:numPr>
                <w:ilvl w:val="0"/>
                <w:numId w:val="82"/>
              </w:numPr>
              <w:spacing w:after="0" w:line="240" w:lineRule="auto"/>
              <w:rPr>
                <w:rFonts w:eastAsia="Times New Roman"/>
                <w:noProof/>
                <w:spacing w:val="-6"/>
                <w:szCs w:val="18"/>
                <w:lang w:val="sk-SK"/>
              </w:rPr>
            </w:pPr>
            <w:r w:rsidRPr="00AB26B3">
              <w:rPr>
                <w:noProof/>
                <w:spacing w:val="-6"/>
                <w:lang w:val="sk-SK"/>
              </w:rPr>
              <w:t>Prijatie rámca pre prístup tretích strán do siete/dopravnej infraštruktúry</w:t>
            </w:r>
            <w:r w:rsidR="00AB26B3" w:rsidRPr="00AB26B3">
              <w:rPr>
                <w:noProof/>
                <w:spacing w:val="-6"/>
                <w:lang w:val="sk-SK"/>
              </w:rPr>
              <w:t xml:space="preserve"> a </w:t>
            </w:r>
            <w:r w:rsidRPr="00AB26B3">
              <w:rPr>
                <w:noProof/>
                <w:spacing w:val="-6"/>
                <w:lang w:val="sk-SK"/>
              </w:rPr>
              <w:t>skladovacieho zariadenia.</w:t>
            </w:r>
          </w:p>
          <w:p w14:paraId="66A9CDF3" w14:textId="16B19C8F" w:rsidR="00302FC1" w:rsidRPr="00AB26B3" w:rsidRDefault="00D64F26">
            <w:pPr>
              <w:pStyle w:val="P68B1DB1-ListParagraph50"/>
              <w:numPr>
                <w:ilvl w:val="0"/>
                <w:numId w:val="82"/>
              </w:numPr>
              <w:spacing w:after="0" w:line="240" w:lineRule="auto"/>
              <w:rPr>
                <w:rFonts w:eastAsia="Times New Roman"/>
                <w:noProof/>
                <w:spacing w:val="-6"/>
                <w:szCs w:val="18"/>
                <w:lang w:val="sk-SK"/>
              </w:rPr>
            </w:pPr>
            <w:r w:rsidRPr="00AB26B3">
              <w:rPr>
                <w:noProof/>
                <w:spacing w:val="-6"/>
                <w:lang w:val="sk-SK"/>
              </w:rPr>
              <w:t>Pridelenie rôznych zodpovedností rôznych zainteresovaných strán za prevádzku technológií na zachytávanie, využívanie</w:t>
            </w:r>
            <w:r w:rsidR="00AB26B3" w:rsidRPr="00AB26B3">
              <w:rPr>
                <w:noProof/>
                <w:spacing w:val="-6"/>
                <w:lang w:val="sk-SK"/>
              </w:rPr>
              <w:t xml:space="preserve"> a </w:t>
            </w:r>
            <w:r w:rsidRPr="00AB26B3">
              <w:rPr>
                <w:noProof/>
                <w:spacing w:val="-6"/>
                <w:lang w:val="sk-SK"/>
              </w:rPr>
              <w:t>ukladanie oxidu uhličitého</w:t>
            </w:r>
            <w:r w:rsidR="00AB26B3" w:rsidRPr="00AB26B3">
              <w:rPr>
                <w:noProof/>
                <w:spacing w:val="-6"/>
                <w:lang w:val="sk-SK"/>
              </w:rPr>
              <w:t xml:space="preserve"> a </w:t>
            </w:r>
            <w:r w:rsidRPr="00AB26B3">
              <w:rPr>
                <w:noProof/>
                <w:spacing w:val="-6"/>
                <w:lang w:val="sk-SK"/>
              </w:rPr>
              <w:t>dohľad nad príslušným trhom.</w:t>
            </w:r>
          </w:p>
        </w:tc>
      </w:tr>
    </w:tbl>
    <w:p w14:paraId="202033EB" w14:textId="613BAFE6" w:rsidR="00302FC1" w:rsidRPr="00AB26B3" w:rsidRDefault="00D64F26">
      <w:pPr>
        <w:pStyle w:val="P68B1DB1-Normal9"/>
        <w:keepNext/>
        <w:keepLines/>
        <w:spacing w:before="2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Reforma 4: Zvýšenie kapacity siete</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uskladňovacej kapacity – podpora investícií do uskladňovania (identifikačné číslo opatrenia: 16990)</w:t>
      </w:r>
    </w:p>
    <w:tbl>
      <w:tblPr>
        <w:tblpPr w:leftFromText="181" w:rightFromText="181" w:vertAnchor="text" w:tblpY="1"/>
        <w:tblOverlap w:val="never"/>
        <w:tblW w:w="14737" w:type="dxa"/>
        <w:tblLayout w:type="fixed"/>
        <w:tblLook w:val="04A0" w:firstRow="1" w:lastRow="0" w:firstColumn="1" w:lastColumn="0" w:noHBand="0" w:noVBand="1"/>
      </w:tblPr>
      <w:tblGrid>
        <w:gridCol w:w="675"/>
        <w:gridCol w:w="2537"/>
        <w:gridCol w:w="1007"/>
        <w:gridCol w:w="1134"/>
        <w:gridCol w:w="1163"/>
        <w:gridCol w:w="992"/>
        <w:gridCol w:w="1192"/>
        <w:gridCol w:w="666"/>
        <w:gridCol w:w="921"/>
        <w:gridCol w:w="10"/>
        <w:gridCol w:w="911"/>
        <w:gridCol w:w="3529"/>
      </w:tblGrid>
      <w:tr w:rsidR="00302FC1" w:rsidRPr="00AB26B3" w14:paraId="7B483D95" w14:textId="77777777">
        <w:trPr>
          <w:trHeight w:val="1125"/>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E7475AC" w14:textId="4D9E141E" w:rsidR="00302FC1" w:rsidRPr="00AB26B3" w:rsidRDefault="00D64F26">
            <w:pPr>
              <w:pStyle w:val="P68B1DB1-Normal14"/>
              <w:spacing w:before="120" w:after="120" w:line="240" w:lineRule="auto"/>
              <w:jc w:val="center"/>
              <w:rPr>
                <w:noProof/>
                <w:spacing w:val="-6"/>
                <w:lang w:val="sk-SK"/>
              </w:rPr>
            </w:pPr>
            <w:r w:rsidRPr="00AB26B3">
              <w:rPr>
                <w:noProof/>
                <w:spacing w:val="-6"/>
                <w:lang w:val="sk-SK"/>
              </w:rPr>
              <w:t xml:space="preserve">A nasl. </w:t>
            </w:r>
            <w:r w:rsidRPr="00AB26B3">
              <w:rPr>
                <w:noProof/>
                <w:spacing w:val="-6"/>
                <w:lang w:val="sk-SK"/>
              </w:rPr>
              <w:br/>
              <w:t>Nie.</w:t>
            </w:r>
          </w:p>
        </w:tc>
        <w:tc>
          <w:tcPr>
            <w:tcW w:w="253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4D2FCE9"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Súvisiace opatrenie (reforma alebo investícia)</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3D3DAD"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Míľnik/cieľ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73F72E"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Názov</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DE77AE"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Kvalitatívne ukazovatele (pre míľniky)</w:t>
            </w:r>
          </w:p>
        </w:tc>
        <w:tc>
          <w:tcPr>
            <w:tcW w:w="285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9A20B21" w14:textId="04452D52"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Kvantitatívne ukazovatele (pre ciele)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891BE50"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Orientačný harmonogram dokončenia</w:t>
            </w:r>
          </w:p>
        </w:tc>
        <w:tc>
          <w:tcPr>
            <w:tcW w:w="35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3EEE4A" w14:textId="7F0D928F"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ECA956F" w14:textId="77777777">
        <w:trPr>
          <w:trHeight w:val="687"/>
          <w:tblHeader/>
        </w:trPr>
        <w:tc>
          <w:tcPr>
            <w:tcW w:w="675" w:type="dxa"/>
            <w:vMerge/>
            <w:tcBorders>
              <w:top w:val="single" w:sz="4" w:space="0" w:color="auto"/>
              <w:left w:val="single" w:sz="4" w:space="0" w:color="auto"/>
              <w:bottom w:val="single" w:sz="4" w:space="0" w:color="auto"/>
              <w:right w:val="single" w:sz="4" w:space="0" w:color="auto"/>
            </w:tcBorders>
            <w:vAlign w:val="center"/>
          </w:tcPr>
          <w:p w14:paraId="1D6F7FE2"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2537" w:type="dxa"/>
            <w:vMerge/>
            <w:tcBorders>
              <w:top w:val="single" w:sz="4" w:space="0" w:color="auto"/>
              <w:left w:val="single" w:sz="4" w:space="0" w:color="auto"/>
              <w:bottom w:val="single" w:sz="4" w:space="0" w:color="auto"/>
              <w:right w:val="single" w:sz="4" w:space="0" w:color="auto"/>
            </w:tcBorders>
            <w:vAlign w:val="center"/>
          </w:tcPr>
          <w:p w14:paraId="5989B33A"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007" w:type="dxa"/>
            <w:vMerge/>
            <w:tcBorders>
              <w:top w:val="single" w:sz="4" w:space="0" w:color="auto"/>
              <w:left w:val="single" w:sz="4" w:space="0" w:color="auto"/>
              <w:bottom w:val="single" w:sz="4" w:space="0" w:color="auto"/>
              <w:right w:val="single" w:sz="4" w:space="0" w:color="auto"/>
            </w:tcBorders>
            <w:vAlign w:val="center"/>
          </w:tcPr>
          <w:p w14:paraId="12ADA5C5"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ABD270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63" w:type="dxa"/>
            <w:vMerge/>
            <w:tcBorders>
              <w:top w:val="single" w:sz="4" w:space="0" w:color="auto"/>
              <w:left w:val="single" w:sz="4" w:space="0" w:color="auto"/>
              <w:bottom w:val="single" w:sz="4" w:space="0" w:color="auto"/>
              <w:right w:val="single" w:sz="4" w:space="0" w:color="auto"/>
            </w:tcBorders>
            <w:vAlign w:val="center"/>
          </w:tcPr>
          <w:p w14:paraId="358FBED8"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tcPr>
          <w:p w14:paraId="669922E2"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1192" w:type="dxa"/>
            <w:tcBorders>
              <w:top w:val="single" w:sz="4" w:space="0" w:color="auto"/>
              <w:left w:val="single" w:sz="4" w:space="0" w:color="auto"/>
              <w:bottom w:val="single" w:sz="4" w:space="0" w:color="auto"/>
              <w:right w:val="single" w:sz="4" w:space="0" w:color="auto"/>
            </w:tcBorders>
            <w:shd w:val="clear" w:color="auto" w:fill="BDD7EE"/>
            <w:vAlign w:val="center"/>
          </w:tcPr>
          <w:p w14:paraId="1BDC1DB5"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Základná</w:t>
            </w:r>
          </w:p>
        </w:tc>
        <w:tc>
          <w:tcPr>
            <w:tcW w:w="666" w:type="dxa"/>
            <w:tcBorders>
              <w:top w:val="single" w:sz="4" w:space="0" w:color="auto"/>
              <w:left w:val="single" w:sz="4" w:space="0" w:color="auto"/>
              <w:bottom w:val="single" w:sz="4" w:space="0" w:color="auto"/>
              <w:right w:val="single" w:sz="4" w:space="0" w:color="auto"/>
            </w:tcBorders>
            <w:shd w:val="clear" w:color="auto" w:fill="BDD7EE"/>
            <w:vAlign w:val="center"/>
          </w:tcPr>
          <w:p w14:paraId="666C67EB"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Cieľ</w:t>
            </w:r>
          </w:p>
        </w:tc>
        <w:tc>
          <w:tcPr>
            <w:tcW w:w="921" w:type="dxa"/>
            <w:tcBorders>
              <w:top w:val="single" w:sz="4" w:space="0" w:color="auto"/>
              <w:left w:val="single" w:sz="4" w:space="0" w:color="auto"/>
              <w:bottom w:val="single" w:sz="4" w:space="0" w:color="auto"/>
              <w:right w:val="single" w:sz="4" w:space="0" w:color="auto"/>
            </w:tcBorders>
            <w:shd w:val="clear" w:color="auto" w:fill="BDD7EE"/>
            <w:vAlign w:val="center"/>
          </w:tcPr>
          <w:p w14:paraId="67DB80EE"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Štvrtina</w:t>
            </w:r>
          </w:p>
        </w:tc>
        <w:tc>
          <w:tcPr>
            <w:tcW w:w="921" w:type="dxa"/>
            <w:gridSpan w:val="2"/>
            <w:tcBorders>
              <w:top w:val="single" w:sz="4" w:space="0" w:color="auto"/>
              <w:left w:val="single" w:sz="4" w:space="0" w:color="auto"/>
              <w:bottom w:val="single" w:sz="4" w:space="0" w:color="auto"/>
              <w:right w:val="single" w:sz="4" w:space="0" w:color="auto"/>
            </w:tcBorders>
            <w:shd w:val="clear" w:color="auto" w:fill="BDD7EE"/>
            <w:vAlign w:val="center"/>
          </w:tcPr>
          <w:p w14:paraId="6AEE0D24"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Rok</w:t>
            </w:r>
          </w:p>
        </w:tc>
        <w:tc>
          <w:tcPr>
            <w:tcW w:w="3529" w:type="dxa"/>
            <w:vMerge/>
            <w:tcBorders>
              <w:top w:val="single" w:sz="4" w:space="0" w:color="auto"/>
              <w:left w:val="single" w:sz="4" w:space="0" w:color="auto"/>
              <w:bottom w:val="single" w:sz="4" w:space="0" w:color="auto"/>
              <w:right w:val="single" w:sz="4" w:space="0" w:color="auto"/>
            </w:tcBorders>
            <w:vAlign w:val="center"/>
          </w:tcPr>
          <w:p w14:paraId="497B0062"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r>
      <w:tr w:rsidR="00302FC1" w:rsidRPr="00AB26B3" w14:paraId="5AAE91A6" w14:textId="77777777">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CD37109" w14:textId="77777777" w:rsidR="00302FC1" w:rsidRPr="00AB26B3" w:rsidRDefault="00D64F26">
            <w:pPr>
              <w:pStyle w:val="P68B1DB1-Normal12"/>
              <w:spacing w:after="0" w:line="240" w:lineRule="auto"/>
              <w:rPr>
                <w:rFonts w:eastAsia="Times New Roman"/>
                <w:noProof/>
                <w:spacing w:val="-6"/>
                <w:highlight w:val="cyan"/>
                <w:lang w:val="sk-SK"/>
              </w:rPr>
            </w:pPr>
            <w:r w:rsidRPr="00AB26B3">
              <w:rPr>
                <w:noProof/>
                <w:spacing w:val="-6"/>
                <w:lang w:val="sk-SK"/>
              </w:rPr>
              <w:t>356</w:t>
            </w:r>
          </w:p>
        </w:tc>
        <w:tc>
          <w:tcPr>
            <w:tcW w:w="2537" w:type="dxa"/>
            <w:tcBorders>
              <w:top w:val="single" w:sz="4" w:space="0" w:color="auto"/>
              <w:left w:val="nil"/>
              <w:bottom w:val="single" w:sz="4" w:space="0" w:color="auto"/>
              <w:right w:val="single" w:sz="4" w:space="0" w:color="auto"/>
            </w:tcBorders>
            <w:shd w:val="clear" w:color="auto" w:fill="C6EFCE"/>
            <w:noWrap/>
          </w:tcPr>
          <w:p w14:paraId="26A4121B" w14:textId="4914EE0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 – 5.1. Reformy REPowerEU – 16990_Zvýšenie kapacity sústavy</w:t>
            </w:r>
            <w:r w:rsidR="00AB26B3" w:rsidRPr="00AB26B3">
              <w:rPr>
                <w:noProof/>
                <w:spacing w:val="-6"/>
                <w:lang w:val="sk-SK"/>
              </w:rPr>
              <w:t xml:space="preserve"> a </w:t>
            </w:r>
            <w:r w:rsidRPr="00AB26B3">
              <w:rPr>
                <w:noProof/>
                <w:spacing w:val="-6"/>
                <w:lang w:val="sk-SK"/>
              </w:rPr>
              <w:t>uskladňovacej kapacity – podpora investícií do uskladňovania </w:t>
            </w:r>
          </w:p>
        </w:tc>
        <w:tc>
          <w:tcPr>
            <w:tcW w:w="1007" w:type="dxa"/>
            <w:tcBorders>
              <w:top w:val="single" w:sz="4" w:space="0" w:color="auto"/>
              <w:left w:val="nil"/>
              <w:bottom w:val="single" w:sz="4" w:space="0" w:color="auto"/>
              <w:right w:val="single" w:sz="4" w:space="0" w:color="auto"/>
            </w:tcBorders>
            <w:shd w:val="clear" w:color="auto" w:fill="C6EFCE"/>
            <w:noWrap/>
          </w:tcPr>
          <w:p w14:paraId="7F57533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134" w:type="dxa"/>
            <w:tcBorders>
              <w:top w:val="single" w:sz="4" w:space="0" w:color="auto"/>
              <w:left w:val="nil"/>
              <w:bottom w:val="single" w:sz="4" w:space="0" w:color="auto"/>
              <w:right w:val="single" w:sz="4" w:space="0" w:color="auto"/>
            </w:tcBorders>
            <w:shd w:val="clear" w:color="auto" w:fill="C6EFCE"/>
            <w:noWrap/>
          </w:tcPr>
          <w:p w14:paraId="542195F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legislatívneho rámca.</w:t>
            </w:r>
          </w:p>
        </w:tc>
        <w:tc>
          <w:tcPr>
            <w:tcW w:w="1163" w:type="dxa"/>
            <w:tcBorders>
              <w:top w:val="single" w:sz="4" w:space="0" w:color="auto"/>
              <w:left w:val="nil"/>
              <w:bottom w:val="single" w:sz="4" w:space="0" w:color="auto"/>
              <w:right w:val="single" w:sz="4" w:space="0" w:color="auto"/>
            </w:tcBorders>
            <w:shd w:val="clear" w:color="auto" w:fill="C6EFCE"/>
            <w:noWrap/>
          </w:tcPr>
          <w:p w14:paraId="2783FFBA" w14:textId="3C0DB57B" w:rsidR="00302FC1" w:rsidRPr="00AB26B3" w:rsidRDefault="00D64F26">
            <w:pPr>
              <w:pStyle w:val="P68B1DB1-Normal34"/>
              <w:spacing w:after="0" w:line="240" w:lineRule="auto"/>
              <w:rPr>
                <w:rFonts w:ascii="Times New Roman" w:eastAsia="Times New Roman" w:hAnsi="Times New Roman" w:cs="Times New Roman"/>
                <w:noProof/>
                <w:spacing w:val="-6"/>
                <w:szCs w:val="18"/>
                <w:lang w:val="sk-SK"/>
              </w:rPr>
            </w:pPr>
            <w:r w:rsidRPr="00AB26B3">
              <w:rPr>
                <w:rFonts w:ascii="Times New Roman" w:hAnsi="Times New Roman" w:cs="Times New Roman"/>
                <w:noProof/>
                <w:color w:val="006100"/>
                <w:spacing w:val="-6"/>
                <w:szCs w:val="18"/>
                <w:lang w:val="sk-SK"/>
              </w:rPr>
              <w:t>Primárne</w:t>
            </w:r>
            <w:r w:rsidR="00AB26B3" w:rsidRPr="00AB26B3">
              <w:rPr>
                <w:rFonts w:ascii="Times New Roman" w:hAnsi="Times New Roman" w:cs="Times New Roman"/>
                <w:noProof/>
                <w:color w:val="006100"/>
                <w:spacing w:val="-6"/>
                <w:szCs w:val="18"/>
                <w:lang w:val="sk-SK"/>
              </w:rPr>
              <w:t xml:space="preserve"> a </w:t>
            </w:r>
            <w:r w:rsidRPr="00AB26B3">
              <w:rPr>
                <w:rFonts w:ascii="Times New Roman" w:hAnsi="Times New Roman" w:cs="Times New Roman"/>
                <w:noProof/>
                <w:color w:val="006100"/>
                <w:spacing w:val="-6"/>
                <w:szCs w:val="18"/>
                <w:lang w:val="sk-SK"/>
              </w:rPr>
              <w:t>sekundárne právne predpisy</w:t>
            </w:r>
            <w:r w:rsidRPr="00AB26B3">
              <w:rPr>
                <w:rFonts w:ascii="Times New Roman" w:hAnsi="Times New Roman"/>
                <w:noProof/>
                <w:spacing w:val="-6"/>
                <w:lang w:val="sk-SK"/>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14:paraId="0DF63CDE"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1192" w:type="dxa"/>
            <w:tcBorders>
              <w:top w:val="single" w:sz="4" w:space="0" w:color="auto"/>
              <w:left w:val="nil"/>
              <w:bottom w:val="single" w:sz="4" w:space="0" w:color="auto"/>
              <w:right w:val="single" w:sz="4" w:space="0" w:color="auto"/>
            </w:tcBorders>
            <w:shd w:val="clear" w:color="auto" w:fill="C6EFCE"/>
            <w:noWrap/>
          </w:tcPr>
          <w:p w14:paraId="3A89D043"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666" w:type="dxa"/>
            <w:tcBorders>
              <w:top w:val="single" w:sz="4" w:space="0" w:color="auto"/>
              <w:left w:val="nil"/>
              <w:bottom w:val="single" w:sz="4" w:space="0" w:color="auto"/>
              <w:right w:val="single" w:sz="4" w:space="0" w:color="auto"/>
            </w:tcBorders>
            <w:shd w:val="clear" w:color="auto" w:fill="C6EFCE"/>
            <w:noWrap/>
          </w:tcPr>
          <w:p w14:paraId="54077C58"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31" w:type="dxa"/>
            <w:gridSpan w:val="2"/>
            <w:tcBorders>
              <w:top w:val="single" w:sz="4" w:space="0" w:color="auto"/>
              <w:left w:val="nil"/>
              <w:bottom w:val="single" w:sz="4" w:space="0" w:color="auto"/>
              <w:right w:val="single" w:sz="4" w:space="0" w:color="auto"/>
            </w:tcBorders>
            <w:shd w:val="clear" w:color="auto" w:fill="C6EFCE"/>
            <w:noWrap/>
          </w:tcPr>
          <w:p w14:paraId="3E3A2C49"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ŠTVRŤROK</w:t>
            </w:r>
          </w:p>
        </w:tc>
        <w:tc>
          <w:tcPr>
            <w:tcW w:w="911" w:type="dxa"/>
            <w:tcBorders>
              <w:top w:val="single" w:sz="4" w:space="0" w:color="auto"/>
              <w:left w:val="nil"/>
              <w:bottom w:val="single" w:sz="4" w:space="0" w:color="auto"/>
              <w:right w:val="single" w:sz="4" w:space="0" w:color="auto"/>
            </w:tcBorders>
            <w:shd w:val="clear" w:color="auto" w:fill="C6EFCE"/>
            <w:noWrap/>
          </w:tcPr>
          <w:p w14:paraId="58C1D112"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2024</w:t>
            </w:r>
          </w:p>
        </w:tc>
        <w:tc>
          <w:tcPr>
            <w:tcW w:w="3529" w:type="dxa"/>
            <w:tcBorders>
              <w:top w:val="single" w:sz="4" w:space="0" w:color="auto"/>
              <w:left w:val="nil"/>
              <w:bottom w:val="single" w:sz="4" w:space="0" w:color="auto"/>
              <w:right w:val="single" w:sz="4" w:space="0" w:color="auto"/>
            </w:tcBorders>
            <w:shd w:val="clear" w:color="auto" w:fill="C6EFCE"/>
            <w:noWrap/>
          </w:tcPr>
          <w:p w14:paraId="2B7A3CB3" w14:textId="457FB7CA" w:rsidR="00AB26B3" w:rsidRPr="00AB26B3" w:rsidRDefault="00D64F26">
            <w:pPr>
              <w:pStyle w:val="P68B1DB1-Normal12"/>
              <w:spacing w:after="0" w:line="240" w:lineRule="auto"/>
              <w:rPr>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 ktorými sa stanovuje podporný rámec na inštaláciu zásobníkov do existujúcich alebo nových elektrární na výrobu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v </w:t>
            </w:r>
            <w:r w:rsidRPr="00AB26B3">
              <w:rPr>
                <w:noProof/>
                <w:spacing w:val="-6"/>
                <w:lang w:val="sk-SK"/>
              </w:rPr>
              <w:t>ktorých sa uprednostnia postupy udeľovania licencií</w:t>
            </w:r>
            <w:r w:rsidR="00AB26B3" w:rsidRPr="00AB26B3">
              <w:rPr>
                <w:noProof/>
                <w:spacing w:val="-6"/>
                <w:lang w:val="sk-SK"/>
              </w:rPr>
              <w:t xml:space="preserve"> a </w:t>
            </w:r>
            <w:r w:rsidRPr="00AB26B3">
              <w:rPr>
                <w:noProof/>
                <w:spacing w:val="-6"/>
                <w:lang w:val="sk-SK"/>
              </w:rPr>
              <w:t>prístup do sústavy týchto elektrární</w:t>
            </w:r>
            <w:r w:rsidR="00AB26B3" w:rsidRPr="00AB26B3">
              <w:rPr>
                <w:noProof/>
                <w:spacing w:val="-6"/>
                <w:lang w:val="sk-SK"/>
              </w:rPr>
              <w:t>.</w:t>
            </w:r>
          </w:p>
          <w:p w14:paraId="1A62C865" w14:textId="6998F19E"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r>
      <w:tr w:rsidR="00302FC1" w:rsidRPr="00AB26B3" w14:paraId="40856741" w14:textId="77777777">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61667A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357</w:t>
            </w:r>
          </w:p>
        </w:tc>
        <w:tc>
          <w:tcPr>
            <w:tcW w:w="2537" w:type="dxa"/>
            <w:tcBorders>
              <w:top w:val="single" w:sz="4" w:space="0" w:color="auto"/>
              <w:left w:val="nil"/>
              <w:bottom w:val="single" w:sz="4" w:space="0" w:color="auto"/>
              <w:right w:val="single" w:sz="4" w:space="0" w:color="auto"/>
            </w:tcBorders>
            <w:shd w:val="clear" w:color="auto" w:fill="C6EFCE"/>
            <w:noWrap/>
          </w:tcPr>
          <w:p w14:paraId="5493E735" w14:textId="434B5EEF" w:rsidR="00302FC1" w:rsidRPr="00AB26B3" w:rsidRDefault="00D64F26">
            <w:pPr>
              <w:pStyle w:val="P68B1DB1-Normal12"/>
              <w:spacing w:after="0" w:line="240" w:lineRule="auto"/>
              <w:rPr>
                <w:noProof/>
                <w:spacing w:val="-6"/>
                <w:lang w:val="sk-SK"/>
              </w:rPr>
            </w:pPr>
            <w:r w:rsidRPr="00AB26B3">
              <w:rPr>
                <w:noProof/>
                <w:spacing w:val="-6"/>
                <w:lang w:val="sk-SK"/>
              </w:rPr>
              <w:t>20 – 5.1. Reformy REPowerEU – 16990_Reforma sietí</w:t>
            </w:r>
            <w:r w:rsidR="00AB26B3" w:rsidRPr="00AB26B3">
              <w:rPr>
                <w:noProof/>
                <w:spacing w:val="-6"/>
                <w:lang w:val="sk-SK"/>
              </w:rPr>
              <w:t xml:space="preserve"> a </w:t>
            </w:r>
            <w:r w:rsidRPr="00AB26B3">
              <w:rPr>
                <w:noProof/>
                <w:spacing w:val="-6"/>
                <w:lang w:val="sk-SK"/>
              </w:rPr>
              <w:t>uskladňovacích kapacít</w:t>
            </w:r>
          </w:p>
        </w:tc>
        <w:tc>
          <w:tcPr>
            <w:tcW w:w="1007" w:type="dxa"/>
            <w:tcBorders>
              <w:top w:val="single" w:sz="4" w:space="0" w:color="auto"/>
              <w:left w:val="nil"/>
              <w:bottom w:val="single" w:sz="4" w:space="0" w:color="auto"/>
              <w:right w:val="single" w:sz="4" w:space="0" w:color="auto"/>
            </w:tcBorders>
            <w:shd w:val="clear" w:color="auto" w:fill="C6EFCE"/>
            <w:noWrap/>
          </w:tcPr>
          <w:p w14:paraId="4919BF3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Míľnik </w:t>
            </w:r>
          </w:p>
        </w:tc>
        <w:tc>
          <w:tcPr>
            <w:tcW w:w="1134" w:type="dxa"/>
            <w:tcBorders>
              <w:top w:val="single" w:sz="4" w:space="0" w:color="auto"/>
              <w:left w:val="nil"/>
              <w:bottom w:val="single" w:sz="4" w:space="0" w:color="auto"/>
              <w:right w:val="single" w:sz="4" w:space="0" w:color="auto"/>
            </w:tcBorders>
            <w:shd w:val="clear" w:color="auto" w:fill="C6EFCE"/>
            <w:noWrap/>
          </w:tcPr>
          <w:p w14:paraId="7BCA389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Nadobudnutie účinnosti právnych aktov. </w:t>
            </w:r>
          </w:p>
        </w:tc>
        <w:tc>
          <w:tcPr>
            <w:tcW w:w="1163" w:type="dxa"/>
            <w:tcBorders>
              <w:top w:val="single" w:sz="4" w:space="0" w:color="auto"/>
              <w:left w:val="nil"/>
              <w:bottom w:val="single" w:sz="4" w:space="0" w:color="auto"/>
              <w:right w:val="single" w:sz="4" w:space="0" w:color="auto"/>
            </w:tcBorders>
            <w:shd w:val="clear" w:color="auto" w:fill="C6EFCE"/>
            <w:noWrap/>
          </w:tcPr>
          <w:p w14:paraId="17EAB462"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 Právne akty </w:t>
            </w:r>
          </w:p>
        </w:tc>
        <w:tc>
          <w:tcPr>
            <w:tcW w:w="992" w:type="dxa"/>
            <w:tcBorders>
              <w:top w:val="single" w:sz="4" w:space="0" w:color="auto"/>
              <w:left w:val="nil"/>
              <w:bottom w:val="single" w:sz="4" w:space="0" w:color="auto"/>
              <w:right w:val="single" w:sz="4" w:space="0" w:color="auto"/>
            </w:tcBorders>
            <w:shd w:val="clear" w:color="auto" w:fill="C6EFCE"/>
            <w:noWrap/>
          </w:tcPr>
          <w:p w14:paraId="2216C2E2"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1192" w:type="dxa"/>
            <w:tcBorders>
              <w:top w:val="single" w:sz="4" w:space="0" w:color="auto"/>
              <w:left w:val="nil"/>
              <w:bottom w:val="single" w:sz="4" w:space="0" w:color="auto"/>
              <w:right w:val="single" w:sz="4" w:space="0" w:color="auto"/>
            </w:tcBorders>
            <w:shd w:val="clear" w:color="auto" w:fill="C6EFCE"/>
            <w:noWrap/>
          </w:tcPr>
          <w:p w14:paraId="5E3F232E"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666" w:type="dxa"/>
            <w:tcBorders>
              <w:top w:val="single" w:sz="4" w:space="0" w:color="auto"/>
              <w:left w:val="nil"/>
              <w:bottom w:val="single" w:sz="4" w:space="0" w:color="auto"/>
              <w:right w:val="single" w:sz="4" w:space="0" w:color="auto"/>
            </w:tcBorders>
            <w:shd w:val="clear" w:color="auto" w:fill="C6EFCE"/>
            <w:noWrap/>
          </w:tcPr>
          <w:p w14:paraId="373575B3"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31" w:type="dxa"/>
            <w:gridSpan w:val="2"/>
            <w:tcBorders>
              <w:top w:val="single" w:sz="4" w:space="0" w:color="auto"/>
              <w:left w:val="nil"/>
              <w:bottom w:val="single" w:sz="4" w:space="0" w:color="auto"/>
              <w:right w:val="single" w:sz="4" w:space="0" w:color="auto"/>
            </w:tcBorders>
            <w:shd w:val="clear" w:color="auto" w:fill="C6EFCE"/>
            <w:noWrap/>
          </w:tcPr>
          <w:p w14:paraId="18F133A3"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ŠTVRŤROK</w:t>
            </w:r>
          </w:p>
        </w:tc>
        <w:tc>
          <w:tcPr>
            <w:tcW w:w="911" w:type="dxa"/>
            <w:tcBorders>
              <w:top w:val="single" w:sz="4" w:space="0" w:color="auto"/>
              <w:left w:val="nil"/>
              <w:bottom w:val="single" w:sz="4" w:space="0" w:color="auto"/>
              <w:right w:val="single" w:sz="4" w:space="0" w:color="auto"/>
            </w:tcBorders>
            <w:shd w:val="clear" w:color="auto" w:fill="C6EFCE"/>
            <w:noWrap/>
          </w:tcPr>
          <w:p w14:paraId="7856C55C"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2025</w:t>
            </w:r>
          </w:p>
        </w:tc>
        <w:tc>
          <w:tcPr>
            <w:tcW w:w="3529" w:type="dxa"/>
            <w:tcBorders>
              <w:top w:val="single" w:sz="4" w:space="0" w:color="auto"/>
              <w:left w:val="nil"/>
              <w:bottom w:val="single" w:sz="4" w:space="0" w:color="auto"/>
              <w:right w:val="single" w:sz="4" w:space="0" w:color="auto"/>
            </w:tcBorders>
            <w:shd w:val="clear" w:color="auto" w:fill="C6EFCE"/>
            <w:noWrap/>
          </w:tcPr>
          <w:p w14:paraId="00A9D6BB" w14:textId="28F85845" w:rsidR="00AB26B3" w:rsidRPr="00AB26B3" w:rsidRDefault="00D64F26">
            <w:pPr>
              <w:pStyle w:val="P68B1DB1-Normal12"/>
              <w:spacing w:after="0" w:line="240" w:lineRule="auto"/>
              <w:rPr>
                <w:noProof/>
                <w:spacing w:val="-6"/>
                <w:lang w:val="sk-SK"/>
              </w:rPr>
            </w:pPr>
            <w:r w:rsidRPr="00AB26B3">
              <w:rPr>
                <w:noProof/>
                <w:spacing w:val="-6"/>
                <w:lang w:val="sk-SK"/>
              </w:rPr>
              <w:t>Nadobudnutie účinnosti právnych aktov, ktorými sa prijíma licenčný rámec na podporu samostatných projektov</w:t>
            </w:r>
            <w:r w:rsidR="00AB26B3" w:rsidRPr="00AB26B3">
              <w:rPr>
                <w:noProof/>
                <w:spacing w:val="-6"/>
                <w:lang w:val="sk-SK"/>
              </w:rPr>
              <w:t xml:space="preserve"> v </w:t>
            </w:r>
            <w:r w:rsidRPr="00AB26B3">
              <w:rPr>
                <w:noProof/>
                <w:spacing w:val="-6"/>
                <w:lang w:val="sk-SK"/>
              </w:rPr>
              <w:t>oblasti batérií</w:t>
            </w:r>
            <w:r w:rsidR="00AB26B3" w:rsidRPr="00AB26B3">
              <w:rPr>
                <w:noProof/>
                <w:spacing w:val="-6"/>
                <w:lang w:val="sk-SK"/>
              </w:rPr>
              <w:t>.</w:t>
            </w:r>
          </w:p>
          <w:p w14:paraId="1689AAC3" w14:textId="5021ACC2" w:rsidR="00AB26B3" w:rsidRPr="00AB26B3" w:rsidRDefault="00D64F26">
            <w:pPr>
              <w:pStyle w:val="P68B1DB1-Normal12"/>
              <w:spacing w:after="0" w:line="240" w:lineRule="auto"/>
              <w:rPr>
                <w:noProof/>
                <w:spacing w:val="-6"/>
                <w:lang w:val="sk-SK"/>
              </w:rPr>
            </w:pPr>
            <w:r w:rsidRPr="00AB26B3">
              <w:rPr>
                <w:noProof/>
                <w:spacing w:val="-6"/>
                <w:lang w:val="sk-SK"/>
              </w:rPr>
              <w:t>Nadobudnutie účinnosti systému podpory pre kombinované zariadenia na uskladňovanie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s </w:t>
            </w:r>
            <w:r w:rsidRPr="00AB26B3">
              <w:rPr>
                <w:noProof/>
                <w:spacing w:val="-6"/>
                <w:lang w:val="sk-SK"/>
              </w:rPr>
              <w:t>fotovoltickými technológiami</w:t>
            </w:r>
            <w:r w:rsidR="00AB26B3" w:rsidRPr="00AB26B3">
              <w:rPr>
                <w:noProof/>
                <w:spacing w:val="-6"/>
                <w:lang w:val="sk-SK"/>
              </w:rPr>
              <w:t xml:space="preserve"> a </w:t>
            </w:r>
            <w:r w:rsidRPr="00AB26B3">
              <w:rPr>
                <w:noProof/>
                <w:spacing w:val="-6"/>
                <w:lang w:val="sk-SK"/>
              </w:rPr>
              <w:t>technológiami na uskladňovanie energie</w:t>
            </w:r>
            <w:r w:rsidR="00AB26B3" w:rsidRPr="00AB26B3">
              <w:rPr>
                <w:noProof/>
                <w:spacing w:val="-6"/>
                <w:lang w:val="sk-SK"/>
              </w:rPr>
              <w:t xml:space="preserve"> v </w:t>
            </w:r>
            <w:r w:rsidRPr="00AB26B3">
              <w:rPr>
                <w:noProof/>
                <w:spacing w:val="-6"/>
                <w:lang w:val="sk-SK"/>
              </w:rPr>
              <w:t>batériách</w:t>
            </w:r>
            <w:r w:rsidR="00AB26B3" w:rsidRPr="00AB26B3">
              <w:rPr>
                <w:noProof/>
                <w:spacing w:val="-6"/>
                <w:lang w:val="sk-SK"/>
              </w:rPr>
              <w:t>.</w:t>
            </w:r>
          </w:p>
          <w:p w14:paraId="7FD59A17" w14:textId="0E9F764A" w:rsidR="00302FC1" w:rsidRPr="00AB26B3" w:rsidRDefault="00D64F26">
            <w:pPr>
              <w:pStyle w:val="P68B1DB1-Normal15"/>
              <w:spacing w:after="0" w:line="240" w:lineRule="auto"/>
              <w:rPr>
                <w:noProof/>
                <w:color w:val="006100"/>
                <w:spacing w:val="-6"/>
                <w:lang w:val="sk-SK"/>
              </w:rPr>
            </w:pPr>
            <w:r w:rsidRPr="00AB26B3">
              <w:rPr>
                <w:noProof/>
                <w:spacing w:val="-6"/>
                <w:lang w:val="sk-SK"/>
              </w:rPr>
              <w:t xml:space="preserve"> </w:t>
            </w:r>
          </w:p>
        </w:tc>
      </w:tr>
    </w:tbl>
    <w:p w14:paraId="58D70F0A" w14:textId="3875C9F8" w:rsidR="00302FC1" w:rsidRPr="00AB26B3" w:rsidRDefault="00D64F26">
      <w:pPr>
        <w:pStyle w:val="P68B1DB1-Normal9"/>
        <w:keepNext/>
        <w:keepLines/>
        <w:spacing w:before="240" w:after="0" w:line="240" w:lineRule="auto"/>
        <w:jc w:val="both"/>
        <w:outlineLvl w:val="4"/>
        <w:rPr>
          <w:rFonts w:ascii="Times New Roman" w:eastAsia="Times New Roman" w:hAnsi="Times New Roman"/>
          <w:noProof/>
          <w:spacing w:val="-6"/>
          <w:szCs w:val="24"/>
          <w:lang w:val="sk-SK"/>
        </w:rPr>
      </w:pPr>
      <w:r w:rsidRPr="00AB26B3">
        <w:rPr>
          <w:rFonts w:ascii="Times New Roman" w:hAnsi="Times New Roman"/>
          <w:noProof/>
          <w:spacing w:val="-6"/>
          <w:lang w:val="sk-SK"/>
        </w:rPr>
        <w:t>Reforma 5: Regulačný rámec smerom</w:t>
      </w:r>
      <w:r w:rsidR="00AB26B3" w:rsidRPr="00AB26B3">
        <w:rPr>
          <w:rFonts w:ascii="Times New Roman" w:hAnsi="Times New Roman"/>
          <w:noProof/>
          <w:spacing w:val="-6"/>
          <w:lang w:val="sk-SK"/>
        </w:rPr>
        <w:t xml:space="preserve"> k </w:t>
      </w:r>
      <w:r w:rsidRPr="00AB26B3">
        <w:rPr>
          <w:rFonts w:ascii="Times New Roman" w:hAnsi="Times New Roman"/>
          <w:noProof/>
          <w:spacing w:val="-6"/>
          <w:lang w:val="sk-SK"/>
        </w:rPr>
        <w:t>inteligentnej sieti (identifikačné číslo opatrenia: 16991)</w:t>
      </w:r>
    </w:p>
    <w:tbl>
      <w:tblPr>
        <w:tblW w:w="14596" w:type="dxa"/>
        <w:tblLayout w:type="fixed"/>
        <w:tblLook w:val="04A0" w:firstRow="1" w:lastRow="0" w:firstColumn="1" w:lastColumn="0" w:noHBand="0" w:noVBand="1"/>
      </w:tblPr>
      <w:tblGrid>
        <w:gridCol w:w="675"/>
        <w:gridCol w:w="1843"/>
        <w:gridCol w:w="992"/>
        <w:gridCol w:w="1843"/>
        <w:gridCol w:w="1556"/>
        <w:gridCol w:w="954"/>
        <w:gridCol w:w="996"/>
        <w:gridCol w:w="652"/>
        <w:gridCol w:w="899"/>
        <w:gridCol w:w="10"/>
        <w:gridCol w:w="889"/>
        <w:gridCol w:w="3287"/>
      </w:tblGrid>
      <w:tr w:rsidR="00302FC1" w:rsidRPr="00AB26B3" w14:paraId="0D623798" w14:textId="77777777">
        <w:trPr>
          <w:trHeight w:val="1125"/>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68D816" w14:textId="6D4D6A13" w:rsidR="00302FC1" w:rsidRPr="00AB26B3" w:rsidRDefault="00D64F26">
            <w:pPr>
              <w:pStyle w:val="P68B1DB1-Normal14"/>
              <w:spacing w:before="120" w:after="120" w:line="240" w:lineRule="auto"/>
              <w:jc w:val="center"/>
              <w:rPr>
                <w:noProof/>
                <w:spacing w:val="-6"/>
                <w:lang w:val="sk-SK"/>
              </w:rPr>
            </w:pPr>
            <w:r w:rsidRPr="00AB26B3">
              <w:rPr>
                <w:noProof/>
                <w:spacing w:val="-6"/>
                <w:lang w:val="sk-SK"/>
              </w:rPr>
              <w:t xml:space="preserve">A nasl. </w:t>
            </w:r>
            <w:r w:rsidRPr="00AB26B3">
              <w:rPr>
                <w:noProof/>
                <w:spacing w:val="-6"/>
                <w:lang w:val="sk-SK"/>
              </w:rPr>
              <w:br/>
              <w:t>Nie.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A369B95"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Súvisiace opatrenie (reforma alebo investícia)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FB89EF"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Míľnik/cieľ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E75164"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Názov</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42A52AE" w14:textId="61FFC8E6"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Kvalitatívne ukazovatele (pre míľniky)</w:t>
            </w:r>
          </w:p>
        </w:tc>
        <w:tc>
          <w:tcPr>
            <w:tcW w:w="260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06B29FAD" w14:textId="1B5D3C14"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Kvantitatívne ukazovatele (pre ciele)</w:t>
            </w:r>
          </w:p>
        </w:tc>
        <w:tc>
          <w:tcPr>
            <w:tcW w:w="1798"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0DA467BF"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Orientačný harmonogram dokončenia</w:t>
            </w:r>
          </w:p>
        </w:tc>
        <w:tc>
          <w:tcPr>
            <w:tcW w:w="32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72CD131" w14:textId="4EFB23C0"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4F888ACA" w14:textId="77777777">
        <w:trPr>
          <w:trHeight w:val="611"/>
          <w:tblHeader/>
        </w:trPr>
        <w:tc>
          <w:tcPr>
            <w:tcW w:w="675" w:type="dxa"/>
            <w:vMerge/>
            <w:tcBorders>
              <w:top w:val="single" w:sz="4" w:space="0" w:color="auto"/>
              <w:left w:val="single" w:sz="4" w:space="0" w:color="auto"/>
              <w:bottom w:val="single" w:sz="4" w:space="0" w:color="auto"/>
              <w:right w:val="single" w:sz="4" w:space="0" w:color="auto"/>
            </w:tcBorders>
            <w:vAlign w:val="center"/>
          </w:tcPr>
          <w:p w14:paraId="0BFB8030"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A716D3B"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C784852"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D7B747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556" w:type="dxa"/>
            <w:vMerge/>
            <w:tcBorders>
              <w:top w:val="single" w:sz="4" w:space="0" w:color="auto"/>
              <w:left w:val="single" w:sz="4" w:space="0" w:color="auto"/>
              <w:bottom w:val="single" w:sz="4" w:space="0" w:color="auto"/>
              <w:right w:val="single" w:sz="4" w:space="0" w:color="auto"/>
            </w:tcBorders>
            <w:vAlign w:val="center"/>
          </w:tcPr>
          <w:p w14:paraId="742FCAAD"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954" w:type="dxa"/>
            <w:tcBorders>
              <w:top w:val="single" w:sz="4" w:space="0" w:color="auto"/>
              <w:left w:val="single" w:sz="4" w:space="0" w:color="auto"/>
              <w:bottom w:val="single" w:sz="4" w:space="0" w:color="auto"/>
              <w:right w:val="single" w:sz="4" w:space="0" w:color="auto"/>
            </w:tcBorders>
            <w:shd w:val="clear" w:color="auto" w:fill="BDD7EE"/>
            <w:vAlign w:val="center"/>
          </w:tcPr>
          <w:p w14:paraId="687F39B1"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96" w:type="dxa"/>
            <w:tcBorders>
              <w:top w:val="single" w:sz="4" w:space="0" w:color="auto"/>
              <w:left w:val="nil"/>
              <w:bottom w:val="single" w:sz="4" w:space="0" w:color="auto"/>
              <w:right w:val="single" w:sz="4" w:space="0" w:color="auto"/>
            </w:tcBorders>
            <w:shd w:val="clear" w:color="auto" w:fill="BDD7EE"/>
            <w:vAlign w:val="center"/>
          </w:tcPr>
          <w:p w14:paraId="73D53C66"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Základná</w:t>
            </w:r>
          </w:p>
        </w:tc>
        <w:tc>
          <w:tcPr>
            <w:tcW w:w="652" w:type="dxa"/>
            <w:tcBorders>
              <w:top w:val="single" w:sz="4" w:space="0" w:color="auto"/>
              <w:left w:val="nil"/>
              <w:bottom w:val="single" w:sz="4" w:space="0" w:color="auto"/>
              <w:right w:val="single" w:sz="4" w:space="0" w:color="auto"/>
            </w:tcBorders>
            <w:shd w:val="clear" w:color="auto" w:fill="BDD7EE"/>
            <w:vAlign w:val="center"/>
          </w:tcPr>
          <w:p w14:paraId="567B13FB"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Cieľ</w:t>
            </w:r>
          </w:p>
        </w:tc>
        <w:tc>
          <w:tcPr>
            <w:tcW w:w="899" w:type="dxa"/>
            <w:tcBorders>
              <w:top w:val="single" w:sz="4" w:space="0" w:color="auto"/>
              <w:left w:val="nil"/>
              <w:bottom w:val="single" w:sz="4" w:space="0" w:color="auto"/>
              <w:right w:val="single" w:sz="4" w:space="0" w:color="auto"/>
            </w:tcBorders>
            <w:shd w:val="clear" w:color="auto" w:fill="BDD7EE"/>
            <w:vAlign w:val="center"/>
          </w:tcPr>
          <w:p w14:paraId="4ABA78FF"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Štvrtina</w:t>
            </w:r>
          </w:p>
        </w:tc>
        <w:tc>
          <w:tcPr>
            <w:tcW w:w="899" w:type="dxa"/>
            <w:gridSpan w:val="2"/>
            <w:tcBorders>
              <w:top w:val="single" w:sz="4" w:space="0" w:color="auto"/>
              <w:left w:val="nil"/>
              <w:bottom w:val="single" w:sz="4" w:space="0" w:color="auto"/>
              <w:right w:val="single" w:sz="4" w:space="0" w:color="auto"/>
            </w:tcBorders>
            <w:shd w:val="clear" w:color="auto" w:fill="BDD7EE"/>
            <w:vAlign w:val="center"/>
          </w:tcPr>
          <w:p w14:paraId="6EC0AF4B"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Rok</w:t>
            </w:r>
          </w:p>
        </w:tc>
        <w:tc>
          <w:tcPr>
            <w:tcW w:w="3287" w:type="dxa"/>
            <w:vMerge/>
            <w:tcBorders>
              <w:top w:val="single" w:sz="4" w:space="0" w:color="auto"/>
              <w:bottom w:val="single" w:sz="4" w:space="0" w:color="auto"/>
              <w:right w:val="single" w:sz="4" w:space="0" w:color="auto"/>
            </w:tcBorders>
            <w:vAlign w:val="center"/>
          </w:tcPr>
          <w:p w14:paraId="7111B639"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r>
      <w:tr w:rsidR="00302FC1" w:rsidRPr="00AB26B3" w14:paraId="24A48668" w14:textId="77777777">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44413861" w14:textId="77777777" w:rsidR="00302FC1" w:rsidRPr="00AB26B3" w:rsidRDefault="00D64F26">
            <w:pPr>
              <w:pStyle w:val="P68B1DB1-Normal12"/>
              <w:spacing w:after="0" w:line="240" w:lineRule="auto"/>
              <w:rPr>
                <w:rFonts w:eastAsia="Times New Roman"/>
                <w:noProof/>
                <w:spacing w:val="-6"/>
                <w:highlight w:val="cyan"/>
                <w:lang w:val="sk-SK"/>
              </w:rPr>
            </w:pPr>
            <w:r w:rsidRPr="00AB26B3">
              <w:rPr>
                <w:noProof/>
                <w:spacing w:val="-6"/>
                <w:lang w:val="sk-SK"/>
              </w:rPr>
              <w:t>358</w:t>
            </w:r>
          </w:p>
        </w:tc>
        <w:tc>
          <w:tcPr>
            <w:tcW w:w="1843" w:type="dxa"/>
            <w:tcBorders>
              <w:top w:val="single" w:sz="4" w:space="0" w:color="auto"/>
              <w:left w:val="nil"/>
              <w:bottom w:val="single" w:sz="4" w:space="0" w:color="auto"/>
              <w:right w:val="single" w:sz="4" w:space="0" w:color="auto"/>
            </w:tcBorders>
            <w:shd w:val="clear" w:color="auto" w:fill="C6EFCE"/>
            <w:noWrap/>
          </w:tcPr>
          <w:p w14:paraId="151CC8A4"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 – 5.1. Reformy REPowerEU – 16991_Regulačný rámec pre inteligentnú sieť</w:t>
            </w:r>
          </w:p>
        </w:tc>
        <w:tc>
          <w:tcPr>
            <w:tcW w:w="992" w:type="dxa"/>
            <w:tcBorders>
              <w:top w:val="single" w:sz="4" w:space="0" w:color="auto"/>
              <w:left w:val="nil"/>
              <w:bottom w:val="single" w:sz="4" w:space="0" w:color="auto"/>
              <w:right w:val="single" w:sz="4" w:space="0" w:color="auto"/>
            </w:tcBorders>
            <w:shd w:val="clear" w:color="auto" w:fill="C6EFCE"/>
            <w:noWrap/>
          </w:tcPr>
          <w:p w14:paraId="0C4A088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3" w:type="dxa"/>
            <w:tcBorders>
              <w:top w:val="single" w:sz="4" w:space="0" w:color="auto"/>
              <w:left w:val="nil"/>
              <w:bottom w:val="single" w:sz="4" w:space="0" w:color="auto"/>
              <w:right w:val="single" w:sz="4" w:space="0" w:color="auto"/>
            </w:tcBorders>
            <w:shd w:val="clear" w:color="auto" w:fill="C6EFCE"/>
            <w:noWrap/>
          </w:tcPr>
          <w:p w14:paraId="0F3611CA" w14:textId="761A3DA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Rozvoj systému založeného na stimuloch pre prevádzkovateľa distribučnej sústavy</w:t>
            </w:r>
            <w:r w:rsidR="00AB26B3" w:rsidRPr="00AB26B3">
              <w:rPr>
                <w:noProof/>
                <w:spacing w:val="-6"/>
                <w:lang w:val="sk-SK"/>
              </w:rPr>
              <w:t xml:space="preserve"> a </w:t>
            </w:r>
            <w:r w:rsidRPr="00AB26B3">
              <w:rPr>
                <w:noProof/>
                <w:spacing w:val="-6"/>
                <w:lang w:val="sk-SK"/>
              </w:rPr>
              <w:t>spotrebiteľov</w:t>
            </w:r>
            <w:r w:rsidR="00AB26B3" w:rsidRPr="00AB26B3">
              <w:rPr>
                <w:noProof/>
                <w:spacing w:val="-6"/>
                <w:lang w:val="sk-SK"/>
              </w:rPr>
              <w:t xml:space="preserve"> s </w:t>
            </w:r>
            <w:r w:rsidRPr="00AB26B3">
              <w:rPr>
                <w:noProof/>
                <w:spacing w:val="-6"/>
                <w:lang w:val="sk-SK"/>
              </w:rPr>
              <w:t>cieľom zvýšiť zavádzanie</w:t>
            </w:r>
            <w:r w:rsidR="00AB26B3" w:rsidRPr="00AB26B3">
              <w:rPr>
                <w:noProof/>
                <w:spacing w:val="-6"/>
                <w:lang w:val="sk-SK"/>
              </w:rPr>
              <w:t xml:space="preserve"> a </w:t>
            </w:r>
            <w:r w:rsidRPr="00AB26B3">
              <w:rPr>
                <w:noProof/>
                <w:spacing w:val="-6"/>
                <w:lang w:val="sk-SK"/>
              </w:rPr>
              <w:t>využívanie inteligentných meračov.</w:t>
            </w:r>
          </w:p>
        </w:tc>
        <w:tc>
          <w:tcPr>
            <w:tcW w:w="1556" w:type="dxa"/>
            <w:tcBorders>
              <w:top w:val="single" w:sz="4" w:space="0" w:color="auto"/>
              <w:left w:val="nil"/>
              <w:bottom w:val="single" w:sz="4" w:space="0" w:color="auto"/>
              <w:right w:val="single" w:sz="4" w:space="0" w:color="auto"/>
            </w:tcBorders>
            <w:shd w:val="clear" w:color="auto" w:fill="C6EFCE"/>
            <w:noWrap/>
          </w:tcPr>
          <w:p w14:paraId="68465BD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Spoločné ministerské rozhodnutie/rozhodnutie regulačného orgánu</w:t>
            </w:r>
          </w:p>
        </w:tc>
        <w:tc>
          <w:tcPr>
            <w:tcW w:w="954" w:type="dxa"/>
            <w:tcBorders>
              <w:top w:val="nil"/>
              <w:left w:val="nil"/>
              <w:bottom w:val="single" w:sz="4" w:space="0" w:color="auto"/>
              <w:right w:val="single" w:sz="4" w:space="0" w:color="auto"/>
            </w:tcBorders>
            <w:shd w:val="clear" w:color="auto" w:fill="C6EFCE"/>
            <w:noWrap/>
          </w:tcPr>
          <w:p w14:paraId="6E3D2495"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96" w:type="dxa"/>
            <w:tcBorders>
              <w:top w:val="nil"/>
              <w:left w:val="nil"/>
              <w:bottom w:val="single" w:sz="4" w:space="0" w:color="auto"/>
              <w:right w:val="single" w:sz="4" w:space="0" w:color="auto"/>
            </w:tcBorders>
            <w:shd w:val="clear" w:color="auto" w:fill="C6EFCE"/>
            <w:noWrap/>
          </w:tcPr>
          <w:p w14:paraId="3AB16928"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652" w:type="dxa"/>
            <w:tcBorders>
              <w:top w:val="nil"/>
              <w:left w:val="nil"/>
              <w:bottom w:val="single" w:sz="4" w:space="0" w:color="auto"/>
              <w:right w:val="single" w:sz="4" w:space="0" w:color="auto"/>
            </w:tcBorders>
            <w:shd w:val="clear" w:color="auto" w:fill="C6EFCE"/>
            <w:noWrap/>
          </w:tcPr>
          <w:p w14:paraId="431BF547"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09" w:type="dxa"/>
            <w:gridSpan w:val="2"/>
            <w:tcBorders>
              <w:top w:val="nil"/>
              <w:left w:val="nil"/>
              <w:bottom w:val="single" w:sz="4" w:space="0" w:color="auto"/>
              <w:right w:val="single" w:sz="4" w:space="0" w:color="auto"/>
            </w:tcBorders>
            <w:shd w:val="clear" w:color="auto" w:fill="C6EFCE"/>
            <w:noWrap/>
          </w:tcPr>
          <w:p w14:paraId="229D8527"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ŠTVRŤROK</w:t>
            </w:r>
          </w:p>
        </w:tc>
        <w:tc>
          <w:tcPr>
            <w:tcW w:w="889" w:type="dxa"/>
            <w:tcBorders>
              <w:top w:val="nil"/>
              <w:left w:val="nil"/>
              <w:bottom w:val="single" w:sz="4" w:space="0" w:color="auto"/>
              <w:right w:val="single" w:sz="4" w:space="0" w:color="auto"/>
            </w:tcBorders>
            <w:shd w:val="clear" w:color="auto" w:fill="C6EFCE"/>
            <w:noWrap/>
          </w:tcPr>
          <w:p w14:paraId="1009F346"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2024</w:t>
            </w:r>
          </w:p>
        </w:tc>
        <w:tc>
          <w:tcPr>
            <w:tcW w:w="3287" w:type="dxa"/>
            <w:tcBorders>
              <w:top w:val="single" w:sz="4" w:space="0" w:color="auto"/>
              <w:left w:val="nil"/>
              <w:bottom w:val="single" w:sz="4" w:space="0" w:color="auto"/>
              <w:right w:val="single" w:sz="4" w:space="0" w:color="auto"/>
            </w:tcBorders>
            <w:shd w:val="clear" w:color="auto" w:fill="C6EFCE"/>
            <w:noWrap/>
          </w:tcPr>
          <w:p w14:paraId="68C6908E" w14:textId="19C4534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spoločného ministerského rozhodnutia/rozhodnutia regulačného orgánu</w:t>
            </w:r>
            <w:r w:rsidR="00AB26B3" w:rsidRPr="00AB26B3">
              <w:rPr>
                <w:noProof/>
                <w:spacing w:val="-6"/>
                <w:lang w:val="sk-SK"/>
              </w:rPr>
              <w:t xml:space="preserve"> o </w:t>
            </w:r>
            <w:r w:rsidRPr="00AB26B3">
              <w:rPr>
                <w:noProof/>
                <w:spacing w:val="-6"/>
                <w:lang w:val="sk-SK"/>
              </w:rPr>
              <w:t>rozvoji systému založeného na stimuloch pre prevádzkovateľa distribučnej sústavy</w:t>
            </w:r>
            <w:r w:rsidR="00AB26B3" w:rsidRPr="00AB26B3">
              <w:rPr>
                <w:noProof/>
                <w:spacing w:val="-6"/>
                <w:lang w:val="sk-SK"/>
              </w:rPr>
              <w:t xml:space="preserve"> a </w:t>
            </w:r>
            <w:r w:rsidRPr="00AB26B3">
              <w:rPr>
                <w:noProof/>
                <w:spacing w:val="-6"/>
                <w:lang w:val="sk-SK"/>
              </w:rPr>
              <w:t>spotrebiteľov</w:t>
            </w:r>
            <w:r w:rsidR="00AB26B3" w:rsidRPr="00AB26B3">
              <w:rPr>
                <w:noProof/>
                <w:spacing w:val="-6"/>
                <w:lang w:val="sk-SK"/>
              </w:rPr>
              <w:t xml:space="preserve"> s </w:t>
            </w:r>
            <w:r w:rsidRPr="00AB26B3">
              <w:rPr>
                <w:noProof/>
                <w:spacing w:val="-6"/>
                <w:lang w:val="sk-SK"/>
              </w:rPr>
              <w:t>cieľom zvýšiť zavádzanie</w:t>
            </w:r>
            <w:r w:rsidR="00AB26B3" w:rsidRPr="00AB26B3">
              <w:rPr>
                <w:noProof/>
                <w:spacing w:val="-6"/>
                <w:lang w:val="sk-SK"/>
              </w:rPr>
              <w:t xml:space="preserve"> a </w:t>
            </w:r>
            <w:r w:rsidRPr="00AB26B3">
              <w:rPr>
                <w:noProof/>
                <w:spacing w:val="-6"/>
                <w:lang w:val="sk-SK"/>
              </w:rPr>
              <w:t>využívanie inteligentných meračov.</w:t>
            </w:r>
          </w:p>
        </w:tc>
      </w:tr>
      <w:tr w:rsidR="00302FC1" w:rsidRPr="00AB26B3" w14:paraId="17D2BC60" w14:textId="77777777">
        <w:trPr>
          <w:trHeight w:val="1526"/>
        </w:trPr>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6C5100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359</w:t>
            </w:r>
          </w:p>
        </w:tc>
        <w:tc>
          <w:tcPr>
            <w:tcW w:w="1843" w:type="dxa"/>
            <w:tcBorders>
              <w:top w:val="single" w:sz="4" w:space="0" w:color="auto"/>
              <w:left w:val="nil"/>
              <w:bottom w:val="single" w:sz="4" w:space="0" w:color="auto"/>
              <w:right w:val="single" w:sz="4" w:space="0" w:color="auto"/>
            </w:tcBorders>
            <w:shd w:val="clear" w:color="auto" w:fill="C6EFCE"/>
            <w:noWrap/>
          </w:tcPr>
          <w:p w14:paraId="6105E5D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 – 5.1. Reformy REPowerEU – 16991_Regulačný rámec pre inteligentnú sieť</w:t>
            </w:r>
          </w:p>
        </w:tc>
        <w:tc>
          <w:tcPr>
            <w:tcW w:w="992" w:type="dxa"/>
            <w:tcBorders>
              <w:top w:val="single" w:sz="4" w:space="0" w:color="auto"/>
              <w:left w:val="nil"/>
              <w:bottom w:val="single" w:sz="4" w:space="0" w:color="auto"/>
              <w:right w:val="single" w:sz="4" w:space="0" w:color="auto"/>
            </w:tcBorders>
            <w:shd w:val="clear" w:color="auto" w:fill="C6EFCE"/>
            <w:noWrap/>
          </w:tcPr>
          <w:p w14:paraId="3A4F538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Míľnik </w:t>
            </w:r>
          </w:p>
        </w:tc>
        <w:tc>
          <w:tcPr>
            <w:tcW w:w="1843" w:type="dxa"/>
            <w:tcBorders>
              <w:top w:val="single" w:sz="4" w:space="0" w:color="auto"/>
              <w:left w:val="nil"/>
              <w:bottom w:val="single" w:sz="4" w:space="0" w:color="auto"/>
              <w:right w:val="single" w:sz="4" w:space="0" w:color="auto"/>
            </w:tcBorders>
            <w:shd w:val="clear" w:color="auto" w:fill="C6EFCE"/>
            <w:noWrap/>
          </w:tcPr>
          <w:p w14:paraId="10435302" w14:textId="33EE0B5F"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Rámec pre zmluvy</w:t>
            </w:r>
            <w:r w:rsidR="00AB26B3" w:rsidRPr="00AB26B3">
              <w:rPr>
                <w:noProof/>
                <w:spacing w:val="-6"/>
                <w:lang w:val="sk-SK"/>
              </w:rPr>
              <w:t xml:space="preserve"> s </w:t>
            </w:r>
            <w:r w:rsidRPr="00AB26B3">
              <w:rPr>
                <w:noProof/>
                <w:spacing w:val="-6"/>
                <w:lang w:val="sk-SK"/>
              </w:rPr>
              <w:t xml:space="preserve">dynamickou cenotvorbou </w:t>
            </w:r>
          </w:p>
        </w:tc>
        <w:tc>
          <w:tcPr>
            <w:tcW w:w="1556" w:type="dxa"/>
            <w:tcBorders>
              <w:top w:val="single" w:sz="4" w:space="0" w:color="auto"/>
              <w:left w:val="nil"/>
              <w:bottom w:val="single" w:sz="4" w:space="0" w:color="auto"/>
              <w:right w:val="single" w:sz="4" w:space="0" w:color="auto"/>
            </w:tcBorders>
            <w:shd w:val="clear" w:color="auto" w:fill="C6EFCE"/>
            <w:noWrap/>
          </w:tcPr>
          <w:p w14:paraId="01D430B9" w14:textId="77777777" w:rsidR="00302FC1" w:rsidRPr="00AB26B3" w:rsidRDefault="00D64F26">
            <w:pPr>
              <w:pStyle w:val="P68B1DB1-Normal12"/>
              <w:spacing w:after="0" w:line="240" w:lineRule="auto"/>
              <w:rPr>
                <w:noProof/>
                <w:spacing w:val="-6"/>
                <w:lang w:val="sk-SK"/>
              </w:rPr>
            </w:pPr>
            <w:r w:rsidRPr="00AB26B3">
              <w:rPr>
                <w:noProof/>
                <w:spacing w:val="-6"/>
                <w:lang w:val="sk-SK"/>
              </w:rPr>
              <w:t xml:space="preserve"> Právny akt</w:t>
            </w:r>
          </w:p>
        </w:tc>
        <w:tc>
          <w:tcPr>
            <w:tcW w:w="954" w:type="dxa"/>
            <w:tcBorders>
              <w:top w:val="single" w:sz="4" w:space="0" w:color="auto"/>
              <w:left w:val="nil"/>
              <w:bottom w:val="single" w:sz="4" w:space="0" w:color="auto"/>
              <w:right w:val="single" w:sz="4" w:space="0" w:color="auto"/>
            </w:tcBorders>
            <w:shd w:val="clear" w:color="auto" w:fill="C6EFCE"/>
            <w:noWrap/>
          </w:tcPr>
          <w:p w14:paraId="445DD723"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96" w:type="dxa"/>
            <w:tcBorders>
              <w:top w:val="single" w:sz="4" w:space="0" w:color="auto"/>
              <w:left w:val="nil"/>
              <w:bottom w:val="single" w:sz="4" w:space="0" w:color="auto"/>
              <w:right w:val="single" w:sz="4" w:space="0" w:color="auto"/>
            </w:tcBorders>
            <w:shd w:val="clear" w:color="auto" w:fill="C6EFCE"/>
            <w:noWrap/>
          </w:tcPr>
          <w:p w14:paraId="5F1340D1"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652" w:type="dxa"/>
            <w:tcBorders>
              <w:top w:val="single" w:sz="4" w:space="0" w:color="auto"/>
              <w:left w:val="nil"/>
              <w:bottom w:val="single" w:sz="4" w:space="0" w:color="auto"/>
              <w:right w:val="single" w:sz="4" w:space="0" w:color="auto"/>
            </w:tcBorders>
            <w:shd w:val="clear" w:color="auto" w:fill="C6EFCE"/>
            <w:noWrap/>
          </w:tcPr>
          <w:p w14:paraId="00AA8060"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09" w:type="dxa"/>
            <w:gridSpan w:val="2"/>
            <w:tcBorders>
              <w:top w:val="single" w:sz="4" w:space="0" w:color="auto"/>
              <w:left w:val="nil"/>
              <w:bottom w:val="single" w:sz="4" w:space="0" w:color="auto"/>
              <w:right w:val="single" w:sz="4" w:space="0" w:color="auto"/>
            </w:tcBorders>
            <w:shd w:val="clear" w:color="auto" w:fill="C6EFCE"/>
            <w:noWrap/>
          </w:tcPr>
          <w:p w14:paraId="280B8C50"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ŠTVRTÝ ŠTVRŤROK</w:t>
            </w:r>
          </w:p>
        </w:tc>
        <w:tc>
          <w:tcPr>
            <w:tcW w:w="889" w:type="dxa"/>
            <w:tcBorders>
              <w:top w:val="single" w:sz="4" w:space="0" w:color="auto"/>
              <w:left w:val="nil"/>
              <w:bottom w:val="single" w:sz="4" w:space="0" w:color="auto"/>
              <w:right w:val="single" w:sz="4" w:space="0" w:color="auto"/>
            </w:tcBorders>
            <w:shd w:val="clear" w:color="auto" w:fill="C6EFCE"/>
            <w:noWrap/>
          </w:tcPr>
          <w:p w14:paraId="5E129DB2"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2024</w:t>
            </w:r>
          </w:p>
        </w:tc>
        <w:tc>
          <w:tcPr>
            <w:tcW w:w="3287" w:type="dxa"/>
            <w:tcBorders>
              <w:top w:val="single" w:sz="4" w:space="0" w:color="auto"/>
              <w:left w:val="nil"/>
              <w:bottom w:val="single" w:sz="4" w:space="0" w:color="auto"/>
              <w:right w:val="single" w:sz="4" w:space="0" w:color="auto"/>
            </w:tcBorders>
            <w:shd w:val="clear" w:color="auto" w:fill="C6EFCE"/>
            <w:noWrap/>
          </w:tcPr>
          <w:p w14:paraId="0B38A9B2" w14:textId="1F038F8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aktov pre zmluvy</w:t>
            </w:r>
            <w:r w:rsidR="00AB26B3" w:rsidRPr="00AB26B3">
              <w:rPr>
                <w:noProof/>
                <w:spacing w:val="-6"/>
                <w:lang w:val="sk-SK"/>
              </w:rPr>
              <w:t xml:space="preserve"> s </w:t>
            </w:r>
            <w:r w:rsidRPr="00AB26B3">
              <w:rPr>
                <w:noProof/>
                <w:spacing w:val="-6"/>
                <w:lang w:val="sk-SK"/>
              </w:rPr>
              <w:t>dynamickou cenotvorbou</w:t>
            </w:r>
            <w:r w:rsidR="00AB26B3" w:rsidRPr="00AB26B3">
              <w:rPr>
                <w:noProof/>
                <w:spacing w:val="-6"/>
                <w:lang w:val="sk-SK"/>
              </w:rPr>
              <w:t xml:space="preserve"> s </w:t>
            </w:r>
            <w:r w:rsidRPr="00AB26B3">
              <w:rPr>
                <w:noProof/>
                <w:spacing w:val="-6"/>
                <w:lang w:val="sk-SK"/>
              </w:rPr>
              <w:t>cieľom zaviesť dynamickú cenotvorbu pre všetkých koncových spotrebiteľov hneď, ako sa do ich servisného pripojenia nainštaluje inteligentné meradlo. Právny akt,</w:t>
            </w:r>
            <w:r w:rsidR="00AB26B3" w:rsidRPr="00AB26B3">
              <w:rPr>
                <w:noProof/>
                <w:spacing w:val="-6"/>
                <w:lang w:val="sk-SK"/>
              </w:rPr>
              <w:t xml:space="preserve"> v </w:t>
            </w:r>
            <w:r w:rsidRPr="00AB26B3">
              <w:rPr>
                <w:noProof/>
                <w:spacing w:val="-6"/>
                <w:lang w:val="sk-SK"/>
              </w:rPr>
              <w:t>ktorom sa stanovujú otázky dizajnu, kľúčové podmienky dynamických zmlúv.</w:t>
            </w:r>
            <w:r w:rsidR="00AB26B3" w:rsidRPr="00AB26B3">
              <w:rPr>
                <w:noProof/>
                <w:spacing w:val="-6"/>
                <w:lang w:val="sk-SK"/>
              </w:rPr>
              <w:t xml:space="preserve"> V </w:t>
            </w:r>
            <w:r w:rsidRPr="00AB26B3">
              <w:rPr>
                <w:noProof/>
                <w:spacing w:val="-6"/>
                <w:lang w:val="sk-SK"/>
              </w:rPr>
              <w:t>právnom akte sa stanovia práva</w:t>
            </w:r>
            <w:r w:rsidR="00AB26B3" w:rsidRPr="00AB26B3">
              <w:rPr>
                <w:noProof/>
                <w:spacing w:val="-6"/>
                <w:lang w:val="sk-SK"/>
              </w:rPr>
              <w:t xml:space="preserve"> a </w:t>
            </w:r>
            <w:r w:rsidRPr="00AB26B3">
              <w:rPr>
                <w:noProof/>
                <w:spacing w:val="-6"/>
                <w:lang w:val="sk-SK"/>
              </w:rPr>
              <w:t>povinnosti prevádzkovateľov, zástupcov nákladu</w:t>
            </w:r>
            <w:r w:rsidR="00AB26B3" w:rsidRPr="00AB26B3">
              <w:rPr>
                <w:noProof/>
                <w:spacing w:val="-6"/>
                <w:lang w:val="sk-SK"/>
              </w:rPr>
              <w:t xml:space="preserve"> a </w:t>
            </w:r>
            <w:r w:rsidRPr="00AB26B3">
              <w:rPr>
                <w:noProof/>
                <w:spacing w:val="-6"/>
                <w:lang w:val="sk-SK"/>
              </w:rPr>
              <w:t>zákazníkov súvisiace</w:t>
            </w:r>
            <w:r w:rsidR="00AB26B3" w:rsidRPr="00AB26B3">
              <w:rPr>
                <w:noProof/>
                <w:spacing w:val="-6"/>
                <w:lang w:val="sk-SK"/>
              </w:rPr>
              <w:t xml:space="preserve"> s </w:t>
            </w:r>
            <w:r w:rsidRPr="00AB26B3">
              <w:rPr>
                <w:noProof/>
                <w:spacing w:val="-6"/>
                <w:lang w:val="sk-SK"/>
              </w:rPr>
              <w:t xml:space="preserve">uplatňovaním dynamickej cenotvorby. </w:t>
            </w:r>
          </w:p>
        </w:tc>
      </w:tr>
      <w:tr w:rsidR="00302FC1" w:rsidRPr="00AB26B3" w14:paraId="36031519" w14:textId="77777777">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A9176E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360</w:t>
            </w:r>
          </w:p>
        </w:tc>
        <w:tc>
          <w:tcPr>
            <w:tcW w:w="1843" w:type="dxa"/>
            <w:tcBorders>
              <w:top w:val="single" w:sz="4" w:space="0" w:color="auto"/>
              <w:left w:val="nil"/>
              <w:bottom w:val="single" w:sz="4" w:space="0" w:color="auto"/>
              <w:right w:val="single" w:sz="4" w:space="0" w:color="auto"/>
            </w:tcBorders>
            <w:shd w:val="clear" w:color="auto" w:fill="C6EFCE"/>
            <w:noWrap/>
          </w:tcPr>
          <w:p w14:paraId="098A84E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 – 5.1. Reformy REPowerEU – 16991_Regulačný rámec pre inteligentnú sieť</w:t>
            </w:r>
          </w:p>
        </w:tc>
        <w:tc>
          <w:tcPr>
            <w:tcW w:w="992" w:type="dxa"/>
            <w:tcBorders>
              <w:top w:val="single" w:sz="4" w:space="0" w:color="auto"/>
              <w:left w:val="nil"/>
              <w:bottom w:val="single" w:sz="4" w:space="0" w:color="auto"/>
              <w:right w:val="single" w:sz="4" w:space="0" w:color="auto"/>
            </w:tcBorders>
            <w:shd w:val="clear" w:color="auto" w:fill="C6EFCE"/>
            <w:noWrap/>
          </w:tcPr>
          <w:p w14:paraId="221A8D9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843" w:type="dxa"/>
            <w:tcBorders>
              <w:top w:val="single" w:sz="4" w:space="0" w:color="auto"/>
              <w:left w:val="nil"/>
              <w:bottom w:val="single" w:sz="4" w:space="0" w:color="auto"/>
              <w:right w:val="single" w:sz="4" w:space="0" w:color="auto"/>
            </w:tcBorders>
            <w:shd w:val="clear" w:color="auto" w:fill="C6EFCE"/>
            <w:noWrap/>
          </w:tcPr>
          <w:p w14:paraId="6FB64EE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Vývoj kontrolného strediska prevádzkovateľa distribučnej sústavy</w:t>
            </w:r>
          </w:p>
        </w:tc>
        <w:tc>
          <w:tcPr>
            <w:tcW w:w="1556" w:type="dxa"/>
            <w:tcBorders>
              <w:top w:val="single" w:sz="4" w:space="0" w:color="auto"/>
              <w:left w:val="nil"/>
              <w:bottom w:val="single" w:sz="4" w:space="0" w:color="auto"/>
              <w:right w:val="single" w:sz="4" w:space="0" w:color="auto"/>
            </w:tcBorders>
            <w:shd w:val="clear" w:color="auto" w:fill="C6EFCE"/>
            <w:noWrap/>
          </w:tcPr>
          <w:p w14:paraId="3FFE5348" w14:textId="7DC5D44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Práce vykonané pre infraštruktúru riadiaceho centra prevádzkovateľa distribučnej sústavy</w:t>
            </w:r>
          </w:p>
        </w:tc>
        <w:tc>
          <w:tcPr>
            <w:tcW w:w="954" w:type="dxa"/>
            <w:tcBorders>
              <w:top w:val="single" w:sz="4" w:space="0" w:color="auto"/>
              <w:left w:val="nil"/>
              <w:bottom w:val="single" w:sz="4" w:space="0" w:color="auto"/>
              <w:right w:val="single" w:sz="4" w:space="0" w:color="auto"/>
            </w:tcBorders>
            <w:shd w:val="clear" w:color="auto" w:fill="C6EFCE"/>
            <w:noWrap/>
          </w:tcPr>
          <w:p w14:paraId="1ACDB6C4"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96" w:type="dxa"/>
            <w:tcBorders>
              <w:top w:val="single" w:sz="4" w:space="0" w:color="auto"/>
              <w:left w:val="nil"/>
              <w:bottom w:val="single" w:sz="4" w:space="0" w:color="auto"/>
              <w:right w:val="single" w:sz="4" w:space="0" w:color="auto"/>
            </w:tcBorders>
            <w:shd w:val="clear" w:color="auto" w:fill="C6EFCE"/>
            <w:noWrap/>
          </w:tcPr>
          <w:p w14:paraId="60E94D3A"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652" w:type="dxa"/>
            <w:tcBorders>
              <w:top w:val="single" w:sz="4" w:space="0" w:color="auto"/>
              <w:left w:val="nil"/>
              <w:bottom w:val="single" w:sz="4" w:space="0" w:color="auto"/>
              <w:right w:val="single" w:sz="4" w:space="0" w:color="auto"/>
            </w:tcBorders>
            <w:shd w:val="clear" w:color="auto" w:fill="C6EFCE"/>
            <w:noWrap/>
          </w:tcPr>
          <w:p w14:paraId="7144839B"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909" w:type="dxa"/>
            <w:gridSpan w:val="2"/>
            <w:tcBorders>
              <w:top w:val="single" w:sz="4" w:space="0" w:color="auto"/>
              <w:left w:val="nil"/>
              <w:bottom w:val="single" w:sz="4" w:space="0" w:color="auto"/>
              <w:right w:val="single" w:sz="4" w:space="0" w:color="auto"/>
            </w:tcBorders>
            <w:shd w:val="clear" w:color="auto" w:fill="C6EFCE"/>
            <w:noWrap/>
          </w:tcPr>
          <w:p w14:paraId="6C79D3D5"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ŠTVRTÝ ŠTVRŤROK</w:t>
            </w:r>
          </w:p>
        </w:tc>
        <w:tc>
          <w:tcPr>
            <w:tcW w:w="889" w:type="dxa"/>
            <w:tcBorders>
              <w:top w:val="single" w:sz="4" w:space="0" w:color="auto"/>
              <w:left w:val="nil"/>
              <w:bottom w:val="single" w:sz="4" w:space="0" w:color="auto"/>
              <w:right w:val="single" w:sz="4" w:space="0" w:color="auto"/>
            </w:tcBorders>
            <w:shd w:val="clear" w:color="auto" w:fill="C6EFCE"/>
            <w:noWrap/>
          </w:tcPr>
          <w:p w14:paraId="18C07C68"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2025</w:t>
            </w:r>
          </w:p>
        </w:tc>
        <w:tc>
          <w:tcPr>
            <w:tcW w:w="3287" w:type="dxa"/>
            <w:tcBorders>
              <w:top w:val="single" w:sz="4" w:space="0" w:color="auto"/>
              <w:left w:val="nil"/>
              <w:bottom w:val="single" w:sz="4" w:space="0" w:color="auto"/>
              <w:right w:val="single" w:sz="4" w:space="0" w:color="auto"/>
            </w:tcBorders>
            <w:shd w:val="clear" w:color="auto" w:fill="C6EFCE"/>
            <w:noWrap/>
          </w:tcPr>
          <w:p w14:paraId="2B715628" w14:textId="4ABD7ED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Prevádzkovateľ distribučnej sústavy modernizuje kontrolné centrum prevádzkovateľa distribučnej sústavy, ktoré zahŕňa inštaláciu nového kontrolného systému</w:t>
            </w:r>
            <w:r w:rsidR="00AB26B3" w:rsidRPr="00AB26B3">
              <w:rPr>
                <w:noProof/>
                <w:spacing w:val="-6"/>
                <w:lang w:val="sk-SK"/>
              </w:rPr>
              <w:t xml:space="preserve"> a </w:t>
            </w:r>
            <w:r w:rsidRPr="00AB26B3">
              <w:rPr>
                <w:noProof/>
                <w:spacing w:val="-6"/>
                <w:lang w:val="sk-SK"/>
              </w:rPr>
              <w:t>systému správy údajov</w:t>
            </w:r>
            <w:r w:rsidR="00AB26B3" w:rsidRPr="00AB26B3">
              <w:rPr>
                <w:noProof/>
                <w:spacing w:val="-6"/>
                <w:lang w:val="sk-SK"/>
              </w:rPr>
              <w:t xml:space="preserve"> o </w:t>
            </w:r>
            <w:r w:rsidRPr="00AB26B3">
              <w:rPr>
                <w:noProof/>
                <w:spacing w:val="-6"/>
                <w:lang w:val="sk-SK"/>
              </w:rPr>
              <w:t>získavaní údajov (SCADA-DMS)</w:t>
            </w:r>
            <w:r w:rsidR="00AB26B3" w:rsidRPr="00AB26B3">
              <w:rPr>
                <w:noProof/>
                <w:spacing w:val="-6"/>
                <w:lang w:val="sk-SK"/>
              </w:rPr>
              <w:t xml:space="preserve"> a </w:t>
            </w:r>
            <w:r w:rsidRPr="00AB26B3">
              <w:rPr>
                <w:noProof/>
                <w:spacing w:val="-6"/>
                <w:lang w:val="sk-SK"/>
              </w:rPr>
              <w:t>komunikáciu</w:t>
            </w:r>
            <w:r w:rsidR="00AB26B3" w:rsidRPr="00AB26B3">
              <w:rPr>
                <w:noProof/>
                <w:spacing w:val="-6"/>
                <w:lang w:val="sk-SK"/>
              </w:rPr>
              <w:t xml:space="preserve"> s </w:t>
            </w:r>
            <w:r w:rsidRPr="00AB26B3">
              <w:rPr>
                <w:noProof/>
                <w:spacing w:val="-6"/>
                <w:lang w:val="sk-SK"/>
              </w:rPr>
              <w:t>diaľkovými vysielacími jednotkami (RTU)</w:t>
            </w:r>
            <w:r w:rsidR="00AB26B3" w:rsidRPr="00AB26B3">
              <w:rPr>
                <w:noProof/>
                <w:spacing w:val="-6"/>
                <w:lang w:val="sk-SK"/>
              </w:rPr>
              <w:t xml:space="preserve"> v </w:t>
            </w:r>
            <w:r w:rsidRPr="00AB26B3">
              <w:rPr>
                <w:noProof/>
                <w:spacing w:val="-6"/>
                <w:lang w:val="sk-SK"/>
              </w:rPr>
              <w:t>rozvodniach vysokého/stredného napätia (HV/MT), ako aj vytvorenie potrebnej podpornej infraštruktúry pre dve integrované centrá.</w:t>
            </w:r>
            <w:r w:rsidRPr="00AB26B3">
              <w:rPr>
                <w:noProof/>
                <w:spacing w:val="-6"/>
                <w:highlight w:val="yellow"/>
                <w:lang w:val="sk-SK"/>
              </w:rPr>
              <w:t xml:space="preserve"> </w:t>
            </w:r>
          </w:p>
        </w:tc>
      </w:tr>
    </w:tbl>
    <w:p w14:paraId="505EA7BA" w14:textId="77777777" w:rsidR="00302FC1" w:rsidRPr="00AB26B3" w:rsidRDefault="00302FC1">
      <w:pPr>
        <w:keepNext/>
        <w:keepLines/>
        <w:spacing w:before="240" w:after="0" w:line="240" w:lineRule="auto"/>
        <w:jc w:val="both"/>
        <w:outlineLvl w:val="4"/>
        <w:rPr>
          <w:rFonts w:ascii="Times New Roman" w:hAnsi="Times New Roman"/>
          <w:noProof/>
          <w:color w:val="365F91" w:themeColor="accent1" w:themeShade="BF"/>
          <w:spacing w:val="-6"/>
          <w:sz w:val="24"/>
          <w:lang w:val="sk-SK"/>
        </w:rPr>
        <w:sectPr w:rsidR="00302FC1" w:rsidRPr="00AB26B3" w:rsidSect="00315FC0">
          <w:headerReference w:type="default" r:id="rId354"/>
          <w:footerReference w:type="default" r:id="rId355"/>
          <w:pgSz w:w="16839" w:h="11907" w:orient="landscape"/>
          <w:pgMar w:top="1134" w:right="1134" w:bottom="1134" w:left="1134" w:header="567" w:footer="355" w:gutter="0"/>
          <w:cols w:space="720"/>
          <w:docGrid w:linePitch="360"/>
        </w:sectPr>
      </w:pPr>
    </w:p>
    <w:p w14:paraId="3EF93853" w14:textId="1C35629B" w:rsidR="00302FC1" w:rsidRPr="00AB26B3" w:rsidRDefault="00D64F26">
      <w:pPr>
        <w:pStyle w:val="P68B1DB1-Normal9"/>
        <w:keepNext/>
        <w:keepLines/>
        <w:spacing w:before="240" w:after="0" w:line="240" w:lineRule="auto"/>
        <w:jc w:val="both"/>
        <w:outlineLvl w:val="4"/>
        <w:rPr>
          <w:rFonts w:ascii="Times New Roman" w:hAnsi="Times New Roman"/>
          <w:noProof/>
          <w:color w:val="4F81BD" w:themeColor="accent1"/>
          <w:spacing w:val="-6"/>
          <w:lang w:val="sk-SK"/>
        </w:rPr>
      </w:pPr>
      <w:r w:rsidRPr="00AB26B3">
        <w:rPr>
          <w:rFonts w:ascii="Times New Roman" w:hAnsi="Times New Roman"/>
          <w:noProof/>
          <w:spacing w:val="-6"/>
          <w:lang w:val="sk-SK"/>
        </w:rPr>
        <w:t>Reforma 6: Súbor nástrojov na podporu spoločného využívania energie, vlastnej spotreby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komunít vyrábajúcich energiu</w:t>
      </w:r>
      <w:r w:rsidR="00AB26B3" w:rsidRPr="00AB26B3">
        <w:rPr>
          <w:rFonts w:ascii="Times New Roman" w:hAnsi="Times New Roman"/>
          <w:noProof/>
          <w:spacing w:val="-6"/>
          <w:lang w:val="sk-SK"/>
        </w:rPr>
        <w:t xml:space="preserve"> z </w:t>
      </w:r>
      <w:r w:rsidRPr="00AB26B3">
        <w:rPr>
          <w:rFonts w:ascii="Times New Roman" w:hAnsi="Times New Roman"/>
          <w:noProof/>
          <w:spacing w:val="-6"/>
          <w:lang w:val="sk-SK"/>
        </w:rPr>
        <w:t>obnoviteľných zdrojov (opatrenie ID: 16992)</w:t>
      </w:r>
    </w:p>
    <w:tbl>
      <w:tblPr>
        <w:tblpPr w:leftFromText="181" w:rightFromText="181" w:vertAnchor="text" w:tblpX="-465" w:tblpY="1"/>
        <w:tblOverlap w:val="never"/>
        <w:tblW w:w="15559" w:type="dxa"/>
        <w:tblLayout w:type="fixed"/>
        <w:tblLook w:val="04A0" w:firstRow="1" w:lastRow="0" w:firstColumn="1" w:lastColumn="0" w:noHBand="0" w:noVBand="1"/>
      </w:tblPr>
      <w:tblGrid>
        <w:gridCol w:w="675"/>
        <w:gridCol w:w="1985"/>
        <w:gridCol w:w="992"/>
        <w:gridCol w:w="1843"/>
        <w:gridCol w:w="1559"/>
        <w:gridCol w:w="992"/>
        <w:gridCol w:w="869"/>
        <w:gridCol w:w="832"/>
        <w:gridCol w:w="993"/>
        <w:gridCol w:w="850"/>
        <w:gridCol w:w="3969"/>
      </w:tblGrid>
      <w:tr w:rsidR="00302FC1" w:rsidRPr="00AB26B3" w14:paraId="0E237E5F" w14:textId="77777777">
        <w:trPr>
          <w:trHeight w:val="839"/>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F29001" w14:textId="19671CE8" w:rsidR="00302FC1" w:rsidRPr="00AB26B3" w:rsidRDefault="00D64F26">
            <w:pPr>
              <w:pStyle w:val="P68B1DB1-Normal14"/>
              <w:spacing w:before="120" w:after="120" w:line="240" w:lineRule="auto"/>
              <w:jc w:val="center"/>
              <w:rPr>
                <w:noProof/>
                <w:spacing w:val="-6"/>
                <w:lang w:val="sk-SK"/>
              </w:rPr>
            </w:pPr>
            <w:r w:rsidRPr="00AB26B3">
              <w:rPr>
                <w:noProof/>
                <w:spacing w:val="-6"/>
                <w:lang w:val="sk-SK"/>
              </w:rPr>
              <w:t>A nasl. Nie.</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8B7DFB"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Súvisiace opatrenie (reforma alebo investícia)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76CFDB2"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Míľnik/cieľ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4D64A4"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Názov</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31AAC4B"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Kvalitatívne ukazovatele (pre míľniky)</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1505C04"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Kvantitatívne ukazovatele (pre ciele)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2E6C3B8" w14:textId="7777777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Orientačný harmonogram dokončenia</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EF5884" w14:textId="7C841AD7" w:rsidR="00302FC1" w:rsidRPr="00AB26B3" w:rsidRDefault="00D64F26">
            <w:pPr>
              <w:pStyle w:val="P68B1DB1-Normal10"/>
              <w:spacing w:before="120" w:after="120" w:line="240" w:lineRule="auto"/>
              <w:jc w:val="center"/>
              <w:rPr>
                <w:rFonts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086D81E8" w14:textId="77777777">
        <w:trPr>
          <w:trHeight w:val="281"/>
          <w:tblHeader/>
        </w:trPr>
        <w:tc>
          <w:tcPr>
            <w:tcW w:w="675" w:type="dxa"/>
            <w:vMerge/>
            <w:tcBorders>
              <w:top w:val="single" w:sz="4" w:space="0" w:color="auto"/>
              <w:left w:val="single" w:sz="4" w:space="0" w:color="auto"/>
              <w:bottom w:val="single" w:sz="4" w:space="0" w:color="auto"/>
              <w:right w:val="single" w:sz="4" w:space="0" w:color="auto"/>
            </w:tcBorders>
            <w:vAlign w:val="center"/>
          </w:tcPr>
          <w:p w14:paraId="02B3C1C1"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51CC847"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C3C2A5A"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B31B861"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D7B3A7B"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tcPr>
          <w:p w14:paraId="6B7F40F8"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69" w:type="dxa"/>
            <w:tcBorders>
              <w:top w:val="single" w:sz="4" w:space="0" w:color="auto"/>
              <w:left w:val="nil"/>
              <w:bottom w:val="single" w:sz="4" w:space="0" w:color="auto"/>
              <w:right w:val="single" w:sz="4" w:space="0" w:color="auto"/>
            </w:tcBorders>
            <w:shd w:val="clear" w:color="auto" w:fill="BDD7EE"/>
            <w:vAlign w:val="center"/>
          </w:tcPr>
          <w:p w14:paraId="0BEC6475"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Základná</w:t>
            </w:r>
          </w:p>
        </w:tc>
        <w:tc>
          <w:tcPr>
            <w:tcW w:w="832" w:type="dxa"/>
            <w:tcBorders>
              <w:top w:val="single" w:sz="4" w:space="0" w:color="auto"/>
              <w:left w:val="nil"/>
              <w:bottom w:val="single" w:sz="4" w:space="0" w:color="auto"/>
              <w:right w:val="single" w:sz="4" w:space="0" w:color="auto"/>
            </w:tcBorders>
            <w:shd w:val="clear" w:color="auto" w:fill="BDD7EE"/>
            <w:vAlign w:val="center"/>
          </w:tcPr>
          <w:p w14:paraId="06D68173"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Cieľ</w:t>
            </w:r>
          </w:p>
        </w:tc>
        <w:tc>
          <w:tcPr>
            <w:tcW w:w="993" w:type="dxa"/>
            <w:tcBorders>
              <w:top w:val="single" w:sz="4" w:space="0" w:color="auto"/>
              <w:left w:val="nil"/>
              <w:bottom w:val="single" w:sz="4" w:space="0" w:color="auto"/>
              <w:right w:val="single" w:sz="4" w:space="0" w:color="auto"/>
            </w:tcBorders>
            <w:shd w:val="clear" w:color="auto" w:fill="BDD7EE"/>
            <w:vAlign w:val="center"/>
          </w:tcPr>
          <w:p w14:paraId="6E30BAF1"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Štvrtina</w:t>
            </w:r>
          </w:p>
        </w:tc>
        <w:tc>
          <w:tcPr>
            <w:tcW w:w="850" w:type="dxa"/>
            <w:tcBorders>
              <w:top w:val="single" w:sz="4" w:space="0" w:color="auto"/>
              <w:left w:val="nil"/>
              <w:bottom w:val="single" w:sz="4" w:space="0" w:color="auto"/>
              <w:right w:val="single" w:sz="4" w:space="0" w:color="auto"/>
            </w:tcBorders>
            <w:shd w:val="clear" w:color="auto" w:fill="BDD7EE"/>
            <w:vAlign w:val="center"/>
          </w:tcPr>
          <w:p w14:paraId="5E80A928" w14:textId="77777777" w:rsidR="00302FC1" w:rsidRPr="00AB26B3" w:rsidRDefault="00D64F26">
            <w:pPr>
              <w:pStyle w:val="P68B1DB1-Normal10"/>
              <w:spacing w:before="120" w:after="120" w:line="240" w:lineRule="auto"/>
              <w:jc w:val="center"/>
              <w:rPr>
                <w:rFonts w:eastAsia="Times New Roman" w:cs="Times New Roman"/>
                <w:bCs/>
                <w:noProof/>
                <w:spacing w:val="-6"/>
                <w:szCs w:val="18"/>
                <w:lang w:val="sk-SK"/>
              </w:rPr>
            </w:pPr>
            <w:r w:rsidRPr="00AB26B3">
              <w:rPr>
                <w:noProof/>
                <w:spacing w:val="-6"/>
                <w:lang w:val="sk-SK"/>
              </w:rPr>
              <w:t>Rok</w:t>
            </w:r>
          </w:p>
        </w:tc>
        <w:tc>
          <w:tcPr>
            <w:tcW w:w="3969" w:type="dxa"/>
            <w:vMerge/>
            <w:tcBorders>
              <w:top w:val="single" w:sz="4" w:space="0" w:color="auto"/>
              <w:bottom w:val="single" w:sz="4" w:space="0" w:color="auto"/>
              <w:right w:val="single" w:sz="4" w:space="0" w:color="auto"/>
            </w:tcBorders>
            <w:vAlign w:val="center"/>
          </w:tcPr>
          <w:p w14:paraId="08E65C3F"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r>
      <w:tr w:rsidR="00302FC1" w:rsidRPr="00AB26B3" w14:paraId="3D78A6E7" w14:textId="77777777">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6C1D4A6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361</w:t>
            </w:r>
          </w:p>
        </w:tc>
        <w:tc>
          <w:tcPr>
            <w:tcW w:w="1985" w:type="dxa"/>
            <w:tcBorders>
              <w:top w:val="single" w:sz="4" w:space="0" w:color="auto"/>
              <w:left w:val="nil"/>
              <w:bottom w:val="single" w:sz="4" w:space="0" w:color="auto"/>
              <w:right w:val="single" w:sz="4" w:space="0" w:color="auto"/>
            </w:tcBorders>
            <w:shd w:val="clear" w:color="auto" w:fill="C6EFCE"/>
            <w:noWrap/>
          </w:tcPr>
          <w:p w14:paraId="3ABCB9FF" w14:textId="600B7E1A" w:rsidR="00302FC1" w:rsidRPr="00AB26B3" w:rsidRDefault="00D64F26">
            <w:pPr>
              <w:pStyle w:val="P68B1DB1-Normal12"/>
              <w:spacing w:after="0" w:line="240" w:lineRule="auto"/>
              <w:rPr>
                <w:noProof/>
                <w:spacing w:val="-6"/>
                <w:lang w:val="sk-SK"/>
              </w:rPr>
            </w:pPr>
            <w:r w:rsidRPr="00AB26B3">
              <w:rPr>
                <w:noProof/>
                <w:spacing w:val="-6"/>
                <w:lang w:val="sk-SK"/>
              </w:rPr>
              <w:t>20 – 5. Reformy REPowerEU – 16992_Súbor nástrojov na podporu spoločného využívania energie, vlastnej spotreby</w:t>
            </w:r>
            <w:r w:rsidR="00AB26B3" w:rsidRPr="00AB26B3">
              <w:rPr>
                <w:noProof/>
                <w:spacing w:val="-6"/>
                <w:lang w:val="sk-SK"/>
              </w:rPr>
              <w:t xml:space="preserve"> a </w:t>
            </w:r>
            <w:r w:rsidRPr="00AB26B3">
              <w:rPr>
                <w:noProof/>
                <w:spacing w:val="-6"/>
                <w:lang w:val="sk-SK"/>
              </w:rPr>
              <w:t>komunít vyrábajúcich energiu</w:t>
            </w:r>
            <w:r w:rsidR="00AB26B3" w:rsidRPr="00AB26B3">
              <w:rPr>
                <w:noProof/>
                <w:spacing w:val="-6"/>
                <w:lang w:val="sk-SK"/>
              </w:rPr>
              <w:t xml:space="preserve"> z </w:t>
            </w:r>
            <w:r w:rsidRPr="00AB26B3">
              <w:rPr>
                <w:noProof/>
                <w:spacing w:val="-6"/>
                <w:lang w:val="sk-SK"/>
              </w:rPr>
              <w:t>obnoviteľných zdrojov</w:t>
            </w:r>
          </w:p>
        </w:tc>
        <w:tc>
          <w:tcPr>
            <w:tcW w:w="992" w:type="dxa"/>
            <w:tcBorders>
              <w:top w:val="single" w:sz="4" w:space="0" w:color="auto"/>
              <w:left w:val="nil"/>
              <w:bottom w:val="single" w:sz="4" w:space="0" w:color="auto"/>
              <w:right w:val="single" w:sz="4" w:space="0" w:color="auto"/>
            </w:tcBorders>
            <w:shd w:val="clear" w:color="auto" w:fill="C6EFCE"/>
            <w:noWrap/>
          </w:tcPr>
          <w:p w14:paraId="75383E48" w14:textId="77777777" w:rsidR="00302FC1" w:rsidRPr="00AB26B3" w:rsidRDefault="00D64F26">
            <w:pPr>
              <w:pStyle w:val="P68B1DB1-Normal12"/>
              <w:spacing w:after="120" w:line="240" w:lineRule="auto"/>
              <w:rPr>
                <w:noProof/>
                <w:spacing w:val="-6"/>
                <w:lang w:val="sk-SK"/>
              </w:rPr>
            </w:pPr>
            <w:r w:rsidRPr="00AB26B3">
              <w:rPr>
                <w:noProof/>
                <w:spacing w:val="-6"/>
                <w:lang w:val="sk-SK"/>
              </w:rPr>
              <w:t>Míľnik</w:t>
            </w:r>
          </w:p>
        </w:tc>
        <w:tc>
          <w:tcPr>
            <w:tcW w:w="1843" w:type="dxa"/>
            <w:tcBorders>
              <w:top w:val="single" w:sz="4" w:space="0" w:color="auto"/>
              <w:left w:val="nil"/>
              <w:bottom w:val="single" w:sz="4" w:space="0" w:color="auto"/>
              <w:right w:val="single" w:sz="4" w:space="0" w:color="auto"/>
            </w:tcBorders>
            <w:shd w:val="clear" w:color="auto" w:fill="C6EFCE"/>
            <w:noWrap/>
          </w:tcPr>
          <w:p w14:paraId="47EC764F" w14:textId="1D8111F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o </w:t>
            </w:r>
            <w:r w:rsidRPr="00AB26B3">
              <w:rPr>
                <w:noProof/>
                <w:spacing w:val="-6"/>
                <w:lang w:val="sk-SK"/>
              </w:rPr>
              <w:t>vlastnej spotrebe</w:t>
            </w:r>
            <w:r w:rsidR="00AB26B3" w:rsidRPr="00AB26B3">
              <w:rPr>
                <w:noProof/>
                <w:spacing w:val="-6"/>
                <w:lang w:val="sk-SK"/>
              </w:rPr>
              <w:t xml:space="preserve"> a </w:t>
            </w:r>
            <w:r w:rsidRPr="00AB26B3">
              <w:rPr>
                <w:noProof/>
                <w:spacing w:val="-6"/>
                <w:lang w:val="sk-SK"/>
              </w:rPr>
              <w:t>uľahčení povoľovacích procesov na inštaláciu staníc OZE</w:t>
            </w:r>
            <w:r w:rsidR="00AB26B3" w:rsidRPr="00AB26B3">
              <w:rPr>
                <w:noProof/>
                <w:spacing w:val="-6"/>
                <w:lang w:val="sk-SK"/>
              </w:rPr>
              <w:t xml:space="preserve"> v </w:t>
            </w:r>
            <w:r w:rsidRPr="00AB26B3">
              <w:rPr>
                <w:noProof/>
                <w:spacing w:val="-6"/>
                <w:lang w:val="sk-SK"/>
              </w:rPr>
              <w:t>bytových domoch</w:t>
            </w:r>
          </w:p>
        </w:tc>
        <w:tc>
          <w:tcPr>
            <w:tcW w:w="1559" w:type="dxa"/>
            <w:tcBorders>
              <w:top w:val="single" w:sz="4" w:space="0" w:color="auto"/>
              <w:left w:val="nil"/>
              <w:bottom w:val="single" w:sz="4" w:space="0" w:color="auto"/>
              <w:right w:val="single" w:sz="4" w:space="0" w:color="auto"/>
            </w:tcBorders>
            <w:shd w:val="clear" w:color="auto" w:fill="C6EFCE"/>
            <w:noWrap/>
          </w:tcPr>
          <w:p w14:paraId="33B52DA8" w14:textId="58B6DDA2" w:rsidR="00302FC1" w:rsidRPr="00AB26B3" w:rsidRDefault="00D64F26">
            <w:pPr>
              <w:pStyle w:val="P68B1DB1-Normal12"/>
              <w:spacing w:after="120" w:line="240" w:lineRule="auto"/>
              <w:rPr>
                <w:rFonts w:eastAsia="Times New Roman"/>
                <w:b/>
                <w:bCs/>
                <w:noProof/>
                <w:spacing w:val="-6"/>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p>
        </w:tc>
        <w:tc>
          <w:tcPr>
            <w:tcW w:w="992" w:type="dxa"/>
            <w:tcBorders>
              <w:top w:val="single" w:sz="4" w:space="0" w:color="auto"/>
              <w:left w:val="nil"/>
              <w:bottom w:val="single" w:sz="4" w:space="0" w:color="auto"/>
              <w:right w:val="single" w:sz="4" w:space="0" w:color="auto"/>
            </w:tcBorders>
            <w:shd w:val="clear" w:color="auto" w:fill="C6EFCE"/>
            <w:noWrap/>
          </w:tcPr>
          <w:p w14:paraId="48A5685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69" w:type="dxa"/>
            <w:tcBorders>
              <w:top w:val="nil"/>
              <w:left w:val="nil"/>
              <w:bottom w:val="single" w:sz="4" w:space="0" w:color="auto"/>
              <w:right w:val="single" w:sz="4" w:space="0" w:color="auto"/>
            </w:tcBorders>
            <w:shd w:val="clear" w:color="auto" w:fill="C6EFCE"/>
            <w:noWrap/>
          </w:tcPr>
          <w:p w14:paraId="0CA0911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32" w:type="dxa"/>
            <w:tcBorders>
              <w:top w:val="nil"/>
              <w:left w:val="nil"/>
              <w:bottom w:val="single" w:sz="4" w:space="0" w:color="auto"/>
              <w:right w:val="single" w:sz="4" w:space="0" w:color="auto"/>
            </w:tcBorders>
            <w:shd w:val="clear" w:color="auto" w:fill="C6EFCE"/>
            <w:noWrap/>
          </w:tcPr>
          <w:p w14:paraId="06EA339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93" w:type="dxa"/>
            <w:tcBorders>
              <w:top w:val="nil"/>
              <w:left w:val="nil"/>
              <w:bottom w:val="single" w:sz="4" w:space="0" w:color="auto"/>
              <w:right w:val="single" w:sz="4" w:space="0" w:color="auto"/>
            </w:tcBorders>
            <w:shd w:val="clear" w:color="auto" w:fill="C6EFCE"/>
            <w:noWrap/>
          </w:tcPr>
          <w:p w14:paraId="61CAB9DE"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ŠTVRŤROK</w:t>
            </w:r>
          </w:p>
        </w:tc>
        <w:tc>
          <w:tcPr>
            <w:tcW w:w="850" w:type="dxa"/>
            <w:tcBorders>
              <w:top w:val="nil"/>
              <w:left w:val="nil"/>
              <w:bottom w:val="single" w:sz="4" w:space="0" w:color="auto"/>
              <w:right w:val="single" w:sz="4" w:space="0" w:color="auto"/>
            </w:tcBorders>
            <w:shd w:val="clear" w:color="auto" w:fill="C6EFCE"/>
            <w:noWrap/>
          </w:tcPr>
          <w:p w14:paraId="39495D74"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2024</w:t>
            </w:r>
          </w:p>
        </w:tc>
        <w:tc>
          <w:tcPr>
            <w:tcW w:w="3969" w:type="dxa"/>
            <w:tcBorders>
              <w:top w:val="single" w:sz="4" w:space="0" w:color="auto"/>
              <w:left w:val="nil"/>
              <w:bottom w:val="single" w:sz="4" w:space="0" w:color="auto"/>
              <w:right w:val="single" w:sz="4" w:space="0" w:color="auto"/>
            </w:tcBorders>
            <w:shd w:val="clear" w:color="auto" w:fill="C6EFCE"/>
            <w:noWrap/>
          </w:tcPr>
          <w:p w14:paraId="4E9302E2" w14:textId="53AB96EC"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 Nadobudnutie účinnosti sekundárnych právnych predpisov stanovených</w:t>
            </w:r>
            <w:r w:rsidR="00AB26B3" w:rsidRPr="00AB26B3">
              <w:rPr>
                <w:noProof/>
                <w:spacing w:val="-6"/>
                <w:lang w:val="sk-SK"/>
              </w:rPr>
              <w:t xml:space="preserve"> v </w:t>
            </w:r>
            <w:r w:rsidRPr="00AB26B3">
              <w:rPr>
                <w:noProof/>
                <w:spacing w:val="-6"/>
                <w:lang w:val="sk-SK"/>
              </w:rPr>
              <w:t xml:space="preserve">zákone </w:t>
            </w:r>
            <w:r w:rsidR="00AB26B3" w:rsidRPr="00AB26B3">
              <w:rPr>
                <w:noProof/>
                <w:spacing w:val="-6"/>
                <w:lang w:val="sk-SK"/>
              </w:rPr>
              <w:t>č. </w:t>
            </w:r>
            <w:r w:rsidRPr="00AB26B3">
              <w:rPr>
                <w:noProof/>
                <w:spacing w:val="-6"/>
                <w:lang w:val="sk-SK"/>
              </w:rPr>
              <w:t>5037/2023. Predovšetkým:</w:t>
            </w:r>
          </w:p>
          <w:p w14:paraId="78E26679" w14:textId="7038B830"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Nadobudnutie účinnosti ministerského(-ých) rozhodnutia(-í)</w:t>
            </w:r>
            <w:r w:rsidR="00AB26B3" w:rsidRPr="00AB26B3">
              <w:rPr>
                <w:noProof/>
                <w:spacing w:val="-6"/>
                <w:lang w:val="sk-SK"/>
              </w:rPr>
              <w:t xml:space="preserve"> o </w:t>
            </w:r>
            <w:r w:rsidRPr="00AB26B3">
              <w:rPr>
                <w:noProof/>
                <w:spacing w:val="-6"/>
                <w:lang w:val="sk-SK"/>
              </w:rPr>
              <w:t>vykonávaní vlastnej spotreby, vlastnej spotreby prostredníctvom virtuálneho čistého vyúčtovania</w:t>
            </w:r>
            <w:r w:rsidR="00AB26B3" w:rsidRPr="00AB26B3">
              <w:rPr>
                <w:noProof/>
                <w:spacing w:val="-6"/>
                <w:lang w:val="sk-SK"/>
              </w:rPr>
              <w:t xml:space="preserve"> a </w:t>
            </w:r>
            <w:r w:rsidRPr="00AB26B3">
              <w:rPr>
                <w:noProof/>
                <w:spacing w:val="-6"/>
                <w:lang w:val="sk-SK"/>
              </w:rPr>
              <w:t>kolektívnej vlastnej spotreby, čistého vyúčtovania energie</w:t>
            </w:r>
            <w:r w:rsidR="00AB26B3" w:rsidRPr="00AB26B3">
              <w:rPr>
                <w:noProof/>
                <w:spacing w:val="-6"/>
                <w:lang w:val="sk-SK"/>
              </w:rPr>
              <w:t xml:space="preserve"> a </w:t>
            </w:r>
            <w:r w:rsidRPr="00AB26B3">
              <w:rPr>
                <w:noProof/>
                <w:spacing w:val="-6"/>
                <w:lang w:val="sk-SK"/>
              </w:rPr>
              <w:t>virtuálneho čistého vyúčtovania, ktoré vyplýva</w:t>
            </w:r>
            <w:r w:rsidR="00AB26B3" w:rsidRPr="00AB26B3">
              <w:rPr>
                <w:noProof/>
                <w:spacing w:val="-6"/>
                <w:lang w:val="sk-SK"/>
              </w:rPr>
              <w:t xml:space="preserve"> z </w:t>
            </w:r>
            <w:r w:rsidRPr="00AB26B3">
              <w:rPr>
                <w:noProof/>
                <w:spacing w:val="-6"/>
                <w:lang w:val="sk-SK"/>
              </w:rPr>
              <w:t>článkov 64</w:t>
            </w:r>
            <w:r w:rsidR="00AB26B3" w:rsidRPr="00AB26B3">
              <w:rPr>
                <w:noProof/>
                <w:spacing w:val="-6"/>
                <w:lang w:val="sk-SK"/>
              </w:rPr>
              <w:t xml:space="preserve"> a </w:t>
            </w:r>
            <w:r w:rsidRPr="00AB26B3">
              <w:rPr>
                <w:noProof/>
                <w:spacing w:val="-6"/>
                <w:lang w:val="sk-SK"/>
              </w:rPr>
              <w:t xml:space="preserve">66 zákona </w:t>
            </w:r>
            <w:r w:rsidR="00AB26B3" w:rsidRPr="00AB26B3">
              <w:rPr>
                <w:noProof/>
                <w:spacing w:val="-6"/>
                <w:lang w:val="sk-SK"/>
              </w:rPr>
              <w:t>č. </w:t>
            </w:r>
            <w:r w:rsidRPr="00AB26B3">
              <w:rPr>
                <w:noProof/>
                <w:spacing w:val="-6"/>
                <w:lang w:val="sk-SK"/>
              </w:rPr>
              <w:t>5037/2023.</w:t>
            </w:r>
          </w:p>
          <w:p w14:paraId="20823003" w14:textId="2EB86B8A"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 Nadobudnutie účinnosti primárnych právnych predpisov na uľahčenie povoľovacích postupov na inštaláciu staníc OZE</w:t>
            </w:r>
            <w:r w:rsidR="00AB26B3" w:rsidRPr="00AB26B3">
              <w:rPr>
                <w:noProof/>
                <w:spacing w:val="-6"/>
                <w:lang w:val="sk-SK"/>
              </w:rPr>
              <w:t xml:space="preserve"> v </w:t>
            </w:r>
            <w:r w:rsidRPr="00AB26B3">
              <w:rPr>
                <w:noProof/>
                <w:spacing w:val="-6"/>
                <w:lang w:val="sk-SK"/>
              </w:rPr>
              <w:t xml:space="preserve">bytových (alebo bytových) budovách aj na podporu kolektívnej vlastnej spotreby. To zahŕňa pravidlá na uľahčenie rozhodovania vrátane zavedenia väčšinového procesu inštalácie OZE. </w:t>
            </w:r>
          </w:p>
        </w:tc>
      </w:tr>
      <w:tr w:rsidR="00302FC1" w:rsidRPr="00AB26B3" w14:paraId="22B33C2A" w14:textId="77777777">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8A7AE2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362</w:t>
            </w:r>
          </w:p>
        </w:tc>
        <w:tc>
          <w:tcPr>
            <w:tcW w:w="1985" w:type="dxa"/>
            <w:tcBorders>
              <w:top w:val="single" w:sz="4" w:space="0" w:color="auto"/>
              <w:left w:val="nil"/>
              <w:bottom w:val="single" w:sz="4" w:space="0" w:color="auto"/>
              <w:right w:val="single" w:sz="4" w:space="0" w:color="auto"/>
            </w:tcBorders>
            <w:shd w:val="clear" w:color="auto" w:fill="C6EFCE"/>
            <w:noWrap/>
          </w:tcPr>
          <w:p w14:paraId="33D0FDE3" w14:textId="6B65C2A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 – 5. Reformy REPowerEU – 16992_Súbor nástrojov na podporu spoločného využívania energie, vlastnej spotreby</w:t>
            </w:r>
            <w:r w:rsidR="00AB26B3" w:rsidRPr="00AB26B3">
              <w:rPr>
                <w:noProof/>
                <w:spacing w:val="-6"/>
                <w:lang w:val="sk-SK"/>
              </w:rPr>
              <w:t xml:space="preserve"> a </w:t>
            </w:r>
            <w:r w:rsidRPr="00AB26B3">
              <w:rPr>
                <w:noProof/>
                <w:spacing w:val="-6"/>
                <w:lang w:val="sk-SK"/>
              </w:rPr>
              <w:t>komunít vyrábajúcich energiu</w:t>
            </w:r>
            <w:r w:rsidR="00AB26B3" w:rsidRPr="00AB26B3">
              <w:rPr>
                <w:noProof/>
                <w:spacing w:val="-6"/>
                <w:lang w:val="sk-SK"/>
              </w:rPr>
              <w:t xml:space="preserve"> z </w:t>
            </w:r>
            <w:r w:rsidRPr="00AB26B3">
              <w:rPr>
                <w:noProof/>
                <w:spacing w:val="-6"/>
                <w:lang w:val="sk-SK"/>
              </w:rPr>
              <w:t>obnoviteľných zdrojov</w:t>
            </w:r>
          </w:p>
        </w:tc>
        <w:tc>
          <w:tcPr>
            <w:tcW w:w="992" w:type="dxa"/>
            <w:tcBorders>
              <w:top w:val="single" w:sz="4" w:space="0" w:color="auto"/>
              <w:left w:val="nil"/>
              <w:bottom w:val="single" w:sz="4" w:space="0" w:color="auto"/>
              <w:right w:val="single" w:sz="4" w:space="0" w:color="auto"/>
            </w:tcBorders>
            <w:shd w:val="clear" w:color="auto" w:fill="C6EFCE"/>
            <w:noWrap/>
          </w:tcPr>
          <w:p w14:paraId="73A8C0A2"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Míľnik</w:t>
            </w:r>
          </w:p>
        </w:tc>
        <w:tc>
          <w:tcPr>
            <w:tcW w:w="1843" w:type="dxa"/>
            <w:tcBorders>
              <w:top w:val="single" w:sz="4" w:space="0" w:color="auto"/>
              <w:left w:val="nil"/>
              <w:bottom w:val="single" w:sz="4" w:space="0" w:color="auto"/>
              <w:right w:val="single" w:sz="4" w:space="0" w:color="auto"/>
            </w:tcBorders>
            <w:shd w:val="clear" w:color="auto" w:fill="C6EFCE"/>
            <w:noWrap/>
          </w:tcPr>
          <w:p w14:paraId="2BF2F885" w14:textId="6323895E"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Zriadenie registra samospotrebiteľov</w:t>
            </w:r>
            <w:r w:rsidR="00AB26B3" w:rsidRPr="00AB26B3">
              <w:rPr>
                <w:noProof/>
                <w:spacing w:val="-6"/>
                <w:lang w:val="sk-SK"/>
              </w:rPr>
              <w:t xml:space="preserve"> a </w:t>
            </w:r>
            <w:r w:rsidRPr="00AB26B3">
              <w:rPr>
                <w:noProof/>
                <w:spacing w:val="-6"/>
                <w:lang w:val="sk-SK"/>
              </w:rPr>
              <w:t>technická pomoc pre energetické spoločenstvá</w:t>
            </w:r>
          </w:p>
        </w:tc>
        <w:tc>
          <w:tcPr>
            <w:tcW w:w="1559" w:type="dxa"/>
            <w:tcBorders>
              <w:top w:val="single" w:sz="4" w:space="0" w:color="auto"/>
              <w:left w:val="nil"/>
              <w:bottom w:val="single" w:sz="4" w:space="0" w:color="auto"/>
              <w:right w:val="single" w:sz="4" w:space="0" w:color="auto"/>
            </w:tcBorders>
            <w:shd w:val="clear" w:color="auto" w:fill="C6EFCE"/>
            <w:noWrap/>
          </w:tcPr>
          <w:p w14:paraId="2334CEED" w14:textId="7226BCBE"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Právny(-e) akt(-y)</w:t>
            </w:r>
            <w:r w:rsidR="00AB26B3" w:rsidRPr="00AB26B3">
              <w:rPr>
                <w:noProof/>
                <w:spacing w:val="-6"/>
                <w:lang w:val="sk-SK"/>
              </w:rPr>
              <w:t xml:space="preserve"> a </w:t>
            </w:r>
            <w:r w:rsidRPr="00AB26B3">
              <w:rPr>
                <w:noProof/>
                <w:spacing w:val="-6"/>
                <w:lang w:val="sk-SK"/>
              </w:rPr>
              <w:t>vykonávacia správa ministerstva životného prostredia</w:t>
            </w:r>
            <w:r w:rsidR="00AB26B3" w:rsidRPr="00AB26B3">
              <w:rPr>
                <w:noProof/>
                <w:spacing w:val="-6"/>
                <w:lang w:val="sk-SK"/>
              </w:rPr>
              <w:t xml:space="preserve"> a </w:t>
            </w:r>
            <w:r w:rsidRPr="00AB26B3">
              <w:rPr>
                <w:noProof/>
                <w:spacing w:val="-6"/>
                <w:lang w:val="sk-SK"/>
              </w:rPr>
              <w:t>energetiky osvedčujúca zriadenie technickej pomoci</w:t>
            </w:r>
          </w:p>
        </w:tc>
        <w:tc>
          <w:tcPr>
            <w:tcW w:w="992" w:type="dxa"/>
            <w:tcBorders>
              <w:top w:val="single" w:sz="4" w:space="0" w:color="auto"/>
              <w:left w:val="nil"/>
              <w:bottom w:val="single" w:sz="4" w:space="0" w:color="auto"/>
              <w:right w:val="single" w:sz="4" w:space="0" w:color="auto"/>
            </w:tcBorders>
            <w:shd w:val="clear" w:color="auto" w:fill="C6EFCE"/>
            <w:noWrap/>
          </w:tcPr>
          <w:p w14:paraId="3BF30DF3" w14:textId="77777777" w:rsidR="00302FC1" w:rsidRPr="00AB26B3" w:rsidRDefault="00302FC1">
            <w:pPr>
              <w:spacing w:after="120" w:line="240" w:lineRule="auto"/>
              <w:rPr>
                <w:rFonts w:ascii="Times New Roman" w:hAnsi="Times New Roman" w:cs="Times New Roman"/>
                <w:noProof/>
                <w:spacing w:val="-6"/>
                <w:sz w:val="18"/>
                <w:szCs w:val="18"/>
                <w:lang w:val="sk-SK"/>
              </w:rPr>
            </w:pPr>
          </w:p>
        </w:tc>
        <w:tc>
          <w:tcPr>
            <w:tcW w:w="869" w:type="dxa"/>
            <w:tcBorders>
              <w:top w:val="single" w:sz="4" w:space="0" w:color="auto"/>
              <w:left w:val="nil"/>
              <w:bottom w:val="single" w:sz="4" w:space="0" w:color="auto"/>
              <w:right w:val="single" w:sz="4" w:space="0" w:color="auto"/>
            </w:tcBorders>
            <w:shd w:val="clear" w:color="auto" w:fill="C6EFCE"/>
            <w:noWrap/>
          </w:tcPr>
          <w:p w14:paraId="766AF16D" w14:textId="77777777" w:rsidR="00302FC1" w:rsidRPr="00AB26B3" w:rsidRDefault="00302FC1">
            <w:pPr>
              <w:spacing w:after="120" w:line="240" w:lineRule="auto"/>
              <w:rPr>
                <w:rFonts w:ascii="Times New Roman" w:hAnsi="Times New Roman" w:cs="Times New Roman"/>
                <w:noProof/>
                <w:spacing w:val="-6"/>
                <w:sz w:val="18"/>
                <w:szCs w:val="18"/>
                <w:lang w:val="sk-SK"/>
              </w:rPr>
            </w:pPr>
          </w:p>
        </w:tc>
        <w:tc>
          <w:tcPr>
            <w:tcW w:w="832" w:type="dxa"/>
            <w:tcBorders>
              <w:top w:val="single" w:sz="4" w:space="0" w:color="auto"/>
              <w:left w:val="nil"/>
              <w:bottom w:val="single" w:sz="4" w:space="0" w:color="auto"/>
              <w:right w:val="single" w:sz="4" w:space="0" w:color="auto"/>
            </w:tcBorders>
            <w:shd w:val="clear" w:color="auto" w:fill="C6EFCE"/>
            <w:noWrap/>
          </w:tcPr>
          <w:p w14:paraId="7FBCCDBE" w14:textId="77777777" w:rsidR="00302FC1" w:rsidRPr="00AB26B3" w:rsidRDefault="00302FC1">
            <w:pPr>
              <w:spacing w:after="120" w:line="240" w:lineRule="auto"/>
              <w:rPr>
                <w:rFonts w:ascii="Times New Roman" w:hAnsi="Times New Roman" w:cs="Times New Roman"/>
                <w:noProof/>
                <w:spacing w:val="-6"/>
                <w:sz w:val="18"/>
                <w:szCs w:val="18"/>
                <w:lang w:val="sk-SK"/>
              </w:rPr>
            </w:pPr>
          </w:p>
        </w:tc>
        <w:tc>
          <w:tcPr>
            <w:tcW w:w="993" w:type="dxa"/>
            <w:tcBorders>
              <w:top w:val="single" w:sz="4" w:space="0" w:color="auto"/>
              <w:left w:val="nil"/>
              <w:bottom w:val="single" w:sz="4" w:space="0" w:color="auto"/>
              <w:right w:val="single" w:sz="4" w:space="0" w:color="auto"/>
            </w:tcBorders>
            <w:shd w:val="clear" w:color="auto" w:fill="C6EFCE"/>
            <w:noWrap/>
          </w:tcPr>
          <w:p w14:paraId="092DE8A3"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ŠTVRŤROK</w:t>
            </w:r>
          </w:p>
        </w:tc>
        <w:tc>
          <w:tcPr>
            <w:tcW w:w="850" w:type="dxa"/>
            <w:tcBorders>
              <w:top w:val="single" w:sz="4" w:space="0" w:color="auto"/>
              <w:left w:val="nil"/>
              <w:bottom w:val="single" w:sz="4" w:space="0" w:color="auto"/>
              <w:right w:val="single" w:sz="4" w:space="0" w:color="auto"/>
            </w:tcBorders>
            <w:shd w:val="clear" w:color="auto" w:fill="C6EFCE"/>
            <w:noWrap/>
          </w:tcPr>
          <w:p w14:paraId="41427D5F"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2025</w:t>
            </w:r>
          </w:p>
        </w:tc>
        <w:tc>
          <w:tcPr>
            <w:tcW w:w="3969" w:type="dxa"/>
            <w:tcBorders>
              <w:top w:val="single" w:sz="4" w:space="0" w:color="auto"/>
              <w:left w:val="nil"/>
              <w:bottom w:val="single" w:sz="4" w:space="0" w:color="auto"/>
              <w:right w:val="single" w:sz="4" w:space="0" w:color="auto"/>
            </w:tcBorders>
            <w:shd w:val="clear" w:color="auto" w:fill="C6EFCE"/>
            <w:noWrap/>
          </w:tcPr>
          <w:p w14:paraId="3108DF5F" w14:textId="6BDCB8AF" w:rsidR="00AB26B3" w:rsidRPr="00AB26B3" w:rsidRDefault="00D64F26">
            <w:pPr>
              <w:pStyle w:val="P68B1DB1-Normal12"/>
              <w:spacing w:after="0" w:line="240" w:lineRule="auto"/>
              <w:rPr>
                <w:noProof/>
                <w:spacing w:val="-6"/>
                <w:lang w:val="sk-SK"/>
              </w:rPr>
            </w:pPr>
            <w:r w:rsidRPr="00AB26B3">
              <w:rPr>
                <w:noProof/>
                <w:spacing w:val="-6"/>
                <w:lang w:val="sk-SK"/>
              </w:rPr>
              <w:t>Nadobudnutie účinnosti právneho aktu na zriadenie registra samospotrebiteľov</w:t>
            </w:r>
            <w:r w:rsidR="00AB26B3" w:rsidRPr="00AB26B3">
              <w:rPr>
                <w:noProof/>
                <w:spacing w:val="-6"/>
                <w:lang w:val="sk-SK"/>
              </w:rPr>
              <w:t xml:space="preserve"> a </w:t>
            </w:r>
            <w:r w:rsidRPr="00AB26B3">
              <w:rPr>
                <w:noProof/>
                <w:spacing w:val="-6"/>
                <w:lang w:val="sk-SK"/>
              </w:rPr>
              <w:t>zriadenie technickej pomoci na podporu rozvoja</w:t>
            </w:r>
            <w:r w:rsidR="00AB26B3" w:rsidRPr="00AB26B3">
              <w:rPr>
                <w:noProof/>
                <w:spacing w:val="-6"/>
                <w:lang w:val="sk-SK"/>
              </w:rPr>
              <w:t xml:space="preserve"> a </w:t>
            </w:r>
            <w:r w:rsidRPr="00AB26B3">
              <w:rPr>
                <w:noProof/>
                <w:spacing w:val="-6"/>
                <w:lang w:val="sk-SK"/>
              </w:rPr>
              <w:t>prevádzky energetických spoločenstiev. Register samospotrebiteľov sa používa na analýzu údajov</w:t>
            </w:r>
            <w:r w:rsidR="00AB26B3" w:rsidRPr="00AB26B3">
              <w:rPr>
                <w:noProof/>
                <w:spacing w:val="-6"/>
                <w:lang w:val="sk-SK"/>
              </w:rPr>
              <w:t xml:space="preserve"> a </w:t>
            </w:r>
            <w:r w:rsidRPr="00AB26B3">
              <w:rPr>
                <w:noProof/>
                <w:spacing w:val="-6"/>
                <w:lang w:val="sk-SK"/>
              </w:rPr>
              <w:t>na štatistickú analýzu, pričom uľahčuje prechod samospotrebiteľov od jedného dodávateľa</w:t>
            </w:r>
            <w:r w:rsidR="00AB26B3" w:rsidRPr="00AB26B3">
              <w:rPr>
                <w:noProof/>
                <w:spacing w:val="-6"/>
                <w:lang w:val="sk-SK"/>
              </w:rPr>
              <w:t xml:space="preserve"> k </w:t>
            </w:r>
            <w:r w:rsidRPr="00AB26B3">
              <w:rPr>
                <w:noProof/>
                <w:spacing w:val="-6"/>
                <w:lang w:val="sk-SK"/>
              </w:rPr>
              <w:t>druhému</w:t>
            </w:r>
            <w:r w:rsidR="00AB26B3" w:rsidRPr="00AB26B3">
              <w:rPr>
                <w:noProof/>
                <w:spacing w:val="-6"/>
                <w:lang w:val="sk-SK"/>
              </w:rPr>
              <w:t>.</w:t>
            </w:r>
          </w:p>
          <w:p w14:paraId="0F3C96AC" w14:textId="6844C365"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226D0706" w14:textId="3558846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Určenie príslušného subjektu na správu registra samospotrebiteľov, ktorý oprávneným stranám umožní transparentný</w:t>
            </w:r>
            <w:r w:rsidR="00AB26B3" w:rsidRPr="00AB26B3">
              <w:rPr>
                <w:noProof/>
                <w:spacing w:val="-6"/>
                <w:lang w:val="sk-SK"/>
              </w:rPr>
              <w:t xml:space="preserve"> a </w:t>
            </w:r>
            <w:r w:rsidRPr="00AB26B3">
              <w:rPr>
                <w:noProof/>
                <w:spacing w:val="-6"/>
                <w:lang w:val="sk-SK"/>
              </w:rPr>
              <w:t>nediskriminačný prístup.</w:t>
            </w:r>
          </w:p>
          <w:p w14:paraId="4BB3300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3446FF0C" w14:textId="1816141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Predloženie správy</w:t>
            </w:r>
            <w:r w:rsidR="00AB26B3" w:rsidRPr="00AB26B3">
              <w:rPr>
                <w:noProof/>
                <w:spacing w:val="-6"/>
                <w:lang w:val="sk-SK"/>
              </w:rPr>
              <w:t xml:space="preserve"> o </w:t>
            </w:r>
            <w:r w:rsidRPr="00AB26B3">
              <w:rPr>
                <w:noProof/>
                <w:spacing w:val="-6"/>
                <w:lang w:val="sk-SK"/>
              </w:rPr>
              <w:t>vykonávaní,</w:t>
            </w:r>
            <w:r w:rsidR="00AB26B3" w:rsidRPr="00AB26B3">
              <w:rPr>
                <w:noProof/>
                <w:spacing w:val="-6"/>
                <w:lang w:val="sk-SK"/>
              </w:rPr>
              <w:t xml:space="preserve"> v </w:t>
            </w:r>
            <w:r w:rsidRPr="00AB26B3">
              <w:rPr>
                <w:noProof/>
                <w:spacing w:val="-6"/>
                <w:lang w:val="sk-SK"/>
              </w:rPr>
              <w:t xml:space="preserve">ktorej sa osvedčuje zriadenie technickej pomoci pre Energetické spoločenstvá vrátane interaktívnych kontaktných miest. </w:t>
            </w:r>
          </w:p>
        </w:tc>
      </w:tr>
    </w:tbl>
    <w:p w14:paraId="19D4B3F2" w14:textId="4476320E" w:rsidR="00302FC1" w:rsidRPr="00AB26B3" w:rsidRDefault="00D64F26">
      <w:pPr>
        <w:pStyle w:val="P68B1DB1-Normal9"/>
        <w:keepNext/>
        <w:keepLines/>
        <w:spacing w:before="2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Reforma 7: Plán inovačných intervencií</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oblasti energetickej efektívnosti</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identifikácia nových finančných nástrojov (identifikačné číslo opatrenia: 16993)</w:t>
      </w:r>
    </w:p>
    <w:tbl>
      <w:tblPr>
        <w:tblW w:w="15339" w:type="dxa"/>
        <w:tblInd w:w="-318" w:type="dxa"/>
        <w:tblLook w:val="04A0" w:firstRow="1" w:lastRow="0" w:firstColumn="1" w:lastColumn="0" w:noHBand="0" w:noVBand="1"/>
      </w:tblPr>
      <w:tblGrid>
        <w:gridCol w:w="786"/>
        <w:gridCol w:w="2280"/>
        <w:gridCol w:w="1200"/>
        <w:gridCol w:w="1333"/>
        <w:gridCol w:w="1553"/>
        <w:gridCol w:w="1205"/>
        <w:gridCol w:w="927"/>
        <w:gridCol w:w="713"/>
        <w:gridCol w:w="1119"/>
        <w:gridCol w:w="720"/>
        <w:gridCol w:w="3700"/>
      </w:tblGrid>
      <w:tr w:rsidR="00302FC1" w:rsidRPr="00AB26B3" w14:paraId="361D3B85" w14:textId="77777777">
        <w:trPr>
          <w:trHeight w:val="927"/>
          <w:tblHeader/>
        </w:trPr>
        <w:tc>
          <w:tcPr>
            <w:tcW w:w="78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007FE51" w14:textId="722BB574"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A nasl. Nie. </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B4342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540B380"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33035A"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Názov</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1462F8" w14:textId="505EB44A"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Kvalitatívne ukazovatele (pre míľniky)</w:t>
            </w:r>
          </w:p>
        </w:tc>
        <w:tc>
          <w:tcPr>
            <w:tcW w:w="284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725A4AE" w14:textId="0294285C"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Kvantitatívne ukazovatele (pre ciele)</w:t>
            </w:r>
          </w:p>
        </w:tc>
        <w:tc>
          <w:tcPr>
            <w:tcW w:w="1642"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1A2B5FD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Orientačný harmonogram dokončenia </w:t>
            </w:r>
          </w:p>
        </w:tc>
        <w:tc>
          <w:tcPr>
            <w:tcW w:w="37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093AB0" w14:textId="7B274BE9"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14DA355" w14:textId="77777777">
        <w:trPr>
          <w:trHeight w:val="665"/>
        </w:trPr>
        <w:tc>
          <w:tcPr>
            <w:tcW w:w="786" w:type="dxa"/>
            <w:vMerge/>
            <w:tcBorders>
              <w:top w:val="single" w:sz="4" w:space="0" w:color="auto"/>
              <w:left w:val="single" w:sz="4" w:space="0" w:color="auto"/>
              <w:bottom w:val="single" w:sz="4" w:space="0" w:color="auto"/>
              <w:right w:val="single" w:sz="4" w:space="0" w:color="auto"/>
            </w:tcBorders>
            <w:vAlign w:val="center"/>
            <w:hideMark/>
          </w:tcPr>
          <w:p w14:paraId="1A811F0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669034D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548327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7DC5AE1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53" w:type="dxa"/>
            <w:vMerge/>
            <w:tcBorders>
              <w:top w:val="single" w:sz="4" w:space="0" w:color="auto"/>
              <w:left w:val="single" w:sz="4" w:space="0" w:color="auto"/>
              <w:bottom w:val="single" w:sz="4" w:space="0" w:color="auto"/>
            </w:tcBorders>
            <w:vAlign w:val="center"/>
            <w:hideMark/>
          </w:tcPr>
          <w:p w14:paraId="23B4898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00D3D3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927" w:type="dxa"/>
            <w:tcBorders>
              <w:top w:val="single" w:sz="4" w:space="0" w:color="auto"/>
              <w:left w:val="nil"/>
              <w:bottom w:val="single" w:sz="4" w:space="0" w:color="auto"/>
              <w:right w:val="single" w:sz="4" w:space="0" w:color="auto"/>
            </w:tcBorders>
            <w:shd w:val="clear" w:color="auto" w:fill="BDD7EE"/>
            <w:vAlign w:val="center"/>
            <w:hideMark/>
          </w:tcPr>
          <w:p w14:paraId="76F31949"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Základná </w:t>
            </w:r>
          </w:p>
        </w:tc>
        <w:tc>
          <w:tcPr>
            <w:tcW w:w="713" w:type="dxa"/>
            <w:tcBorders>
              <w:top w:val="single" w:sz="4" w:space="0" w:color="auto"/>
              <w:left w:val="nil"/>
              <w:bottom w:val="single" w:sz="4" w:space="0" w:color="auto"/>
              <w:right w:val="single" w:sz="4" w:space="0" w:color="auto"/>
            </w:tcBorders>
            <w:shd w:val="clear" w:color="auto" w:fill="BDD7EE"/>
            <w:vAlign w:val="center"/>
            <w:hideMark/>
          </w:tcPr>
          <w:p w14:paraId="671DF45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 xml:space="preserve">Cieľ </w:t>
            </w:r>
          </w:p>
        </w:tc>
        <w:tc>
          <w:tcPr>
            <w:tcW w:w="922" w:type="dxa"/>
            <w:tcBorders>
              <w:top w:val="single" w:sz="4" w:space="0" w:color="auto"/>
              <w:left w:val="nil"/>
              <w:bottom w:val="single" w:sz="4" w:space="0" w:color="auto"/>
              <w:right w:val="single" w:sz="4" w:space="0" w:color="auto"/>
            </w:tcBorders>
            <w:shd w:val="clear" w:color="auto" w:fill="BDD7EE"/>
            <w:vAlign w:val="center"/>
            <w:hideMark/>
          </w:tcPr>
          <w:p w14:paraId="033379F6"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720" w:type="dxa"/>
            <w:tcBorders>
              <w:top w:val="single" w:sz="4" w:space="0" w:color="auto"/>
              <w:left w:val="nil"/>
              <w:bottom w:val="single" w:sz="4" w:space="0" w:color="auto"/>
              <w:right w:val="single" w:sz="4" w:space="0" w:color="auto"/>
            </w:tcBorders>
            <w:shd w:val="clear" w:color="auto" w:fill="BDD7EE"/>
            <w:vAlign w:val="center"/>
            <w:hideMark/>
          </w:tcPr>
          <w:p w14:paraId="68DA895D"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3700" w:type="dxa"/>
            <w:vMerge/>
            <w:tcBorders>
              <w:top w:val="single" w:sz="4" w:space="0" w:color="auto"/>
              <w:bottom w:val="single" w:sz="4" w:space="0" w:color="auto"/>
              <w:right w:val="single" w:sz="4" w:space="0" w:color="auto"/>
            </w:tcBorders>
            <w:vAlign w:val="center"/>
            <w:hideMark/>
          </w:tcPr>
          <w:p w14:paraId="22D49B11"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09B48B05" w14:textId="77777777">
        <w:tc>
          <w:tcPr>
            <w:tcW w:w="786" w:type="dxa"/>
            <w:tcBorders>
              <w:top w:val="single" w:sz="4" w:space="0" w:color="auto"/>
              <w:left w:val="single" w:sz="4" w:space="0" w:color="auto"/>
              <w:bottom w:val="single" w:sz="4" w:space="0" w:color="auto"/>
              <w:right w:val="single" w:sz="4" w:space="0" w:color="auto"/>
            </w:tcBorders>
            <w:shd w:val="clear" w:color="auto" w:fill="C6EFCE"/>
            <w:noWrap/>
          </w:tcPr>
          <w:p w14:paraId="2A7FCAA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363</w:t>
            </w:r>
          </w:p>
        </w:tc>
        <w:tc>
          <w:tcPr>
            <w:tcW w:w="2280" w:type="dxa"/>
            <w:tcBorders>
              <w:top w:val="single" w:sz="4" w:space="0" w:color="auto"/>
              <w:left w:val="nil"/>
              <w:bottom w:val="single" w:sz="4" w:space="0" w:color="auto"/>
              <w:right w:val="single" w:sz="4" w:space="0" w:color="auto"/>
            </w:tcBorders>
            <w:shd w:val="clear" w:color="auto" w:fill="C6EFCE"/>
            <w:noWrap/>
          </w:tcPr>
          <w:p w14:paraId="038E02D2" w14:textId="4095E6A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 – 5. Reformy REPowerEU – 16993_Plán inovačných intervencií</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identifikácia nových finančných nástrojov</w:t>
            </w:r>
          </w:p>
        </w:tc>
        <w:tc>
          <w:tcPr>
            <w:tcW w:w="1200" w:type="dxa"/>
            <w:tcBorders>
              <w:top w:val="single" w:sz="4" w:space="0" w:color="auto"/>
              <w:left w:val="nil"/>
              <w:bottom w:val="single" w:sz="4" w:space="0" w:color="auto"/>
              <w:right w:val="single" w:sz="4" w:space="0" w:color="auto"/>
            </w:tcBorders>
            <w:shd w:val="clear" w:color="auto" w:fill="C6EFCE"/>
            <w:noWrap/>
          </w:tcPr>
          <w:p w14:paraId="7A0EF4D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33" w:type="dxa"/>
            <w:tcBorders>
              <w:top w:val="single" w:sz="4" w:space="0" w:color="auto"/>
              <w:left w:val="nil"/>
              <w:bottom w:val="single" w:sz="4" w:space="0" w:color="auto"/>
              <w:right w:val="single" w:sz="4" w:space="0" w:color="auto"/>
            </w:tcBorders>
            <w:shd w:val="clear" w:color="auto" w:fill="C6EFCE"/>
            <w:noWrap/>
          </w:tcPr>
          <w:p w14:paraId="2AD327E2" w14:textId="08E8C763"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Vypracovanie plánu inovačných intervencií</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právneho rámca</w:t>
            </w:r>
          </w:p>
        </w:tc>
        <w:tc>
          <w:tcPr>
            <w:tcW w:w="1553" w:type="dxa"/>
            <w:tcBorders>
              <w:top w:val="single" w:sz="4" w:space="0" w:color="auto"/>
              <w:left w:val="nil"/>
              <w:bottom w:val="single" w:sz="4" w:space="0" w:color="auto"/>
              <w:right w:val="single" w:sz="4" w:space="0" w:color="auto"/>
            </w:tcBorders>
            <w:shd w:val="clear" w:color="auto" w:fill="C6EFCE"/>
            <w:noWrap/>
          </w:tcPr>
          <w:p w14:paraId="01ADCBD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p>
        </w:tc>
        <w:tc>
          <w:tcPr>
            <w:tcW w:w="1205" w:type="dxa"/>
            <w:tcBorders>
              <w:top w:val="single" w:sz="4" w:space="0" w:color="auto"/>
              <w:left w:val="nil"/>
              <w:bottom w:val="single" w:sz="4" w:space="0" w:color="auto"/>
              <w:right w:val="single" w:sz="4" w:space="0" w:color="auto"/>
            </w:tcBorders>
            <w:shd w:val="clear" w:color="auto" w:fill="C6EFCE"/>
            <w:noWrap/>
          </w:tcPr>
          <w:p w14:paraId="0372B10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tcBorders>
              <w:top w:val="nil"/>
              <w:left w:val="nil"/>
              <w:bottom w:val="single" w:sz="4" w:space="0" w:color="auto"/>
              <w:right w:val="single" w:sz="4" w:space="0" w:color="auto"/>
            </w:tcBorders>
            <w:shd w:val="clear" w:color="auto" w:fill="C6EFCE"/>
            <w:noWrap/>
          </w:tcPr>
          <w:p w14:paraId="61FF42C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tcBorders>
              <w:top w:val="nil"/>
              <w:left w:val="nil"/>
              <w:bottom w:val="single" w:sz="4" w:space="0" w:color="auto"/>
              <w:right w:val="single" w:sz="4" w:space="0" w:color="auto"/>
            </w:tcBorders>
            <w:shd w:val="clear" w:color="auto" w:fill="C6EFCE"/>
            <w:noWrap/>
          </w:tcPr>
          <w:p w14:paraId="18B18AD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tcBorders>
              <w:top w:val="nil"/>
              <w:left w:val="nil"/>
              <w:bottom w:val="single" w:sz="4" w:space="0" w:color="auto"/>
              <w:right w:val="single" w:sz="4" w:space="0" w:color="auto"/>
            </w:tcBorders>
            <w:shd w:val="clear" w:color="auto" w:fill="C6EFCE"/>
            <w:noWrap/>
          </w:tcPr>
          <w:p w14:paraId="6E288B1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20" w:type="dxa"/>
            <w:tcBorders>
              <w:top w:val="nil"/>
              <w:left w:val="nil"/>
              <w:bottom w:val="single" w:sz="4" w:space="0" w:color="auto"/>
              <w:right w:val="single" w:sz="4" w:space="0" w:color="auto"/>
            </w:tcBorders>
            <w:shd w:val="clear" w:color="auto" w:fill="C6EFCE"/>
            <w:noWrap/>
          </w:tcPr>
          <w:p w14:paraId="246CA6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700" w:type="dxa"/>
            <w:tcBorders>
              <w:top w:val="single" w:sz="4" w:space="0" w:color="auto"/>
              <w:left w:val="nil"/>
              <w:bottom w:val="single" w:sz="4" w:space="0" w:color="auto"/>
              <w:right w:val="single" w:sz="4" w:space="0" w:color="auto"/>
            </w:tcBorders>
            <w:shd w:val="clear" w:color="auto" w:fill="C6EFCE"/>
            <w:noWrap/>
          </w:tcPr>
          <w:p w14:paraId="77300ECB" w14:textId="3CA6723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ministerského rozhodnutia, ktorým sa prijíma plán,</w:t>
            </w:r>
            <w:r w:rsidR="00AB26B3" w:rsidRPr="00AB26B3">
              <w:rPr>
                <w:noProof/>
                <w:spacing w:val="-6"/>
                <w:lang w:val="sk-SK"/>
              </w:rPr>
              <w:t xml:space="preserve"> v </w:t>
            </w:r>
            <w:r w:rsidRPr="00AB26B3">
              <w:rPr>
                <w:noProof/>
                <w:spacing w:val="-6"/>
                <w:lang w:val="sk-SK"/>
              </w:rPr>
              <w:t>ktorom sa stanovia inovačné intervencie</w:t>
            </w:r>
            <w:r w:rsidR="00AB26B3" w:rsidRPr="00AB26B3">
              <w:rPr>
                <w:noProof/>
                <w:spacing w:val="-6"/>
                <w:lang w:val="sk-SK"/>
              </w:rPr>
              <w:t xml:space="preserve"> v </w:t>
            </w:r>
            <w:r w:rsidRPr="00AB26B3">
              <w:rPr>
                <w:noProof/>
                <w:spacing w:val="-6"/>
                <w:lang w:val="sk-SK"/>
              </w:rPr>
              <w:t xml:space="preserve">oblasti energetickej efektívnosti vrátane finančných nástrojov, ktoré nie sú založené na grantoch. </w:t>
            </w:r>
          </w:p>
        </w:tc>
      </w:tr>
      <w:tr w:rsidR="00302FC1" w:rsidRPr="00AB26B3" w14:paraId="5B6F3411" w14:textId="77777777">
        <w:tc>
          <w:tcPr>
            <w:tcW w:w="786" w:type="dxa"/>
            <w:tcBorders>
              <w:top w:val="nil"/>
              <w:left w:val="single" w:sz="4" w:space="0" w:color="auto"/>
              <w:bottom w:val="single" w:sz="4" w:space="0" w:color="auto"/>
              <w:right w:val="single" w:sz="4" w:space="0" w:color="auto"/>
            </w:tcBorders>
            <w:shd w:val="clear" w:color="auto" w:fill="C6EFCE"/>
            <w:noWrap/>
          </w:tcPr>
          <w:p w14:paraId="6E45E94C"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364</w:t>
            </w:r>
          </w:p>
        </w:tc>
        <w:tc>
          <w:tcPr>
            <w:tcW w:w="2280" w:type="dxa"/>
            <w:tcBorders>
              <w:top w:val="nil"/>
              <w:left w:val="nil"/>
              <w:bottom w:val="single" w:sz="4" w:space="0" w:color="auto"/>
              <w:right w:val="single" w:sz="4" w:space="0" w:color="auto"/>
            </w:tcBorders>
            <w:shd w:val="clear" w:color="auto" w:fill="C6EFCE"/>
            <w:noWrap/>
          </w:tcPr>
          <w:p w14:paraId="0B140871" w14:textId="5FC1869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 – 5. Reformy REPowerEU – 16993_Plán inovačných intervencií</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identifikácia nových finančných nástrojov</w:t>
            </w:r>
          </w:p>
        </w:tc>
        <w:tc>
          <w:tcPr>
            <w:tcW w:w="1200" w:type="dxa"/>
            <w:tcBorders>
              <w:top w:val="nil"/>
              <w:left w:val="nil"/>
              <w:bottom w:val="single" w:sz="4" w:space="0" w:color="auto"/>
              <w:right w:val="single" w:sz="4" w:space="0" w:color="auto"/>
            </w:tcBorders>
            <w:shd w:val="clear" w:color="auto" w:fill="C6EFCE"/>
            <w:noWrap/>
          </w:tcPr>
          <w:p w14:paraId="1A94860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333" w:type="dxa"/>
            <w:tcBorders>
              <w:top w:val="nil"/>
              <w:left w:val="nil"/>
              <w:bottom w:val="single" w:sz="4" w:space="0" w:color="auto"/>
              <w:right w:val="single" w:sz="4" w:space="0" w:color="auto"/>
            </w:tcBorders>
            <w:shd w:val="clear" w:color="auto" w:fill="C6EFCE"/>
            <w:noWrap/>
          </w:tcPr>
          <w:p w14:paraId="4EE6B67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Spustenie negrantového finančného nástroja</w:t>
            </w:r>
          </w:p>
        </w:tc>
        <w:tc>
          <w:tcPr>
            <w:tcW w:w="1553" w:type="dxa"/>
            <w:tcBorders>
              <w:top w:val="nil"/>
              <w:left w:val="nil"/>
              <w:bottom w:val="single" w:sz="4" w:space="0" w:color="auto"/>
              <w:right w:val="single" w:sz="4" w:space="0" w:color="auto"/>
            </w:tcBorders>
            <w:shd w:val="clear" w:color="auto" w:fill="C6EFCE"/>
            <w:noWrap/>
          </w:tcPr>
          <w:p w14:paraId="03F32A6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právnych predpisov.</w:t>
            </w:r>
          </w:p>
        </w:tc>
        <w:tc>
          <w:tcPr>
            <w:tcW w:w="1205" w:type="dxa"/>
            <w:tcBorders>
              <w:top w:val="nil"/>
              <w:left w:val="nil"/>
              <w:bottom w:val="single" w:sz="4" w:space="0" w:color="auto"/>
              <w:right w:val="single" w:sz="4" w:space="0" w:color="auto"/>
            </w:tcBorders>
            <w:shd w:val="clear" w:color="auto" w:fill="C6EFCE"/>
            <w:noWrap/>
          </w:tcPr>
          <w:p w14:paraId="22AF9C13"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tcBorders>
              <w:top w:val="nil"/>
              <w:left w:val="nil"/>
              <w:bottom w:val="single" w:sz="4" w:space="0" w:color="auto"/>
              <w:right w:val="single" w:sz="4" w:space="0" w:color="auto"/>
            </w:tcBorders>
            <w:shd w:val="clear" w:color="auto" w:fill="C6EFCE"/>
            <w:noWrap/>
          </w:tcPr>
          <w:p w14:paraId="46033DC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tcBorders>
              <w:top w:val="nil"/>
              <w:left w:val="nil"/>
              <w:bottom w:val="single" w:sz="4" w:space="0" w:color="auto"/>
              <w:right w:val="single" w:sz="4" w:space="0" w:color="auto"/>
            </w:tcBorders>
            <w:shd w:val="clear" w:color="auto" w:fill="C6EFCE"/>
            <w:noWrap/>
          </w:tcPr>
          <w:p w14:paraId="0565A99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tcBorders>
              <w:top w:val="nil"/>
              <w:left w:val="nil"/>
              <w:bottom w:val="single" w:sz="4" w:space="0" w:color="auto"/>
              <w:right w:val="single" w:sz="4" w:space="0" w:color="auto"/>
            </w:tcBorders>
            <w:shd w:val="clear" w:color="auto" w:fill="C6EFCE"/>
            <w:noWrap/>
          </w:tcPr>
          <w:p w14:paraId="2828362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20" w:type="dxa"/>
            <w:tcBorders>
              <w:top w:val="nil"/>
              <w:left w:val="nil"/>
              <w:bottom w:val="single" w:sz="4" w:space="0" w:color="auto"/>
              <w:right w:val="single" w:sz="4" w:space="0" w:color="auto"/>
            </w:tcBorders>
            <w:shd w:val="clear" w:color="auto" w:fill="C6EFCE"/>
            <w:noWrap/>
          </w:tcPr>
          <w:p w14:paraId="29B2AC1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700" w:type="dxa"/>
            <w:tcBorders>
              <w:top w:val="nil"/>
              <w:left w:val="nil"/>
              <w:bottom w:val="single" w:sz="4" w:space="0" w:color="auto"/>
              <w:right w:val="single" w:sz="4" w:space="0" w:color="auto"/>
            </w:tcBorders>
            <w:shd w:val="clear" w:color="auto" w:fill="C6EFCE"/>
            <w:noWrap/>
          </w:tcPr>
          <w:p w14:paraId="4680EF75" w14:textId="77777777" w:rsidR="00302FC1" w:rsidRPr="00AB26B3" w:rsidRDefault="00D64F26">
            <w:pPr>
              <w:spacing w:after="0" w:line="240" w:lineRule="auto"/>
              <w:rPr>
                <w:rFonts w:ascii="Times New Roman" w:eastAsia="Times New Roman" w:hAnsi="Times New Roman" w:cs="Times New Roman"/>
                <w:noProof/>
                <w:color w:val="006100"/>
                <w:spacing w:val="-6"/>
                <w:sz w:val="18"/>
                <w:szCs w:val="18"/>
                <w:lang w:val="sk-SK"/>
              </w:rPr>
            </w:pPr>
            <w:r w:rsidRPr="00AB26B3">
              <w:rPr>
                <w:rFonts w:ascii="Times New Roman" w:hAnsi="Times New Roman" w:cs="Times New Roman"/>
                <w:noProof/>
                <w:color w:val="006100"/>
                <w:spacing w:val="-6"/>
                <w:sz w:val="18"/>
                <w:szCs w:val="18"/>
                <w:lang w:val="sk-SK"/>
              </w:rPr>
              <w:t>Nadobudnutie účinnosti sekundárnych právnych predpisov, ktorými sa spúšťa finančný nástroj, ktorý nie je založený na grantoch.</w:t>
            </w:r>
            <w:r w:rsidRPr="00AB26B3">
              <w:rPr>
                <w:rStyle w:val="Heading1Char"/>
                <w:rFonts w:ascii="Times New Roman" w:eastAsia="Calibri" w:hAnsi="Times New Roman" w:cs="Times New Roman"/>
                <w:noProof/>
                <w:spacing w:val="-6"/>
                <w:sz w:val="18"/>
                <w:szCs w:val="18"/>
                <w:lang w:val="sk-SK"/>
              </w:rPr>
              <w:t xml:space="preserve"> </w:t>
            </w:r>
          </w:p>
        </w:tc>
      </w:tr>
    </w:tbl>
    <w:p w14:paraId="542D64D7" w14:textId="77777777" w:rsidR="00302FC1" w:rsidRPr="00AB26B3" w:rsidRDefault="00302FC1">
      <w:pPr>
        <w:rPr>
          <w:rFonts w:ascii="Times New Roman" w:hAnsi="Times New Roman" w:cs="Times New Roman"/>
          <w:noProof/>
          <w:spacing w:val="-6"/>
          <w:sz w:val="24"/>
          <w:lang w:val="sk-SK"/>
        </w:rPr>
        <w:sectPr w:rsidR="00302FC1" w:rsidRPr="00AB26B3" w:rsidSect="00315FC0">
          <w:headerReference w:type="default" r:id="rId356"/>
          <w:footerReference w:type="default" r:id="rId357"/>
          <w:pgSz w:w="16839" w:h="11907" w:orient="landscape"/>
          <w:pgMar w:top="1134" w:right="1134" w:bottom="1134" w:left="1134" w:header="567" w:footer="355" w:gutter="0"/>
          <w:cols w:space="720"/>
          <w:docGrid w:linePitch="360"/>
        </w:sectPr>
      </w:pPr>
    </w:p>
    <w:p w14:paraId="3C21EF90" w14:textId="59DD970C"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U. ZLOŽKA 5.2: Opatrenia</w:t>
      </w:r>
      <w:r w:rsidR="00AB26B3" w:rsidRPr="00AB26B3">
        <w:rPr>
          <w:noProof/>
          <w:spacing w:val="-6"/>
          <w:lang w:val="sk-SK"/>
        </w:rPr>
        <w:t xml:space="preserve"> v </w:t>
      </w:r>
      <w:r w:rsidRPr="00AB26B3">
        <w:rPr>
          <w:noProof/>
          <w:spacing w:val="-6"/>
          <w:lang w:val="sk-SK"/>
        </w:rPr>
        <w:t>rámci plánu REPowerEU</w:t>
      </w:r>
    </w:p>
    <w:p w14:paraId="7CF0433F" w14:textId="77777777" w:rsidR="00302FC1" w:rsidRPr="00AB26B3" w:rsidRDefault="00302FC1">
      <w:pPr>
        <w:spacing w:before="120" w:after="120" w:line="240" w:lineRule="auto"/>
        <w:jc w:val="both"/>
        <w:rPr>
          <w:rFonts w:ascii="Times New Roman" w:hAnsi="Times New Roman" w:cs="Times New Roman"/>
          <w:b/>
          <w:bCs/>
          <w:noProof/>
          <w:spacing w:val="-6"/>
          <w:sz w:val="24"/>
          <w:u w:val="single"/>
          <w:lang w:val="sk-SK"/>
        </w:rPr>
      </w:pPr>
    </w:p>
    <w:p w14:paraId="2850C338" w14:textId="43CAA90D" w:rsidR="00302FC1" w:rsidRPr="00AB26B3" w:rsidRDefault="00D64F26">
      <w:pPr>
        <w:pStyle w:val="P68B1DB1-Normal6"/>
        <w:spacing w:before="120" w:after="120" w:line="240" w:lineRule="auto"/>
        <w:jc w:val="both"/>
        <w:rPr>
          <w:rFonts w:cs="Times New Roman"/>
          <w:bCs/>
          <w:i/>
          <w:iCs/>
          <w:noProof/>
          <w:color w:val="4F81BD"/>
          <w:spacing w:val="-6"/>
          <w:lang w:val="sk-SK"/>
        </w:rPr>
      </w:pPr>
      <w:r w:rsidRPr="00AB26B3">
        <w:rPr>
          <w:noProof/>
          <w:spacing w:val="-6"/>
          <w:lang w:val="sk-SK"/>
        </w:rPr>
        <w:t>U.1.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3D5E1495" w14:textId="238F347E"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Kapitola REPowerEU obsahuje tri investičné opatrenia na podporu energetickej efektívnosti, zavádzania nových obnoviteľných zdrojov energie, uskladňovania energie</w:t>
      </w:r>
      <w:r w:rsidR="00AB26B3" w:rsidRPr="00AB26B3">
        <w:rPr>
          <w:noProof/>
          <w:spacing w:val="-6"/>
          <w:lang w:val="sk-SK"/>
        </w:rPr>
        <w:t xml:space="preserve"> a </w:t>
      </w:r>
      <w:r w:rsidRPr="00AB26B3">
        <w:rPr>
          <w:noProof/>
          <w:spacing w:val="-6"/>
          <w:lang w:val="sk-SK"/>
        </w:rPr>
        <w:t>zachytávania</w:t>
      </w:r>
      <w:r w:rsidR="00AB26B3" w:rsidRPr="00AB26B3">
        <w:rPr>
          <w:noProof/>
          <w:spacing w:val="-6"/>
          <w:lang w:val="sk-SK"/>
        </w:rPr>
        <w:t xml:space="preserve"> a </w:t>
      </w:r>
      <w:r w:rsidRPr="00AB26B3">
        <w:rPr>
          <w:noProof/>
          <w:spacing w:val="-6"/>
          <w:lang w:val="sk-SK"/>
        </w:rPr>
        <w:t>ukladania oxidu uhličitého vrátane: 1. investícia na podporu energetickej efektívnosti</w:t>
      </w:r>
      <w:r w:rsidR="00AB26B3" w:rsidRPr="00AB26B3">
        <w:rPr>
          <w:noProof/>
          <w:spacing w:val="-6"/>
          <w:lang w:val="sk-SK"/>
        </w:rPr>
        <w:t xml:space="preserve"> a </w:t>
      </w:r>
      <w:r w:rsidRPr="00AB26B3">
        <w:rPr>
          <w:noProof/>
          <w:spacing w:val="-6"/>
          <w:lang w:val="sk-SK"/>
        </w:rPr>
        <w:t>presadzovanie obnoviteľných zdrojov energie na vlastnú spotrebu, ktorá pozostáva</w:t>
      </w:r>
      <w:r w:rsidR="00AB26B3" w:rsidRPr="00AB26B3">
        <w:rPr>
          <w:noProof/>
          <w:spacing w:val="-6"/>
          <w:lang w:val="sk-SK"/>
        </w:rPr>
        <w:t xml:space="preserve"> z </w:t>
      </w:r>
      <w:r w:rsidRPr="00AB26B3">
        <w:rPr>
          <w:noProof/>
          <w:spacing w:val="-6"/>
          <w:lang w:val="sk-SK"/>
        </w:rPr>
        <w:t>piatich čiastkových investícií pokrývajúcich i) energetickú obnovu obytných budov prostredníctvom poskytovania dotácií; II) energetická obnova nebytových verejných</w:t>
      </w:r>
      <w:r w:rsidR="00AB26B3" w:rsidRPr="00AB26B3">
        <w:rPr>
          <w:noProof/>
          <w:spacing w:val="-6"/>
          <w:lang w:val="sk-SK"/>
        </w:rPr>
        <w:t xml:space="preserve"> a </w:t>
      </w:r>
      <w:r w:rsidRPr="00AB26B3">
        <w:rPr>
          <w:noProof/>
          <w:spacing w:val="-6"/>
          <w:lang w:val="sk-SK"/>
        </w:rPr>
        <w:t>súkromných budov prostredníctvom poskytovania dotácií; III) inštalácia fotovoltických systémov na vlastnú spotrebu</w:t>
      </w:r>
      <w:r w:rsidR="00AB26B3" w:rsidRPr="00AB26B3">
        <w:rPr>
          <w:noProof/>
          <w:spacing w:val="-6"/>
          <w:lang w:val="sk-SK"/>
        </w:rPr>
        <w:t xml:space="preserve"> v </w:t>
      </w:r>
      <w:r w:rsidRPr="00AB26B3">
        <w:rPr>
          <w:noProof/>
          <w:spacing w:val="-6"/>
          <w:lang w:val="sk-SK"/>
        </w:rPr>
        <w:t>obytných budovách</w:t>
      </w:r>
      <w:r w:rsidR="00AB26B3" w:rsidRPr="00AB26B3">
        <w:rPr>
          <w:noProof/>
          <w:spacing w:val="-6"/>
          <w:lang w:val="sk-SK"/>
        </w:rPr>
        <w:t xml:space="preserve"> a v </w:t>
      </w:r>
      <w:r w:rsidRPr="00AB26B3">
        <w:rPr>
          <w:noProof/>
          <w:spacing w:val="-6"/>
          <w:lang w:val="sk-SK"/>
        </w:rPr>
        <w:t>odvetví poľnohospodárstva prostredníctvom poskytovania dotácií; IV) podpora obnoviteľných zdrojov energie</w:t>
      </w:r>
      <w:r w:rsidR="00AB26B3" w:rsidRPr="00AB26B3">
        <w:rPr>
          <w:noProof/>
          <w:spacing w:val="-6"/>
          <w:lang w:val="sk-SK"/>
        </w:rPr>
        <w:t xml:space="preserve"> v </w:t>
      </w:r>
      <w:r w:rsidRPr="00AB26B3">
        <w:rPr>
          <w:noProof/>
          <w:spacing w:val="-6"/>
          <w:lang w:val="sk-SK"/>
        </w:rPr>
        <w:t>obytných budovách financovaním inštalácie nových systémov obnoviteľných zdrojov na výrobu teplej vody;</w:t>
      </w:r>
      <w:r w:rsidR="00AB26B3" w:rsidRPr="00AB26B3">
        <w:rPr>
          <w:noProof/>
          <w:spacing w:val="-6"/>
          <w:lang w:val="sk-SK"/>
        </w:rPr>
        <w:t xml:space="preserve"> a </w:t>
      </w:r>
      <w:r w:rsidRPr="00AB26B3">
        <w:rPr>
          <w:noProof/>
          <w:spacing w:val="-6"/>
          <w:lang w:val="sk-SK"/>
        </w:rPr>
        <w:t>v) zlepšenie energetickej efektívnosti obecných vodovodných</w:t>
      </w:r>
      <w:r w:rsidR="00AB26B3" w:rsidRPr="00AB26B3">
        <w:rPr>
          <w:noProof/>
          <w:spacing w:val="-6"/>
          <w:lang w:val="sk-SK"/>
        </w:rPr>
        <w:t xml:space="preserve"> a </w:t>
      </w:r>
      <w:r w:rsidRPr="00AB26B3">
        <w:rPr>
          <w:noProof/>
          <w:spacing w:val="-6"/>
          <w:lang w:val="sk-SK"/>
        </w:rPr>
        <w:t>kanalizačných zariadení; 2. zvýšiť inštaláciu systémov uskladňovania energie</w:t>
      </w:r>
      <w:r w:rsidR="00AB26B3" w:rsidRPr="00AB26B3">
        <w:rPr>
          <w:noProof/>
          <w:spacing w:val="-6"/>
          <w:lang w:val="sk-SK"/>
        </w:rPr>
        <w:t xml:space="preserve"> s </w:t>
      </w:r>
      <w:r w:rsidRPr="00AB26B3">
        <w:rPr>
          <w:noProof/>
          <w:spacing w:val="-6"/>
          <w:lang w:val="sk-SK"/>
        </w:rPr>
        <w:t>cieľom ďalšieho prieniku obnoviteľných zdrojov energie;</w:t>
      </w:r>
      <w:r w:rsidR="00AB26B3" w:rsidRPr="00AB26B3">
        <w:rPr>
          <w:noProof/>
          <w:spacing w:val="-6"/>
          <w:lang w:val="sk-SK"/>
        </w:rPr>
        <w:t xml:space="preserve"> a </w:t>
      </w:r>
      <w:r w:rsidRPr="00AB26B3">
        <w:rPr>
          <w:noProof/>
          <w:spacing w:val="-6"/>
          <w:lang w:val="sk-SK"/>
        </w:rPr>
        <w:t>3. pilotné projekty na výrobu biometánu</w:t>
      </w:r>
      <w:r w:rsidR="00AB26B3" w:rsidRPr="00AB26B3">
        <w:rPr>
          <w:noProof/>
          <w:spacing w:val="-6"/>
          <w:lang w:val="sk-SK"/>
        </w:rPr>
        <w:t xml:space="preserve"> a </w:t>
      </w:r>
      <w:r w:rsidRPr="00AB26B3">
        <w:rPr>
          <w:noProof/>
          <w:spacing w:val="-6"/>
          <w:lang w:val="sk-SK"/>
        </w:rPr>
        <w:t>vodíka</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podporu technológií zachytávania</w:t>
      </w:r>
      <w:r w:rsidR="00AB26B3" w:rsidRPr="00AB26B3">
        <w:rPr>
          <w:noProof/>
          <w:spacing w:val="-6"/>
          <w:lang w:val="sk-SK"/>
        </w:rPr>
        <w:t xml:space="preserve"> a </w:t>
      </w:r>
      <w:r w:rsidRPr="00AB26B3">
        <w:rPr>
          <w:noProof/>
          <w:spacing w:val="-6"/>
          <w:lang w:val="sk-SK"/>
        </w:rPr>
        <w:t>ukladania oxidu uhličitého (CCS)</w:t>
      </w:r>
      <w:r w:rsidR="00AB26B3" w:rsidRPr="00AB26B3">
        <w:rPr>
          <w:noProof/>
          <w:spacing w:val="-6"/>
          <w:lang w:val="sk-SK"/>
        </w:rPr>
        <w:t xml:space="preserve"> v </w:t>
      </w:r>
      <w:r w:rsidRPr="00AB26B3">
        <w:rPr>
          <w:noProof/>
          <w:spacing w:val="-6"/>
          <w:lang w:val="sk-SK"/>
        </w:rPr>
        <w:t>ťažko dekarbonizovateľných odvetviach</w:t>
      </w:r>
      <w:r w:rsidR="00AB26B3" w:rsidRPr="00AB26B3">
        <w:rPr>
          <w:noProof/>
          <w:spacing w:val="-6"/>
          <w:lang w:val="sk-SK"/>
        </w:rPr>
        <w:t xml:space="preserve"> s </w:t>
      </w:r>
      <w:r w:rsidRPr="00AB26B3">
        <w:rPr>
          <w:noProof/>
          <w:spacing w:val="-6"/>
          <w:lang w:val="sk-SK"/>
        </w:rPr>
        <w:t>cieľom podporiť dekarbonizáciu priemyslu.</w:t>
      </w:r>
    </w:p>
    <w:p w14:paraId="5D487EC7"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Inštalácia uskladňovania energie na ďalšie prenikanie OZE (identifikačné číslo opatrenia: 16996)</w:t>
      </w:r>
    </w:p>
    <w:p w14:paraId="413492A7" w14:textId="19755BE9" w:rsidR="00302FC1" w:rsidRPr="00AB26B3" w:rsidRDefault="00D64F26">
      <w:pPr>
        <w:pStyle w:val="P68B1DB1-Normal7"/>
        <w:spacing w:before="120" w:after="120" w:line="240" w:lineRule="auto"/>
        <w:jc w:val="both"/>
        <w:rPr>
          <w:rFonts w:cs="Times New Roman"/>
          <w:noProof/>
          <w:spacing w:val="-6"/>
          <w:lang w:val="sk-SK"/>
        </w:rPr>
      </w:pPr>
      <w:r w:rsidRPr="00AB26B3">
        <w:rPr>
          <w:noProof/>
          <w:spacing w:val="-6"/>
          <w:lang w:val="sk-SK"/>
        </w:rPr>
        <w:t>Cieľom tohto opatrenia je rozšíriť investície: „Podpora inštalácie skladovacích systémov na zvýšenie prieniku OZE“ (ID: 16926)</w:t>
      </w:r>
      <w:r w:rsidR="00AB26B3" w:rsidRPr="00AB26B3">
        <w:rPr>
          <w:noProof/>
          <w:spacing w:val="-6"/>
          <w:lang w:val="sk-SK"/>
        </w:rPr>
        <w:t xml:space="preserve"> v </w:t>
      </w:r>
      <w:r w:rsidRPr="00AB26B3">
        <w:rPr>
          <w:noProof/>
          <w:spacing w:val="-6"/>
          <w:lang w:val="sk-SK"/>
        </w:rPr>
        <w:t>rámci komponentu 1.1 (Power up). Investícia pozostáva</w:t>
      </w:r>
      <w:r w:rsidR="00AB26B3" w:rsidRPr="00AB26B3">
        <w:rPr>
          <w:noProof/>
          <w:spacing w:val="-6"/>
          <w:lang w:val="sk-SK"/>
        </w:rPr>
        <w:t xml:space="preserve"> z </w:t>
      </w:r>
      <w:r w:rsidRPr="00AB26B3">
        <w:rPr>
          <w:noProof/>
          <w:spacing w:val="-6"/>
          <w:lang w:val="sk-SK"/>
        </w:rPr>
        <w:t>vývoja samostatných systémov uskladňovania energie na úrovni sústavy</w:t>
      </w:r>
      <w:r w:rsidR="00AB26B3" w:rsidRPr="00AB26B3">
        <w:rPr>
          <w:noProof/>
          <w:spacing w:val="-6"/>
          <w:lang w:val="sk-SK"/>
        </w:rPr>
        <w:t xml:space="preserve"> a </w:t>
      </w:r>
      <w:r w:rsidRPr="00AB26B3">
        <w:rPr>
          <w:noProof/>
          <w:spacing w:val="-6"/>
          <w:lang w:val="sk-SK"/>
        </w:rPr>
        <w:t>povedie</w:t>
      </w:r>
      <w:r w:rsidR="00AB26B3" w:rsidRPr="00AB26B3">
        <w:rPr>
          <w:noProof/>
          <w:spacing w:val="-6"/>
          <w:lang w:val="sk-SK"/>
        </w:rPr>
        <w:t xml:space="preserve"> k </w:t>
      </w:r>
      <w:r w:rsidRPr="00AB26B3">
        <w:rPr>
          <w:noProof/>
          <w:spacing w:val="-6"/>
          <w:lang w:val="sk-SK"/>
        </w:rPr>
        <w:t>inštalácii ďalších nových zariadení na uskladňovanie energie</w:t>
      </w:r>
      <w:r w:rsidR="00AB26B3" w:rsidRPr="00AB26B3">
        <w:rPr>
          <w:noProof/>
          <w:spacing w:val="-6"/>
          <w:lang w:val="sk-SK"/>
        </w:rPr>
        <w:t xml:space="preserve"> s </w:t>
      </w:r>
      <w:r w:rsidRPr="00AB26B3">
        <w:rPr>
          <w:noProof/>
          <w:spacing w:val="-6"/>
          <w:lang w:val="sk-SK"/>
        </w:rPr>
        <w:t>kapacitou najmenej 175 MW.</w:t>
      </w:r>
    </w:p>
    <w:p w14:paraId="18EADBE6" w14:textId="1760FF2E" w:rsidR="00302FC1" w:rsidRPr="00AB26B3" w:rsidRDefault="00D64F26">
      <w:pPr>
        <w:pStyle w:val="P68B1DB1-Normal5"/>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Energetická efektívnosť</w:t>
      </w:r>
      <w:r w:rsidR="00AB26B3" w:rsidRPr="00AB26B3">
        <w:rPr>
          <w:noProof/>
          <w:spacing w:val="-6"/>
          <w:lang w:val="sk-SK"/>
        </w:rPr>
        <w:t xml:space="preserve"> a </w:t>
      </w:r>
      <w:r w:rsidRPr="00AB26B3">
        <w:rPr>
          <w:noProof/>
          <w:spacing w:val="-6"/>
          <w:lang w:val="sk-SK"/>
        </w:rPr>
        <w:t>podpora obnoviteľných zdrojov energie na vlastnú spotrebu (identifikačné číslo opatrenia: 16994)</w:t>
      </w:r>
    </w:p>
    <w:p w14:paraId="5C6021C2" w14:textId="051BEA2A" w:rsidR="00AB26B3" w:rsidRPr="00AB26B3" w:rsidRDefault="00D64F26">
      <w:pPr>
        <w:pStyle w:val="P68B1DB1-Normal7"/>
        <w:spacing w:before="120" w:after="120" w:line="240" w:lineRule="auto"/>
        <w:jc w:val="both"/>
        <w:rPr>
          <w:noProof/>
          <w:spacing w:val="-6"/>
          <w:lang w:val="sk-SK"/>
        </w:rPr>
      </w:pPr>
      <w:r w:rsidRPr="00AB26B3">
        <w:rPr>
          <w:noProof/>
          <w:spacing w:val="-6"/>
          <w:lang w:val="sk-SK"/>
        </w:rPr>
        <w:t>Cieľom tejto investície je vykonávať intervencie</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energie</w:t>
      </w:r>
      <w:r w:rsidR="00AB26B3" w:rsidRPr="00AB26B3">
        <w:rPr>
          <w:noProof/>
          <w:spacing w:val="-6"/>
          <w:lang w:val="sk-SK"/>
        </w:rPr>
        <w:t xml:space="preserve"> z </w:t>
      </w:r>
      <w:r w:rsidRPr="00AB26B3">
        <w:rPr>
          <w:noProof/>
          <w:spacing w:val="-6"/>
          <w:lang w:val="sk-SK"/>
        </w:rPr>
        <w:t>obnoviteľných zdrojov vo viacerých odvetviach</w:t>
      </w:r>
      <w:r w:rsidR="00AB26B3" w:rsidRPr="00AB26B3">
        <w:rPr>
          <w:noProof/>
          <w:spacing w:val="-6"/>
          <w:lang w:val="sk-SK"/>
        </w:rPr>
        <w:t xml:space="preserve"> s </w:t>
      </w:r>
      <w:r w:rsidRPr="00AB26B3">
        <w:rPr>
          <w:noProof/>
          <w:spacing w:val="-6"/>
          <w:lang w:val="sk-SK"/>
        </w:rPr>
        <w:t>konečnou spotrebou energie. Investícia pozostáva</w:t>
      </w:r>
      <w:r w:rsidR="00AB26B3" w:rsidRPr="00AB26B3">
        <w:rPr>
          <w:noProof/>
          <w:spacing w:val="-6"/>
          <w:lang w:val="sk-SK"/>
        </w:rPr>
        <w:t xml:space="preserve"> z </w:t>
      </w:r>
      <w:r w:rsidRPr="00AB26B3">
        <w:rPr>
          <w:noProof/>
          <w:spacing w:val="-6"/>
          <w:lang w:val="sk-SK"/>
        </w:rPr>
        <w:t>renovácií na zlepšenie energetickej efektívnosti</w:t>
      </w:r>
      <w:r w:rsidR="00AB26B3" w:rsidRPr="00AB26B3">
        <w:rPr>
          <w:noProof/>
          <w:spacing w:val="-6"/>
          <w:lang w:val="sk-SK"/>
        </w:rPr>
        <w:t xml:space="preserve"> a </w:t>
      </w:r>
      <w:r w:rsidRPr="00AB26B3">
        <w:rPr>
          <w:noProof/>
          <w:spacing w:val="-6"/>
          <w:lang w:val="sk-SK"/>
        </w:rPr>
        <w:t>inštalácie fotovoltických systémov, systémov na ohrev vody</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uskladňovania energie</w:t>
      </w:r>
      <w:r w:rsidR="00AB26B3" w:rsidRPr="00AB26B3">
        <w:rPr>
          <w:noProof/>
          <w:spacing w:val="-6"/>
          <w:lang w:val="sk-SK"/>
        </w:rPr>
        <w:t xml:space="preserve"> v </w:t>
      </w:r>
      <w:r w:rsidRPr="00AB26B3">
        <w:rPr>
          <w:noProof/>
          <w:spacing w:val="-6"/>
          <w:lang w:val="sk-SK"/>
        </w:rPr>
        <w:t>batériách</w:t>
      </w:r>
      <w:r w:rsidR="00AB26B3" w:rsidRPr="00AB26B3">
        <w:rPr>
          <w:noProof/>
          <w:spacing w:val="-6"/>
          <w:lang w:val="sk-SK"/>
        </w:rPr>
        <w:t>.</w:t>
      </w:r>
    </w:p>
    <w:p w14:paraId="56C3FE44" w14:textId="3A68AA75" w:rsidR="00302FC1" w:rsidRPr="00AB26B3" w:rsidRDefault="00D64F26">
      <w:pPr>
        <w:pStyle w:val="P68B1DB1-Normal5"/>
        <w:spacing w:before="120" w:after="120" w:line="240" w:lineRule="auto"/>
        <w:jc w:val="both"/>
        <w:rPr>
          <w:rFonts w:cs="Times New Roman"/>
          <w:noProof/>
          <w:spacing w:val="-6"/>
          <w:szCs w:val="24"/>
          <w:lang w:val="sk-SK"/>
        </w:rPr>
      </w:pPr>
      <w:r w:rsidRPr="00AB26B3">
        <w:rPr>
          <w:b/>
          <w:noProof/>
          <w:spacing w:val="-6"/>
          <w:lang w:val="sk-SK"/>
        </w:rPr>
        <w:t>Investície</w:t>
      </w:r>
      <w:r w:rsidRPr="00AB26B3">
        <w:rPr>
          <w:noProof/>
          <w:spacing w:val="-6"/>
          <w:lang w:val="sk-SK"/>
        </w:rPr>
        <w:t>: Projekt výroby obnoviteľného vodíka (identifikačné číslo opatrenia: 16995)</w:t>
      </w:r>
    </w:p>
    <w:p w14:paraId="37FE489A" w14:textId="6B82E370" w:rsidR="00302FC1" w:rsidRPr="00AB26B3" w:rsidRDefault="00D64F26">
      <w:pPr>
        <w:pStyle w:val="P68B1DB1-Normal5"/>
        <w:spacing w:before="120" w:after="120" w:line="240" w:lineRule="auto"/>
        <w:jc w:val="both"/>
        <w:rPr>
          <w:rFonts w:cs="Times New Roman"/>
          <w:noProof/>
          <w:spacing w:val="-6"/>
          <w:szCs w:val="24"/>
          <w:lang w:val="sk-SK"/>
        </w:rPr>
      </w:pPr>
      <w:r w:rsidRPr="00AB26B3">
        <w:rPr>
          <w:noProof/>
          <w:spacing w:val="-6"/>
          <w:lang w:val="sk-SK"/>
        </w:rPr>
        <w:t>Cieľom tejto investície je podporiť výrobu vodíka</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v </w:t>
      </w:r>
      <w:r w:rsidRPr="00AB26B3">
        <w:rPr>
          <w:noProof/>
          <w:spacing w:val="-6"/>
          <w:lang w:val="sk-SK"/>
        </w:rPr>
        <w:t>Grécku poskytovaním finančnej podpory spoločnostiam. Investícia zahŕňa inštaláciu elektrolyzérov, podpornej infraštruktúry</w:t>
      </w:r>
      <w:r w:rsidR="00AB26B3" w:rsidRPr="00AB26B3">
        <w:rPr>
          <w:noProof/>
          <w:spacing w:val="-6"/>
          <w:lang w:val="sk-SK"/>
        </w:rPr>
        <w:t xml:space="preserve"> a </w:t>
      </w:r>
      <w:r w:rsidRPr="00AB26B3">
        <w:rPr>
          <w:noProof/>
          <w:spacing w:val="-6"/>
          <w:lang w:val="sk-SK"/>
        </w:rPr>
        <w:t>vodíkovej siete na prenos</w:t>
      </w:r>
      <w:r w:rsidR="00AB26B3" w:rsidRPr="00AB26B3">
        <w:rPr>
          <w:noProof/>
          <w:spacing w:val="-6"/>
          <w:lang w:val="sk-SK"/>
        </w:rPr>
        <w:t xml:space="preserve"> a </w:t>
      </w:r>
      <w:r w:rsidRPr="00AB26B3">
        <w:rPr>
          <w:noProof/>
          <w:spacing w:val="-6"/>
          <w:lang w:val="sk-SK"/>
        </w:rPr>
        <w:t>distribúciu.</w:t>
      </w:r>
    </w:p>
    <w:p w14:paraId="313403E1" w14:textId="77777777" w:rsidR="00302FC1" w:rsidRPr="00AB26B3" w:rsidRDefault="00302FC1">
      <w:pPr>
        <w:rPr>
          <w:rFonts w:ascii="Times New Roman" w:eastAsia="Times New Roman" w:hAnsi="Times New Roman"/>
          <w:noProof/>
          <w:color w:val="365F91" w:themeColor="accent1" w:themeShade="BF"/>
          <w:spacing w:val="-6"/>
          <w:sz w:val="24"/>
          <w:szCs w:val="24"/>
          <w:lang w:val="sk-SK"/>
        </w:rPr>
        <w:sectPr w:rsidR="00302FC1" w:rsidRPr="00AB26B3" w:rsidSect="00315FC0">
          <w:headerReference w:type="even" r:id="rId358"/>
          <w:headerReference w:type="default" r:id="rId359"/>
          <w:footerReference w:type="even" r:id="rId360"/>
          <w:footerReference w:type="default" r:id="rId361"/>
          <w:headerReference w:type="first" r:id="rId362"/>
          <w:footerReference w:type="first" r:id="rId363"/>
          <w:pgSz w:w="11906" w:h="16838"/>
          <w:pgMar w:top="1417" w:right="1417" w:bottom="1417" w:left="1417" w:header="708" w:footer="708" w:gutter="0"/>
          <w:cols w:space="708"/>
          <w:docGrid w:linePitch="360"/>
        </w:sectPr>
      </w:pPr>
    </w:p>
    <w:p w14:paraId="73B20160" w14:textId="77777777" w:rsidR="00AB26B3" w:rsidRPr="00AB26B3" w:rsidRDefault="00D64F26">
      <w:pPr>
        <w:pStyle w:val="P68B1DB1-Normal17"/>
        <w:keepNext/>
        <w:keepLines/>
        <w:spacing w:before="40" w:after="0" w:line="240" w:lineRule="auto"/>
        <w:jc w:val="both"/>
        <w:outlineLvl w:val="4"/>
        <w:rPr>
          <w:rFonts w:ascii="Times New Roman" w:hAnsi="Times New Roman"/>
          <w:noProof/>
          <w:color w:val="365F91" w:themeColor="accent1" w:themeShade="BF"/>
          <w:spacing w:val="-6"/>
          <w:lang w:val="sk-SK"/>
        </w:rPr>
      </w:pPr>
      <w:r w:rsidRPr="00AB26B3">
        <w:rPr>
          <w:rFonts w:ascii="Times New Roman" w:hAnsi="Times New Roman"/>
          <w:b/>
          <w:noProof/>
          <w:spacing w:val="-6"/>
          <w:u w:val="single"/>
          <w:lang w:val="sk-SK"/>
        </w:rPr>
        <w:t>U.2. Míľniky, ciele, ukazovatele</w:t>
      </w:r>
      <w:r w:rsidR="00AB26B3" w:rsidRPr="00AB26B3">
        <w:rPr>
          <w:rFonts w:ascii="Times New Roman" w:hAnsi="Times New Roman"/>
          <w:b/>
          <w:noProof/>
          <w:spacing w:val="-6"/>
          <w:u w:val="single"/>
          <w:lang w:val="sk-SK"/>
        </w:rPr>
        <w:t xml:space="preserve"> a </w:t>
      </w:r>
      <w:r w:rsidRPr="00AB26B3">
        <w:rPr>
          <w:rFonts w:ascii="Times New Roman" w:hAnsi="Times New Roman"/>
          <w:b/>
          <w:noProof/>
          <w:spacing w:val="-6"/>
          <w:u w:val="single"/>
          <w:lang w:val="sk-SK"/>
        </w:rPr>
        <w:t>harmonogram monitorovania</w:t>
      </w:r>
      <w:r w:rsidR="00AB26B3" w:rsidRPr="00AB26B3">
        <w:rPr>
          <w:rFonts w:ascii="Times New Roman" w:hAnsi="Times New Roman"/>
          <w:b/>
          <w:noProof/>
          <w:spacing w:val="-6"/>
          <w:u w:val="single"/>
          <w:lang w:val="sk-SK"/>
        </w:rPr>
        <w:t xml:space="preserve"> a </w:t>
      </w:r>
      <w:r w:rsidRPr="00AB26B3">
        <w:rPr>
          <w:rFonts w:ascii="Times New Roman" w:hAnsi="Times New Roman"/>
          <w:b/>
          <w:noProof/>
          <w:spacing w:val="-6"/>
          <w:u w:val="single"/>
          <w:lang w:val="sk-SK"/>
        </w:rPr>
        <w:t>realizácie pre nenávratnú finančnú podporu</w:t>
      </w:r>
    </w:p>
    <w:p w14:paraId="49A2D011" w14:textId="306D7F1B" w:rsidR="00302FC1" w:rsidRPr="00AB26B3" w:rsidRDefault="00D64F26">
      <w:pPr>
        <w:pStyle w:val="P68B1DB1-Normal36"/>
        <w:keepNext/>
        <w:keepLines/>
        <w:spacing w:before="240" w:after="0" w:line="240" w:lineRule="auto"/>
        <w:jc w:val="both"/>
        <w:outlineLvl w:val="4"/>
        <w:rPr>
          <w:rFonts w:ascii="Times New Roman" w:eastAsia="Times New Roman" w:hAnsi="Times New Roman"/>
          <w:noProof/>
          <w:color w:val="365F91"/>
          <w:spacing w:val="-6"/>
          <w:lang w:val="sk-SK"/>
        </w:rPr>
      </w:pPr>
      <w:r w:rsidRPr="00AB26B3">
        <w:rPr>
          <w:rFonts w:ascii="Times New Roman" w:hAnsi="Times New Roman"/>
          <w:noProof/>
          <w:spacing w:val="-6"/>
          <w:lang w:val="sk-SK"/>
        </w:rPr>
        <w:t>Investícia 1: Inštalácia uskladňovania energie na ďalšie prenikanie OZE (identifikačné číslo opatrenia: 16996)</w:t>
      </w:r>
    </w:p>
    <w:tbl>
      <w:tblPr>
        <w:tblpPr w:leftFromText="181" w:rightFromText="181" w:vertAnchor="text" w:tblpY="1"/>
        <w:tblOverlap w:val="never"/>
        <w:tblW w:w="14454" w:type="dxa"/>
        <w:tblLayout w:type="fixed"/>
        <w:tblLook w:val="04A0" w:firstRow="1" w:lastRow="0" w:firstColumn="1" w:lastColumn="0" w:noHBand="0" w:noVBand="1"/>
      </w:tblPr>
      <w:tblGrid>
        <w:gridCol w:w="675"/>
        <w:gridCol w:w="2356"/>
        <w:gridCol w:w="1188"/>
        <w:gridCol w:w="992"/>
        <w:gridCol w:w="1547"/>
        <w:gridCol w:w="1022"/>
        <w:gridCol w:w="1022"/>
        <w:gridCol w:w="638"/>
        <w:gridCol w:w="1060"/>
        <w:gridCol w:w="877"/>
        <w:gridCol w:w="3077"/>
      </w:tblGrid>
      <w:tr w:rsidR="00302FC1" w:rsidRPr="00AB26B3" w14:paraId="0AFEB11C" w14:textId="77777777">
        <w:trPr>
          <w:cantSplit/>
          <w:trHeight w:val="300"/>
          <w:tblHeader/>
        </w:trPr>
        <w:tc>
          <w:tcPr>
            <w:tcW w:w="675" w:type="dxa"/>
            <w:vMerge w:val="restart"/>
            <w:tcBorders>
              <w:top w:val="single" w:sz="4" w:space="0" w:color="auto"/>
              <w:left w:val="single" w:sz="4" w:space="0" w:color="auto"/>
              <w:right w:val="single" w:sz="4" w:space="0" w:color="auto"/>
            </w:tcBorders>
            <w:shd w:val="clear" w:color="auto" w:fill="BDD7EE"/>
            <w:vAlign w:val="center"/>
            <w:hideMark/>
          </w:tcPr>
          <w:p w14:paraId="0614E59C" w14:textId="082BA50D" w:rsidR="00302FC1" w:rsidRPr="00AB26B3" w:rsidRDefault="00D64F26">
            <w:pPr>
              <w:pStyle w:val="P68B1DB1-Normal14"/>
              <w:spacing w:before="120" w:after="120" w:line="240" w:lineRule="auto"/>
              <w:jc w:val="center"/>
              <w:rPr>
                <w:noProof/>
                <w:spacing w:val="-6"/>
                <w:lang w:val="sk-SK"/>
              </w:rPr>
            </w:pPr>
            <w:r w:rsidRPr="00AB26B3">
              <w:rPr>
                <w:noProof/>
                <w:spacing w:val="-6"/>
                <w:lang w:val="sk-SK"/>
              </w:rPr>
              <w:t xml:space="preserve">A nasl. </w:t>
            </w:r>
            <w:r w:rsidRPr="00AB26B3">
              <w:rPr>
                <w:noProof/>
                <w:spacing w:val="-6"/>
                <w:lang w:val="sk-SK"/>
              </w:rPr>
              <w:br/>
              <w:t>Nie.</w:t>
            </w:r>
          </w:p>
        </w:tc>
        <w:tc>
          <w:tcPr>
            <w:tcW w:w="2356" w:type="dxa"/>
            <w:vMerge w:val="restart"/>
            <w:tcBorders>
              <w:top w:val="single" w:sz="4" w:space="0" w:color="auto"/>
              <w:left w:val="single" w:sz="4" w:space="0" w:color="auto"/>
              <w:right w:val="single" w:sz="4" w:space="0" w:color="auto"/>
            </w:tcBorders>
            <w:shd w:val="clear" w:color="auto" w:fill="BDD7EE"/>
            <w:vAlign w:val="center"/>
            <w:hideMark/>
          </w:tcPr>
          <w:p w14:paraId="6AB94572" w14:textId="77777777" w:rsidR="00302FC1" w:rsidRPr="00AB26B3" w:rsidRDefault="00D64F26">
            <w:pPr>
              <w:pStyle w:val="P68B1DB1-Normal40"/>
              <w:spacing w:before="120" w:after="120" w:line="240" w:lineRule="auto"/>
              <w:jc w:val="center"/>
              <w:rPr>
                <w:rFonts w:cs="Times New Roman"/>
                <w:noProof/>
                <w:spacing w:val="-6"/>
                <w:lang w:val="sk-SK"/>
              </w:rPr>
            </w:pPr>
            <w:r w:rsidRPr="00AB26B3">
              <w:rPr>
                <w:noProof/>
                <w:spacing w:val="-6"/>
                <w:lang w:val="sk-SK"/>
              </w:rPr>
              <w:t>Súvisiace opatrenie (reforma alebo investícia)</w:t>
            </w:r>
          </w:p>
        </w:tc>
        <w:tc>
          <w:tcPr>
            <w:tcW w:w="1188" w:type="dxa"/>
            <w:vMerge w:val="restart"/>
            <w:tcBorders>
              <w:top w:val="single" w:sz="4" w:space="0" w:color="auto"/>
              <w:left w:val="single" w:sz="4" w:space="0" w:color="auto"/>
              <w:right w:val="single" w:sz="4" w:space="0" w:color="auto"/>
            </w:tcBorders>
            <w:shd w:val="clear" w:color="auto" w:fill="BDD7EE"/>
            <w:vAlign w:val="center"/>
            <w:hideMark/>
          </w:tcPr>
          <w:p w14:paraId="60AA13F5" w14:textId="77777777" w:rsidR="00302FC1" w:rsidRPr="00AB26B3" w:rsidRDefault="00D64F26">
            <w:pPr>
              <w:pStyle w:val="P68B1DB1-Normal40"/>
              <w:spacing w:before="120" w:after="120" w:line="240" w:lineRule="auto"/>
              <w:jc w:val="center"/>
              <w:rPr>
                <w:rFonts w:cs="Times New Roman"/>
                <w:noProof/>
                <w:spacing w:val="-6"/>
                <w:lang w:val="sk-SK"/>
              </w:rPr>
            </w:pPr>
            <w:r w:rsidRPr="00AB26B3">
              <w:rPr>
                <w:noProof/>
                <w:spacing w:val="-6"/>
                <w:lang w:val="sk-SK"/>
              </w:rPr>
              <w:t>Míľnik/cieľ</w:t>
            </w:r>
          </w:p>
        </w:tc>
        <w:tc>
          <w:tcPr>
            <w:tcW w:w="992" w:type="dxa"/>
            <w:vMerge w:val="restart"/>
            <w:tcBorders>
              <w:top w:val="single" w:sz="4" w:space="0" w:color="auto"/>
              <w:left w:val="single" w:sz="4" w:space="0" w:color="auto"/>
              <w:right w:val="single" w:sz="4" w:space="0" w:color="auto"/>
            </w:tcBorders>
            <w:shd w:val="clear" w:color="auto" w:fill="BDD7EE"/>
            <w:vAlign w:val="center"/>
            <w:hideMark/>
          </w:tcPr>
          <w:p w14:paraId="77CC8D45" w14:textId="77777777" w:rsidR="00302FC1" w:rsidRPr="00AB26B3" w:rsidRDefault="00D64F26">
            <w:pPr>
              <w:pStyle w:val="P68B1DB1-Normal40"/>
              <w:spacing w:before="120" w:after="120" w:line="240" w:lineRule="auto"/>
              <w:jc w:val="center"/>
              <w:rPr>
                <w:rFonts w:cs="Times New Roman"/>
                <w:noProof/>
                <w:spacing w:val="-6"/>
                <w:lang w:val="sk-SK"/>
              </w:rPr>
            </w:pPr>
            <w:r w:rsidRPr="00AB26B3">
              <w:rPr>
                <w:noProof/>
                <w:spacing w:val="-6"/>
                <w:lang w:val="sk-SK"/>
              </w:rPr>
              <w:t>Názov</w:t>
            </w:r>
          </w:p>
        </w:tc>
        <w:tc>
          <w:tcPr>
            <w:tcW w:w="1547" w:type="dxa"/>
            <w:vMerge w:val="restart"/>
            <w:tcBorders>
              <w:top w:val="single" w:sz="4" w:space="0" w:color="auto"/>
              <w:left w:val="single" w:sz="4" w:space="0" w:color="auto"/>
              <w:right w:val="single" w:sz="4" w:space="0" w:color="auto"/>
            </w:tcBorders>
            <w:shd w:val="clear" w:color="auto" w:fill="BDD7EE"/>
            <w:vAlign w:val="center"/>
            <w:hideMark/>
          </w:tcPr>
          <w:p w14:paraId="7D548626" w14:textId="77777777" w:rsidR="00302FC1" w:rsidRPr="00AB26B3" w:rsidRDefault="00D64F26">
            <w:pPr>
              <w:pStyle w:val="P68B1DB1-Normal40"/>
              <w:spacing w:before="120" w:after="120" w:line="240" w:lineRule="auto"/>
              <w:jc w:val="center"/>
              <w:rPr>
                <w:rFonts w:cs="Times New Roman"/>
                <w:noProof/>
                <w:spacing w:val="-6"/>
                <w:lang w:val="sk-SK"/>
              </w:rPr>
            </w:pPr>
            <w:r w:rsidRPr="00AB26B3">
              <w:rPr>
                <w:noProof/>
                <w:spacing w:val="-6"/>
                <w:lang w:val="sk-SK"/>
              </w:rPr>
              <w:t>Kvalitatívne ukazovatele (pre míľniky)</w:t>
            </w:r>
          </w:p>
        </w:tc>
        <w:tc>
          <w:tcPr>
            <w:tcW w:w="268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EAB6A33" w14:textId="77777777" w:rsidR="00302FC1" w:rsidRPr="00AB26B3" w:rsidRDefault="00D64F26">
            <w:pPr>
              <w:pStyle w:val="P68B1DB1-Normal40"/>
              <w:spacing w:before="120" w:after="120" w:line="240" w:lineRule="auto"/>
              <w:jc w:val="center"/>
              <w:rPr>
                <w:rFonts w:cs="Times New Roman"/>
                <w:noProof/>
                <w:spacing w:val="-6"/>
                <w:lang w:val="sk-SK"/>
              </w:rPr>
            </w:pPr>
            <w:r w:rsidRPr="00AB26B3">
              <w:rPr>
                <w:noProof/>
                <w:spacing w:val="-6"/>
                <w:lang w:val="sk-SK"/>
              </w:rPr>
              <w:t>Kvantitatívne ukazovatele (pre ciele)</w:t>
            </w:r>
          </w:p>
        </w:tc>
        <w:tc>
          <w:tcPr>
            <w:tcW w:w="1937"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0115ECE4" w14:textId="77777777" w:rsidR="00302FC1" w:rsidRPr="00AB26B3" w:rsidRDefault="00D64F26">
            <w:pPr>
              <w:pStyle w:val="P68B1DB1-Normal40"/>
              <w:spacing w:before="120" w:after="120" w:line="240" w:lineRule="auto"/>
              <w:jc w:val="center"/>
              <w:rPr>
                <w:rFonts w:cs="Times New Roman"/>
                <w:noProof/>
                <w:spacing w:val="-6"/>
                <w:lang w:val="sk-SK"/>
              </w:rPr>
            </w:pPr>
            <w:r w:rsidRPr="00AB26B3">
              <w:rPr>
                <w:noProof/>
                <w:spacing w:val="-6"/>
                <w:lang w:val="sk-SK"/>
              </w:rPr>
              <w:t>Orientačný harmonogram dokončenia</w:t>
            </w:r>
          </w:p>
        </w:tc>
        <w:tc>
          <w:tcPr>
            <w:tcW w:w="3077" w:type="dxa"/>
            <w:vMerge w:val="restart"/>
            <w:tcBorders>
              <w:top w:val="single" w:sz="4" w:space="0" w:color="auto"/>
              <w:left w:val="single" w:sz="4" w:space="0" w:color="auto"/>
              <w:right w:val="single" w:sz="4" w:space="0" w:color="auto"/>
            </w:tcBorders>
            <w:shd w:val="clear" w:color="auto" w:fill="BDD7EE"/>
            <w:vAlign w:val="center"/>
            <w:hideMark/>
          </w:tcPr>
          <w:p w14:paraId="412D8972" w14:textId="48E9931A" w:rsidR="00302FC1" w:rsidRPr="00AB26B3" w:rsidRDefault="00D64F26">
            <w:pPr>
              <w:pStyle w:val="P68B1DB1-Normal40"/>
              <w:spacing w:before="120" w:after="120" w:line="240" w:lineRule="auto"/>
              <w:jc w:val="center"/>
              <w:rPr>
                <w:rFonts w:cs="Times New Roman"/>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57FDEB95" w14:textId="77777777">
        <w:trPr>
          <w:cantSplit/>
          <w:trHeight w:val="300"/>
          <w:tblHeader/>
        </w:trPr>
        <w:tc>
          <w:tcPr>
            <w:tcW w:w="675" w:type="dxa"/>
            <w:vMerge/>
            <w:tcBorders>
              <w:left w:val="single" w:sz="4" w:space="0" w:color="auto"/>
              <w:bottom w:val="single" w:sz="4" w:space="0" w:color="auto"/>
              <w:right w:val="single" w:sz="4" w:space="0" w:color="auto"/>
            </w:tcBorders>
            <w:vAlign w:val="center"/>
          </w:tcPr>
          <w:p w14:paraId="67DD442E"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2356" w:type="dxa"/>
            <w:vMerge/>
            <w:tcBorders>
              <w:left w:val="single" w:sz="4" w:space="0" w:color="auto"/>
              <w:bottom w:val="single" w:sz="4" w:space="0" w:color="auto"/>
              <w:right w:val="single" w:sz="4" w:space="0" w:color="auto"/>
            </w:tcBorders>
            <w:vAlign w:val="center"/>
          </w:tcPr>
          <w:p w14:paraId="2E8D7DB7"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188" w:type="dxa"/>
            <w:vMerge/>
            <w:tcBorders>
              <w:left w:val="single" w:sz="4" w:space="0" w:color="auto"/>
              <w:bottom w:val="single" w:sz="4" w:space="0" w:color="auto"/>
              <w:right w:val="single" w:sz="4" w:space="0" w:color="auto"/>
            </w:tcBorders>
            <w:vAlign w:val="center"/>
          </w:tcPr>
          <w:p w14:paraId="051CA9A1"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992" w:type="dxa"/>
            <w:vMerge/>
            <w:tcBorders>
              <w:left w:val="single" w:sz="4" w:space="0" w:color="auto"/>
              <w:bottom w:val="single" w:sz="4" w:space="0" w:color="auto"/>
              <w:right w:val="single" w:sz="4" w:space="0" w:color="auto"/>
            </w:tcBorders>
            <w:vAlign w:val="center"/>
          </w:tcPr>
          <w:p w14:paraId="37A4384A"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547" w:type="dxa"/>
            <w:vMerge/>
            <w:tcBorders>
              <w:left w:val="single" w:sz="4" w:space="0" w:color="auto"/>
              <w:bottom w:val="single" w:sz="4" w:space="0" w:color="auto"/>
              <w:right w:val="single" w:sz="4" w:space="0" w:color="auto"/>
            </w:tcBorders>
            <w:vAlign w:val="center"/>
          </w:tcPr>
          <w:p w14:paraId="32104E91"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c>
          <w:tcPr>
            <w:tcW w:w="1022" w:type="dxa"/>
            <w:tcBorders>
              <w:left w:val="single" w:sz="4" w:space="0" w:color="auto"/>
              <w:bottom w:val="single" w:sz="4" w:space="0" w:color="auto"/>
              <w:right w:val="single" w:sz="4" w:space="0" w:color="auto"/>
            </w:tcBorders>
            <w:shd w:val="clear" w:color="auto" w:fill="BDD7EE"/>
            <w:vAlign w:val="center"/>
          </w:tcPr>
          <w:p w14:paraId="36A2E8CB" w14:textId="77777777" w:rsidR="00302FC1" w:rsidRPr="00AB26B3" w:rsidRDefault="00D64F26">
            <w:pPr>
              <w:pStyle w:val="P68B1DB1-Normal40"/>
              <w:spacing w:before="120" w:after="120" w:line="240" w:lineRule="auto"/>
              <w:jc w:val="center"/>
              <w:rPr>
                <w:rFonts w:eastAsia="Times New Roman" w:cs="Times New Roman"/>
                <w:bCs/>
                <w:noProof/>
                <w:spacing w:val="-6"/>
                <w:lang w:val="sk-SK"/>
              </w:rPr>
            </w:pPr>
            <w:r w:rsidRPr="00AB26B3">
              <w:rPr>
                <w:noProof/>
                <w:spacing w:val="-6"/>
                <w:lang w:val="sk-SK"/>
              </w:rPr>
              <w:t>Merná jednotka</w:t>
            </w:r>
          </w:p>
        </w:tc>
        <w:tc>
          <w:tcPr>
            <w:tcW w:w="1022" w:type="dxa"/>
            <w:tcBorders>
              <w:left w:val="single" w:sz="4" w:space="0" w:color="auto"/>
              <w:bottom w:val="single" w:sz="4" w:space="0" w:color="auto"/>
              <w:right w:val="single" w:sz="4" w:space="0" w:color="auto"/>
            </w:tcBorders>
            <w:shd w:val="clear" w:color="auto" w:fill="BDD7EE"/>
            <w:vAlign w:val="center"/>
          </w:tcPr>
          <w:p w14:paraId="22C97E9A" w14:textId="77777777" w:rsidR="00302FC1" w:rsidRPr="00AB26B3" w:rsidRDefault="00D64F26">
            <w:pPr>
              <w:pStyle w:val="P68B1DB1-Normal40"/>
              <w:spacing w:before="120" w:after="120" w:line="240" w:lineRule="auto"/>
              <w:jc w:val="center"/>
              <w:rPr>
                <w:rFonts w:eastAsia="Times New Roman" w:cs="Times New Roman"/>
                <w:bCs/>
                <w:noProof/>
                <w:spacing w:val="-6"/>
                <w:lang w:val="sk-SK"/>
              </w:rPr>
            </w:pPr>
            <w:r w:rsidRPr="00AB26B3">
              <w:rPr>
                <w:noProof/>
                <w:spacing w:val="-6"/>
                <w:lang w:val="sk-SK"/>
              </w:rPr>
              <w:t>Základná</w:t>
            </w:r>
          </w:p>
        </w:tc>
        <w:tc>
          <w:tcPr>
            <w:tcW w:w="638" w:type="dxa"/>
            <w:tcBorders>
              <w:top w:val="single" w:sz="4" w:space="0" w:color="auto"/>
              <w:left w:val="nil"/>
              <w:bottom w:val="single" w:sz="4" w:space="0" w:color="auto"/>
              <w:right w:val="single" w:sz="4" w:space="0" w:color="auto"/>
            </w:tcBorders>
            <w:shd w:val="clear" w:color="auto" w:fill="BDD7EE"/>
            <w:vAlign w:val="center"/>
          </w:tcPr>
          <w:p w14:paraId="270A9F08" w14:textId="77777777" w:rsidR="00302FC1" w:rsidRPr="00AB26B3" w:rsidRDefault="00D64F26">
            <w:pPr>
              <w:pStyle w:val="P68B1DB1-Normal40"/>
              <w:spacing w:before="120" w:after="120" w:line="240" w:lineRule="auto"/>
              <w:jc w:val="center"/>
              <w:rPr>
                <w:rFonts w:eastAsia="Times New Roman" w:cs="Times New Roman"/>
                <w:bCs/>
                <w:noProof/>
                <w:spacing w:val="-6"/>
                <w:lang w:val="sk-SK"/>
              </w:rPr>
            </w:pPr>
            <w:r w:rsidRPr="00AB26B3">
              <w:rPr>
                <w:noProof/>
                <w:spacing w:val="-6"/>
                <w:lang w:val="sk-SK"/>
              </w:rPr>
              <w:t>Cieľ</w:t>
            </w:r>
          </w:p>
        </w:tc>
        <w:tc>
          <w:tcPr>
            <w:tcW w:w="1060" w:type="dxa"/>
            <w:tcBorders>
              <w:top w:val="single" w:sz="4" w:space="0" w:color="auto"/>
              <w:left w:val="nil"/>
              <w:bottom w:val="single" w:sz="4" w:space="0" w:color="auto"/>
              <w:right w:val="single" w:sz="4" w:space="0" w:color="auto"/>
            </w:tcBorders>
            <w:shd w:val="clear" w:color="auto" w:fill="BDD7EE"/>
            <w:vAlign w:val="center"/>
          </w:tcPr>
          <w:p w14:paraId="5D83BB83" w14:textId="77777777" w:rsidR="00302FC1" w:rsidRPr="00AB26B3" w:rsidRDefault="00D64F26">
            <w:pPr>
              <w:pStyle w:val="P68B1DB1-Normal40"/>
              <w:spacing w:before="120" w:after="120" w:line="240" w:lineRule="auto"/>
              <w:jc w:val="center"/>
              <w:rPr>
                <w:rFonts w:eastAsia="Times New Roman" w:cs="Times New Roman"/>
                <w:bCs/>
                <w:noProof/>
                <w:spacing w:val="-6"/>
                <w:lang w:val="sk-SK"/>
              </w:rPr>
            </w:pPr>
            <w:r w:rsidRPr="00AB26B3">
              <w:rPr>
                <w:noProof/>
                <w:spacing w:val="-6"/>
                <w:lang w:val="sk-SK"/>
              </w:rPr>
              <w:t>Štvrtina</w:t>
            </w:r>
          </w:p>
        </w:tc>
        <w:tc>
          <w:tcPr>
            <w:tcW w:w="877" w:type="dxa"/>
            <w:tcBorders>
              <w:top w:val="single" w:sz="4" w:space="0" w:color="auto"/>
              <w:left w:val="nil"/>
              <w:bottom w:val="single" w:sz="4" w:space="0" w:color="auto"/>
              <w:right w:val="single" w:sz="4" w:space="0" w:color="auto"/>
            </w:tcBorders>
            <w:shd w:val="clear" w:color="auto" w:fill="BDD7EE"/>
            <w:vAlign w:val="center"/>
          </w:tcPr>
          <w:p w14:paraId="21BD86FB" w14:textId="77777777" w:rsidR="00302FC1" w:rsidRPr="00AB26B3" w:rsidRDefault="00D64F26">
            <w:pPr>
              <w:pStyle w:val="P68B1DB1-Normal40"/>
              <w:spacing w:before="120" w:after="120" w:line="240" w:lineRule="auto"/>
              <w:jc w:val="center"/>
              <w:rPr>
                <w:rFonts w:eastAsia="Times New Roman" w:cs="Times New Roman"/>
                <w:bCs/>
                <w:noProof/>
                <w:spacing w:val="-6"/>
                <w:lang w:val="sk-SK"/>
              </w:rPr>
            </w:pPr>
            <w:r w:rsidRPr="00AB26B3">
              <w:rPr>
                <w:noProof/>
                <w:spacing w:val="-6"/>
                <w:lang w:val="sk-SK"/>
              </w:rPr>
              <w:t>Rok</w:t>
            </w:r>
          </w:p>
        </w:tc>
        <w:tc>
          <w:tcPr>
            <w:tcW w:w="3077" w:type="dxa"/>
            <w:vMerge/>
            <w:tcBorders>
              <w:right w:val="single" w:sz="4" w:space="0" w:color="auto"/>
            </w:tcBorders>
            <w:vAlign w:val="center"/>
          </w:tcPr>
          <w:p w14:paraId="7EEFFE5B" w14:textId="77777777" w:rsidR="00302FC1" w:rsidRPr="00AB26B3" w:rsidRDefault="00302FC1">
            <w:pPr>
              <w:spacing w:before="120" w:after="120" w:line="240" w:lineRule="auto"/>
              <w:jc w:val="center"/>
              <w:rPr>
                <w:rFonts w:ascii="Times New Roman" w:eastAsia="Times New Roman" w:hAnsi="Times New Roman" w:cs="Times New Roman"/>
                <w:b/>
                <w:bCs/>
                <w:noProof/>
                <w:spacing w:val="-6"/>
                <w:sz w:val="18"/>
                <w:szCs w:val="18"/>
                <w:lang w:val="sk-SK"/>
              </w:rPr>
            </w:pPr>
          </w:p>
        </w:tc>
      </w:tr>
      <w:tr w:rsidR="00302FC1" w:rsidRPr="00AB26B3" w14:paraId="3247B7BA" w14:textId="77777777">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43439D2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365</w:t>
            </w:r>
          </w:p>
        </w:tc>
        <w:tc>
          <w:tcPr>
            <w:tcW w:w="2356" w:type="dxa"/>
            <w:tcBorders>
              <w:top w:val="single" w:sz="4" w:space="0" w:color="auto"/>
              <w:left w:val="nil"/>
              <w:bottom w:val="single" w:sz="4" w:space="0" w:color="auto"/>
              <w:right w:val="single" w:sz="4" w:space="0" w:color="auto"/>
            </w:tcBorders>
            <w:shd w:val="clear" w:color="auto" w:fill="C6EFCE"/>
            <w:noWrap/>
          </w:tcPr>
          <w:p w14:paraId="13F0BBD6" w14:textId="4AEB3240"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16996_Inštalácia uskladňovania energie na účely ďalšieho prieniku OZE</w:t>
            </w:r>
          </w:p>
        </w:tc>
        <w:tc>
          <w:tcPr>
            <w:tcW w:w="1188" w:type="dxa"/>
            <w:tcBorders>
              <w:top w:val="single" w:sz="4" w:space="0" w:color="auto"/>
              <w:left w:val="nil"/>
              <w:bottom w:val="single" w:sz="4" w:space="0" w:color="auto"/>
              <w:right w:val="single" w:sz="4" w:space="0" w:color="auto"/>
            </w:tcBorders>
            <w:shd w:val="clear" w:color="auto" w:fill="C6EFCE"/>
            <w:noWrap/>
          </w:tcPr>
          <w:p w14:paraId="1562ABF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992" w:type="dxa"/>
            <w:tcBorders>
              <w:top w:val="single" w:sz="4" w:space="0" w:color="auto"/>
              <w:left w:val="nil"/>
              <w:bottom w:val="single" w:sz="4" w:space="0" w:color="auto"/>
              <w:right w:val="single" w:sz="4" w:space="0" w:color="auto"/>
            </w:tcBorders>
            <w:shd w:val="clear" w:color="auto" w:fill="C6EFCE"/>
            <w:noWrap/>
          </w:tcPr>
          <w:p w14:paraId="056C683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Schválené projekty uskladňovania energie</w:t>
            </w:r>
          </w:p>
        </w:tc>
        <w:tc>
          <w:tcPr>
            <w:tcW w:w="1547" w:type="dxa"/>
            <w:tcBorders>
              <w:top w:val="single" w:sz="4" w:space="0" w:color="auto"/>
              <w:left w:val="nil"/>
              <w:bottom w:val="single" w:sz="4" w:space="0" w:color="auto"/>
              <w:right w:val="single" w:sz="4" w:space="0" w:color="auto"/>
            </w:tcBorders>
            <w:shd w:val="clear" w:color="auto" w:fill="C6EFCE"/>
            <w:noWrap/>
          </w:tcPr>
          <w:p w14:paraId="2AE7E4DF" w14:textId="63AFE7B9"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Rozhodnutie</w:t>
            </w:r>
            <w:r w:rsidR="00AB26B3" w:rsidRPr="00AB26B3">
              <w:rPr>
                <w:noProof/>
                <w:spacing w:val="-6"/>
                <w:lang w:val="sk-SK"/>
              </w:rPr>
              <w:t xml:space="preserve"> o </w:t>
            </w:r>
            <w:r w:rsidRPr="00AB26B3">
              <w:rPr>
                <w:noProof/>
                <w:spacing w:val="-6"/>
                <w:lang w:val="sk-SK"/>
              </w:rPr>
              <w:t>schválení</w:t>
            </w:r>
          </w:p>
        </w:tc>
        <w:tc>
          <w:tcPr>
            <w:tcW w:w="1022" w:type="dxa"/>
            <w:tcBorders>
              <w:top w:val="single" w:sz="4" w:space="0" w:color="auto"/>
              <w:left w:val="nil"/>
              <w:bottom w:val="single" w:sz="4" w:space="0" w:color="auto"/>
              <w:right w:val="single" w:sz="4" w:space="0" w:color="auto"/>
            </w:tcBorders>
            <w:shd w:val="clear" w:color="auto" w:fill="C6EFCE"/>
            <w:noWrap/>
          </w:tcPr>
          <w:p w14:paraId="1D440A64"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1022" w:type="dxa"/>
            <w:tcBorders>
              <w:top w:val="single" w:sz="4" w:space="0" w:color="auto"/>
              <w:left w:val="nil"/>
              <w:bottom w:val="single" w:sz="4" w:space="0" w:color="auto"/>
              <w:right w:val="single" w:sz="4" w:space="0" w:color="auto"/>
            </w:tcBorders>
            <w:shd w:val="clear" w:color="auto" w:fill="C6EFCE"/>
            <w:noWrap/>
          </w:tcPr>
          <w:p w14:paraId="564F6DD3"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638" w:type="dxa"/>
            <w:tcBorders>
              <w:top w:val="single" w:sz="4" w:space="0" w:color="auto"/>
              <w:left w:val="nil"/>
              <w:bottom w:val="single" w:sz="4" w:space="0" w:color="auto"/>
              <w:right w:val="single" w:sz="4" w:space="0" w:color="auto"/>
            </w:tcBorders>
            <w:shd w:val="clear" w:color="auto" w:fill="C6EFCE"/>
            <w:noWrap/>
          </w:tcPr>
          <w:p w14:paraId="40352D24"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tc>
        <w:tc>
          <w:tcPr>
            <w:tcW w:w="1060" w:type="dxa"/>
            <w:tcBorders>
              <w:top w:val="nil"/>
              <w:left w:val="nil"/>
              <w:bottom w:val="single" w:sz="4" w:space="0" w:color="auto"/>
              <w:right w:val="single" w:sz="4" w:space="0" w:color="auto"/>
            </w:tcBorders>
            <w:shd w:val="clear" w:color="auto" w:fill="C6EFCE"/>
            <w:noWrap/>
          </w:tcPr>
          <w:p w14:paraId="531190B9"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ŠTVRŤROK</w:t>
            </w:r>
          </w:p>
        </w:tc>
        <w:tc>
          <w:tcPr>
            <w:tcW w:w="877" w:type="dxa"/>
            <w:tcBorders>
              <w:top w:val="nil"/>
              <w:left w:val="nil"/>
              <w:bottom w:val="single" w:sz="4" w:space="0" w:color="auto"/>
              <w:right w:val="single" w:sz="4" w:space="0" w:color="auto"/>
            </w:tcBorders>
            <w:shd w:val="clear" w:color="auto" w:fill="C6EFCE"/>
            <w:noWrap/>
          </w:tcPr>
          <w:p w14:paraId="63E9F075" w14:textId="77777777" w:rsidR="00302FC1" w:rsidRPr="00AB26B3" w:rsidRDefault="00D64F26">
            <w:pPr>
              <w:pStyle w:val="P68B1DB1-Normal12"/>
              <w:spacing w:after="120" w:line="240" w:lineRule="auto"/>
              <w:rPr>
                <w:rFonts w:eastAsia="Times New Roman"/>
                <w:noProof/>
                <w:spacing w:val="-6"/>
                <w:lang w:val="sk-SK"/>
              </w:rPr>
            </w:pPr>
            <w:r w:rsidRPr="00AB26B3">
              <w:rPr>
                <w:noProof/>
                <w:spacing w:val="-6"/>
                <w:lang w:val="sk-SK"/>
              </w:rPr>
              <w:t>2024</w:t>
            </w:r>
          </w:p>
        </w:tc>
        <w:tc>
          <w:tcPr>
            <w:tcW w:w="3077" w:type="dxa"/>
            <w:tcBorders>
              <w:top w:val="single" w:sz="4" w:space="0" w:color="auto"/>
              <w:left w:val="nil"/>
              <w:bottom w:val="single" w:sz="4" w:space="0" w:color="auto"/>
              <w:right w:val="single" w:sz="4" w:space="0" w:color="auto"/>
            </w:tcBorders>
            <w:shd w:val="clear" w:color="auto" w:fill="C6EFCE"/>
            <w:noWrap/>
          </w:tcPr>
          <w:p w14:paraId="20BA9DE2" w14:textId="216D635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Uverejnenie rozhodnutia RAAWW</w:t>
            </w:r>
            <w:r w:rsidR="00AB26B3" w:rsidRPr="00AB26B3">
              <w:rPr>
                <w:noProof/>
                <w:spacing w:val="-6"/>
                <w:lang w:val="sk-SK"/>
              </w:rPr>
              <w:t xml:space="preserve"> o </w:t>
            </w:r>
            <w:r w:rsidRPr="00AB26B3">
              <w:rPr>
                <w:noProof/>
                <w:spacing w:val="-6"/>
                <w:lang w:val="sk-SK"/>
              </w:rPr>
              <w:t>schválení projektov</w:t>
            </w:r>
            <w:r w:rsidR="00AB26B3" w:rsidRPr="00AB26B3">
              <w:rPr>
                <w:noProof/>
                <w:spacing w:val="-6"/>
                <w:lang w:val="sk-SK"/>
              </w:rPr>
              <w:t xml:space="preserve"> s </w:t>
            </w:r>
            <w:r w:rsidRPr="00AB26B3">
              <w:rPr>
                <w:noProof/>
                <w:spacing w:val="-6"/>
                <w:lang w:val="sk-SK"/>
              </w:rPr>
              <w:t xml:space="preserve">celkovým inštalovaným uskladňovacím výkonom 175 MW elektrickej energie. </w:t>
            </w:r>
          </w:p>
        </w:tc>
      </w:tr>
    </w:tbl>
    <w:p w14:paraId="04601F22" w14:textId="77777777" w:rsidR="00302FC1" w:rsidRPr="00AB26B3" w:rsidRDefault="00302FC1">
      <w:pPr>
        <w:rPr>
          <w:rFonts w:ascii="Times New Roman" w:hAnsi="Times New Roman"/>
          <w:noProof/>
          <w:spacing w:val="-6"/>
          <w:lang w:val="sk-SK"/>
        </w:rPr>
      </w:pPr>
    </w:p>
    <w:p w14:paraId="7697168B" w14:textId="77777777" w:rsidR="00302FC1" w:rsidRPr="00AB26B3" w:rsidRDefault="00D64F26">
      <w:pPr>
        <w:rPr>
          <w:rFonts w:ascii="Times New Roman" w:hAnsi="Times New Roman"/>
          <w:noProof/>
          <w:spacing w:val="-6"/>
          <w:lang w:val="sk-SK"/>
        </w:rPr>
      </w:pPr>
      <w:r w:rsidRPr="00AB26B3">
        <w:rPr>
          <w:rFonts w:ascii="Times New Roman" w:hAnsi="Times New Roman"/>
          <w:noProof/>
          <w:spacing w:val="-6"/>
          <w:lang w:val="sk-SK"/>
        </w:rPr>
        <w:br w:type="page"/>
      </w:r>
    </w:p>
    <w:p w14:paraId="0AE25025" w14:textId="4CA8D6B7" w:rsidR="00302FC1" w:rsidRPr="00AB26B3" w:rsidRDefault="00D64F26">
      <w:pPr>
        <w:pStyle w:val="P68B1DB1-Normal9"/>
        <w:keepNext/>
        <w:keepLines/>
        <w:spacing w:before="240" w:after="24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Investícia 2: Energetická efektívnosť</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podpora obnoviteľných zdrojov energie na vlastnú spotrebu (identifikačné číslo opatrenia: 16994)</w:t>
      </w:r>
    </w:p>
    <w:tbl>
      <w:tblPr>
        <w:tblpPr w:leftFromText="180" w:rightFromText="180" w:vertAnchor="text" w:tblpX="113" w:tblpY="1"/>
        <w:tblOverlap w:val="never"/>
        <w:tblW w:w="14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52"/>
        <w:gridCol w:w="1138"/>
        <w:gridCol w:w="1230"/>
        <w:gridCol w:w="1282"/>
        <w:gridCol w:w="1292"/>
        <w:gridCol w:w="906"/>
        <w:gridCol w:w="1191"/>
        <w:gridCol w:w="1115"/>
        <w:gridCol w:w="953"/>
        <w:gridCol w:w="2688"/>
      </w:tblGrid>
      <w:tr w:rsidR="00302FC1" w:rsidRPr="00AB26B3" w14:paraId="41B23E09" w14:textId="77777777">
        <w:trPr>
          <w:cantSplit/>
          <w:trHeight w:val="983"/>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7294A80" w14:textId="5698EAD8" w:rsidR="00302FC1" w:rsidRPr="00AB26B3" w:rsidRDefault="00D64F26">
            <w:pPr>
              <w:pStyle w:val="P68B1DB1-Normal14"/>
              <w:spacing w:after="0" w:line="240" w:lineRule="auto"/>
              <w:jc w:val="center"/>
              <w:rPr>
                <w:rFonts w:eastAsia="Times New Roman"/>
                <w:noProof/>
                <w:color w:val="006100"/>
                <w:spacing w:val="-6"/>
                <w:lang w:val="sk-SK"/>
              </w:rPr>
            </w:pPr>
            <w:r w:rsidRPr="00AB26B3">
              <w:rPr>
                <w:noProof/>
                <w:spacing w:val="-6"/>
                <w:lang w:val="sk-SK"/>
              </w:rPr>
              <w:t xml:space="preserve">A nasl. </w:t>
            </w:r>
            <w:r w:rsidRPr="00AB26B3">
              <w:rPr>
                <w:noProof/>
                <w:spacing w:val="-6"/>
                <w:lang w:val="sk-SK"/>
              </w:rPr>
              <w:br/>
              <w:t>Nie.</w:t>
            </w:r>
          </w:p>
        </w:tc>
        <w:tc>
          <w:tcPr>
            <w:tcW w:w="24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761BC6AC"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Súvisiace opatrenie (reforma alebo investícia)</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2A19AD7"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Míľnik/cieľ</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CBDE261"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Názov</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0BA26687" w14:textId="3590A73E"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Kvalitatívne ukazovatele (pre míľniky)</w:t>
            </w:r>
          </w:p>
        </w:tc>
        <w:tc>
          <w:tcPr>
            <w:tcW w:w="323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704400DD"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Kvantitatívne ukazovatele (pre ciele)</w:t>
            </w:r>
          </w:p>
        </w:tc>
        <w:tc>
          <w:tcPr>
            <w:tcW w:w="180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7BE2047C" w14:textId="77777777"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Orientačný harmonogram dokončenia</w:t>
            </w:r>
          </w:p>
        </w:tc>
        <w:tc>
          <w:tcPr>
            <w:tcW w:w="269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8D2FFF6" w14:textId="72ACBAF8" w:rsidR="00302FC1" w:rsidRPr="00AB26B3" w:rsidRDefault="00D64F26">
            <w:pPr>
              <w:pStyle w:val="P68B1DB1-Normal10"/>
              <w:spacing w:after="0" w:line="240" w:lineRule="auto"/>
              <w:jc w:val="center"/>
              <w:rPr>
                <w:rFonts w:eastAsia="Times New Roman" w:cs="Times New Roman"/>
                <w:noProof/>
                <w:color w:val="006100"/>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24E61FCA" w14:textId="77777777">
        <w:trPr>
          <w:cantSplit/>
          <w:trHeight w:val="557"/>
          <w:tblHeader/>
        </w:trPr>
        <w:tc>
          <w:tcPr>
            <w:tcW w:w="534" w:type="dxa"/>
            <w:vMerge/>
            <w:tcBorders>
              <w:top w:val="single" w:sz="4" w:space="0" w:color="auto"/>
              <w:left w:val="single" w:sz="4" w:space="0" w:color="auto"/>
            </w:tcBorders>
            <w:noWrap/>
            <w:vAlign w:val="center"/>
          </w:tcPr>
          <w:p w14:paraId="6E02A58D"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461" w:type="dxa"/>
            <w:vMerge/>
            <w:tcBorders>
              <w:top w:val="single" w:sz="4" w:space="0" w:color="auto"/>
            </w:tcBorders>
            <w:noWrap/>
            <w:vAlign w:val="center"/>
          </w:tcPr>
          <w:p w14:paraId="7695FA9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42" w:type="dxa"/>
            <w:vMerge/>
            <w:tcBorders>
              <w:top w:val="single" w:sz="4" w:space="0" w:color="auto"/>
            </w:tcBorders>
            <w:noWrap/>
            <w:vAlign w:val="center"/>
          </w:tcPr>
          <w:p w14:paraId="72BB9A7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34" w:type="dxa"/>
            <w:vMerge/>
            <w:tcBorders>
              <w:top w:val="single" w:sz="4" w:space="0" w:color="auto"/>
            </w:tcBorders>
            <w:noWrap/>
            <w:vAlign w:val="center"/>
          </w:tcPr>
          <w:p w14:paraId="2221D42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86" w:type="dxa"/>
            <w:vMerge/>
            <w:tcBorders>
              <w:top w:val="single" w:sz="4" w:space="0" w:color="auto"/>
            </w:tcBorders>
            <w:noWrap/>
            <w:vAlign w:val="center"/>
          </w:tcPr>
          <w:p w14:paraId="06D5691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152" w:type="dxa"/>
            <w:tcBorders>
              <w:top w:val="single" w:sz="4" w:space="0" w:color="auto"/>
            </w:tcBorders>
            <w:shd w:val="clear" w:color="auto" w:fill="B8CCE4" w:themeFill="accent1" w:themeFillTint="66"/>
            <w:noWrap/>
            <w:vAlign w:val="center"/>
          </w:tcPr>
          <w:p w14:paraId="442D474F"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Merná jednotka</w:t>
            </w:r>
          </w:p>
        </w:tc>
        <w:tc>
          <w:tcPr>
            <w:tcW w:w="885" w:type="dxa"/>
            <w:tcBorders>
              <w:top w:val="single" w:sz="4" w:space="0" w:color="auto"/>
            </w:tcBorders>
            <w:shd w:val="clear" w:color="auto" w:fill="B8CCE4" w:themeFill="accent1" w:themeFillTint="66"/>
            <w:vAlign w:val="center"/>
          </w:tcPr>
          <w:p w14:paraId="18158522"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Základná</w:t>
            </w:r>
          </w:p>
        </w:tc>
        <w:tc>
          <w:tcPr>
            <w:tcW w:w="1195" w:type="dxa"/>
            <w:tcBorders>
              <w:top w:val="single" w:sz="4" w:space="0" w:color="auto"/>
            </w:tcBorders>
            <w:shd w:val="clear" w:color="auto" w:fill="B8CCE4" w:themeFill="accent1" w:themeFillTint="66"/>
            <w:vAlign w:val="center"/>
          </w:tcPr>
          <w:p w14:paraId="0CA11E4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Cieľ</w:t>
            </w:r>
          </w:p>
        </w:tc>
        <w:tc>
          <w:tcPr>
            <w:tcW w:w="846" w:type="dxa"/>
            <w:tcBorders>
              <w:top w:val="single" w:sz="4" w:space="0" w:color="auto"/>
            </w:tcBorders>
            <w:shd w:val="clear" w:color="auto" w:fill="B8CCE4" w:themeFill="accent1" w:themeFillTint="66"/>
            <w:noWrap/>
            <w:vAlign w:val="center"/>
          </w:tcPr>
          <w:p w14:paraId="1C12603C"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Štvrtina</w:t>
            </w:r>
          </w:p>
        </w:tc>
        <w:tc>
          <w:tcPr>
            <w:tcW w:w="956" w:type="dxa"/>
            <w:tcBorders>
              <w:top w:val="single" w:sz="4" w:space="0" w:color="auto"/>
            </w:tcBorders>
            <w:shd w:val="clear" w:color="auto" w:fill="B8CCE4" w:themeFill="accent1" w:themeFillTint="66"/>
            <w:vAlign w:val="center"/>
          </w:tcPr>
          <w:p w14:paraId="08028F41" w14:textId="77777777" w:rsidR="00302FC1" w:rsidRPr="00AB26B3" w:rsidRDefault="00D64F26">
            <w:pPr>
              <w:pStyle w:val="P68B1DB1-Normal10"/>
              <w:spacing w:after="0" w:line="240" w:lineRule="auto"/>
              <w:jc w:val="center"/>
              <w:rPr>
                <w:rFonts w:eastAsia="Times New Roman" w:cs="Times New Roman"/>
                <w:bCs/>
                <w:noProof/>
                <w:spacing w:val="-6"/>
                <w:szCs w:val="18"/>
                <w:lang w:val="sk-SK"/>
              </w:rPr>
            </w:pPr>
            <w:r w:rsidRPr="00AB26B3">
              <w:rPr>
                <w:noProof/>
                <w:spacing w:val="-6"/>
                <w:lang w:val="sk-SK"/>
              </w:rPr>
              <w:t>Rok</w:t>
            </w:r>
          </w:p>
        </w:tc>
        <w:tc>
          <w:tcPr>
            <w:tcW w:w="2698" w:type="dxa"/>
            <w:vMerge/>
            <w:tcBorders>
              <w:top w:val="single" w:sz="4" w:space="0" w:color="auto"/>
              <w:bottom w:val="single" w:sz="4" w:space="0" w:color="auto"/>
              <w:right w:val="single" w:sz="4" w:space="0" w:color="auto"/>
            </w:tcBorders>
            <w:noWrap/>
          </w:tcPr>
          <w:p w14:paraId="653E5F97"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5E8FED3D" w14:textId="77777777">
        <w:trPr>
          <w:trHeight w:val="300"/>
        </w:trPr>
        <w:tc>
          <w:tcPr>
            <w:tcW w:w="534" w:type="dxa"/>
            <w:tcBorders>
              <w:left w:val="single" w:sz="4" w:space="0" w:color="auto"/>
            </w:tcBorders>
            <w:shd w:val="clear" w:color="auto" w:fill="C6EFCE"/>
            <w:noWrap/>
          </w:tcPr>
          <w:p w14:paraId="2B5E4C7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367</w:t>
            </w:r>
          </w:p>
        </w:tc>
        <w:tc>
          <w:tcPr>
            <w:tcW w:w="2461" w:type="dxa"/>
            <w:shd w:val="clear" w:color="auto" w:fill="C6EFCE"/>
            <w:noWrap/>
          </w:tcPr>
          <w:p w14:paraId="5BA95BE2" w14:textId="40E57F2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16994_Energetická efektívnosť</w:t>
            </w:r>
            <w:r w:rsidR="00AB26B3" w:rsidRPr="00AB26B3">
              <w:rPr>
                <w:noProof/>
                <w:spacing w:val="-6"/>
                <w:lang w:val="sk-SK"/>
              </w:rPr>
              <w:t xml:space="preserve"> a </w:t>
            </w:r>
            <w:r w:rsidRPr="00AB26B3">
              <w:rPr>
                <w:noProof/>
                <w:spacing w:val="-6"/>
                <w:lang w:val="sk-SK"/>
              </w:rPr>
              <w:t xml:space="preserve">podpora obnoviteľných zdrojov energie na vlastnú spotrebu </w:t>
            </w:r>
          </w:p>
        </w:tc>
        <w:tc>
          <w:tcPr>
            <w:tcW w:w="1142" w:type="dxa"/>
            <w:shd w:val="clear" w:color="auto" w:fill="C6EFCE"/>
            <w:noWrap/>
          </w:tcPr>
          <w:p w14:paraId="0B36CC5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34" w:type="dxa"/>
            <w:shd w:val="clear" w:color="auto" w:fill="C6EFCE"/>
            <w:noWrap/>
          </w:tcPr>
          <w:p w14:paraId="5049D3E9"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Spustenie podporných programov</w:t>
            </w:r>
          </w:p>
        </w:tc>
        <w:tc>
          <w:tcPr>
            <w:tcW w:w="1286" w:type="dxa"/>
            <w:shd w:val="clear" w:color="auto" w:fill="C6EFCE"/>
            <w:noWrap/>
          </w:tcPr>
          <w:p w14:paraId="3B53753A"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52" w:type="dxa"/>
            <w:shd w:val="clear" w:color="auto" w:fill="C6EFCE"/>
            <w:noWrap/>
          </w:tcPr>
          <w:p w14:paraId="0BC4F4E9"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85" w:type="dxa"/>
            <w:shd w:val="clear" w:color="auto" w:fill="C6EFCE"/>
            <w:noWrap/>
          </w:tcPr>
          <w:p w14:paraId="1DF44306"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95" w:type="dxa"/>
            <w:shd w:val="clear" w:color="auto" w:fill="C6EFCE"/>
            <w:noWrap/>
          </w:tcPr>
          <w:p w14:paraId="3EBBEF62"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4ADB50E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56" w:type="dxa"/>
            <w:shd w:val="clear" w:color="auto" w:fill="C6EFCE"/>
            <w:noWrap/>
          </w:tcPr>
          <w:p w14:paraId="5ABB80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2023</w:t>
            </w:r>
          </w:p>
        </w:tc>
        <w:tc>
          <w:tcPr>
            <w:tcW w:w="2698" w:type="dxa"/>
            <w:tcBorders>
              <w:bottom w:val="single" w:sz="4" w:space="0" w:color="auto"/>
              <w:right w:val="single" w:sz="4" w:space="0" w:color="auto"/>
            </w:tcBorders>
            <w:shd w:val="clear" w:color="auto" w:fill="C6EFCE"/>
            <w:noWrap/>
          </w:tcPr>
          <w:p w14:paraId="647059C7" w14:textId="77777777" w:rsidR="00AB26B3" w:rsidRPr="00AB26B3" w:rsidRDefault="00D64F26">
            <w:pPr>
              <w:pStyle w:val="P68B1DB1-Normal12"/>
              <w:spacing w:after="0" w:line="240" w:lineRule="auto"/>
              <w:rPr>
                <w:noProof/>
                <w:spacing w:val="-6"/>
                <w:lang w:val="sk-SK"/>
              </w:rPr>
            </w:pPr>
            <w:r w:rsidRPr="00AB26B3">
              <w:rPr>
                <w:noProof/>
                <w:spacing w:val="-6"/>
                <w:lang w:val="sk-SK"/>
              </w:rPr>
              <w:t>Nadobudnutie účinnosti ministerského rozhodnutia, ktorým sa začínajú tieto podporné programy</w:t>
            </w:r>
            <w:r w:rsidR="00AB26B3" w:rsidRPr="00AB26B3">
              <w:rPr>
                <w:noProof/>
                <w:spacing w:val="-6"/>
                <w:lang w:val="sk-SK"/>
              </w:rPr>
              <w:t>:</w:t>
            </w:r>
          </w:p>
          <w:p w14:paraId="2DE91295" w14:textId="38EFD94E"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p w14:paraId="617AAF20" w14:textId="500FAFF9" w:rsidR="00302FC1" w:rsidRPr="00AB26B3" w:rsidRDefault="00D64F26">
            <w:pPr>
              <w:pStyle w:val="P68B1DB1-ListParagraph19"/>
              <w:numPr>
                <w:ilvl w:val="0"/>
                <w:numId w:val="83"/>
              </w:numPr>
              <w:spacing w:after="0" w:line="240" w:lineRule="auto"/>
              <w:rPr>
                <w:rFonts w:eastAsia="Times New Roman"/>
                <w:noProof/>
                <w:spacing w:val="-6"/>
                <w:lang w:val="sk-SK"/>
              </w:rPr>
            </w:pPr>
            <w:r w:rsidRPr="00AB26B3">
              <w:rPr>
                <w:noProof/>
                <w:spacing w:val="-6"/>
                <w:lang w:val="sk-SK"/>
              </w:rPr>
              <w:t>Energetická obnova obytných budov vrátane vytvorenia výberového procesu na zabezpečenie zníženia spotreby primárnej energie obydlí aspoň</w:t>
            </w:r>
            <w:r w:rsidR="00AB26B3" w:rsidRPr="00AB26B3">
              <w:rPr>
                <w:noProof/>
                <w:spacing w:val="-6"/>
                <w:lang w:val="sk-SK"/>
              </w:rPr>
              <w:t xml:space="preserve"> o </w:t>
            </w:r>
            <w:r w:rsidRPr="00AB26B3">
              <w:rPr>
                <w:noProof/>
                <w:spacing w:val="-6"/>
                <w:lang w:val="sk-SK"/>
              </w:rPr>
              <w:t>30</w:t>
            </w:r>
            <w:r w:rsidR="00AB26B3" w:rsidRPr="00AB26B3">
              <w:rPr>
                <w:noProof/>
                <w:spacing w:val="-6"/>
                <w:lang w:val="sk-SK"/>
              </w:rPr>
              <w:t> % v </w:t>
            </w:r>
            <w:r w:rsidRPr="00AB26B3">
              <w:rPr>
                <w:noProof/>
                <w:spacing w:val="-6"/>
                <w:lang w:val="sk-SK"/>
              </w:rPr>
              <w:t>porovnaní</w:t>
            </w:r>
            <w:r w:rsidR="00AB26B3" w:rsidRPr="00AB26B3">
              <w:rPr>
                <w:noProof/>
                <w:spacing w:val="-6"/>
                <w:lang w:val="sk-SK"/>
              </w:rPr>
              <w:t xml:space="preserve"> s </w:t>
            </w:r>
            <w:r w:rsidRPr="00AB26B3">
              <w:rPr>
                <w:noProof/>
                <w:spacing w:val="-6"/>
                <w:lang w:val="sk-SK"/>
              </w:rPr>
              <w:t>pôvodnou hospodárnosťou obydlia vypočítanou</w:t>
            </w:r>
            <w:r w:rsidR="00AB26B3" w:rsidRPr="00AB26B3">
              <w:rPr>
                <w:noProof/>
                <w:spacing w:val="-6"/>
                <w:lang w:val="sk-SK"/>
              </w:rPr>
              <w:t xml:space="preserve"> v </w:t>
            </w:r>
            <w:r w:rsidRPr="00AB26B3">
              <w:rPr>
                <w:noProof/>
                <w:spacing w:val="-6"/>
                <w:lang w:val="sk-SK"/>
              </w:rPr>
              <w:t>kWh/m²</w:t>
            </w:r>
            <w:r w:rsidRPr="00AB26B3">
              <w:rPr>
                <w:noProof/>
                <w:spacing w:val="-6"/>
                <w:vertAlign w:val="superscript"/>
                <w:lang w:val="sk-SK"/>
              </w:rPr>
              <w:t>a</w:t>
            </w:r>
            <w:r w:rsidRPr="00AB26B3">
              <w:rPr>
                <w:noProof/>
                <w:spacing w:val="-6"/>
                <w:lang w:val="sk-SK"/>
              </w:rPr>
              <w:t xml:space="preserve"> energeticky chudobných domácností sa podporuje vo forme zvýšeného percentuálneho podielu grantov.</w:t>
            </w:r>
          </w:p>
          <w:p w14:paraId="0D6D6449" w14:textId="6E64918C" w:rsidR="00AB26B3" w:rsidRPr="00AB26B3" w:rsidRDefault="00D64F26">
            <w:pPr>
              <w:pStyle w:val="P68B1DB1-ListParagraph19"/>
              <w:numPr>
                <w:ilvl w:val="0"/>
                <w:numId w:val="83"/>
              </w:numPr>
              <w:spacing w:after="0" w:line="240" w:lineRule="auto"/>
              <w:rPr>
                <w:noProof/>
                <w:spacing w:val="-6"/>
                <w:lang w:val="sk-SK"/>
              </w:rPr>
            </w:pPr>
            <w:r w:rsidRPr="00AB26B3">
              <w:rPr>
                <w:noProof/>
                <w:spacing w:val="-6"/>
                <w:lang w:val="sk-SK"/>
              </w:rPr>
              <w:t>Energetická efektívnosť budov verejného sektora</w:t>
            </w:r>
            <w:r w:rsidR="00AB26B3" w:rsidRPr="00AB26B3">
              <w:rPr>
                <w:noProof/>
                <w:spacing w:val="-6"/>
                <w:lang w:val="sk-SK"/>
              </w:rPr>
              <w:t xml:space="preserve"> a </w:t>
            </w:r>
            <w:r w:rsidRPr="00AB26B3">
              <w:rPr>
                <w:noProof/>
                <w:spacing w:val="-6"/>
                <w:lang w:val="sk-SK"/>
              </w:rPr>
              <w:t>súkromného sektora (nebytové budovy) vrátane zavedenia výberového konania</w:t>
            </w:r>
            <w:r w:rsidR="00AB26B3" w:rsidRPr="00AB26B3">
              <w:rPr>
                <w:noProof/>
                <w:spacing w:val="-6"/>
                <w:lang w:val="sk-SK"/>
              </w:rPr>
              <w:t xml:space="preserve"> s </w:t>
            </w:r>
            <w:r w:rsidRPr="00AB26B3">
              <w:rPr>
                <w:noProof/>
                <w:spacing w:val="-6"/>
                <w:lang w:val="sk-SK"/>
              </w:rPr>
              <w:t>cieľom zabezpečiť, aby sa primárna energetická spotreba príjemcov znížila aspoň</w:t>
            </w:r>
            <w:r w:rsidR="00AB26B3" w:rsidRPr="00AB26B3">
              <w:rPr>
                <w:noProof/>
                <w:spacing w:val="-6"/>
                <w:lang w:val="sk-SK"/>
              </w:rPr>
              <w:t xml:space="preserve"> o </w:t>
            </w:r>
            <w:r w:rsidRPr="00AB26B3">
              <w:rPr>
                <w:noProof/>
                <w:spacing w:val="-6"/>
                <w:lang w:val="sk-SK"/>
              </w:rPr>
              <w:t>30</w:t>
            </w:r>
            <w:r w:rsidR="00AB26B3" w:rsidRPr="00AB26B3">
              <w:rPr>
                <w:noProof/>
                <w:spacing w:val="-6"/>
                <w:lang w:val="sk-SK"/>
              </w:rPr>
              <w:t> % v </w:t>
            </w:r>
            <w:r w:rsidRPr="00AB26B3">
              <w:rPr>
                <w:noProof/>
                <w:spacing w:val="-6"/>
                <w:lang w:val="sk-SK"/>
              </w:rPr>
              <w:t>porovnaní</w:t>
            </w:r>
            <w:r w:rsidR="00AB26B3" w:rsidRPr="00AB26B3">
              <w:rPr>
                <w:noProof/>
                <w:spacing w:val="-6"/>
                <w:lang w:val="sk-SK"/>
              </w:rPr>
              <w:t xml:space="preserve"> s </w:t>
            </w:r>
            <w:r w:rsidRPr="00AB26B3">
              <w:rPr>
                <w:noProof/>
                <w:spacing w:val="-6"/>
                <w:lang w:val="sk-SK"/>
              </w:rPr>
              <w:t>pôvodnou hospodárnosťou rezidencie vypočítanou</w:t>
            </w:r>
            <w:r w:rsidR="00AB26B3" w:rsidRPr="00AB26B3">
              <w:rPr>
                <w:noProof/>
                <w:spacing w:val="-6"/>
                <w:lang w:val="sk-SK"/>
              </w:rPr>
              <w:t xml:space="preserve"> v </w:t>
            </w:r>
            <w:r w:rsidRPr="00AB26B3">
              <w:rPr>
                <w:noProof/>
                <w:spacing w:val="-6"/>
                <w:lang w:val="sk-SK"/>
              </w:rPr>
              <w:t>kWh/</w:t>
            </w:r>
            <w:r w:rsidRPr="00AB26B3">
              <w:rPr>
                <w:noProof/>
                <w:spacing w:val="-6"/>
                <w:vertAlign w:val="superscript"/>
                <w:lang w:val="sk-SK"/>
              </w:rPr>
              <w:t>m²</w:t>
            </w:r>
            <w:r w:rsidR="00AB26B3" w:rsidRPr="00AB26B3">
              <w:rPr>
                <w:noProof/>
                <w:spacing w:val="-6"/>
                <w:lang w:val="sk-SK"/>
              </w:rPr>
              <w:t>.</w:t>
            </w:r>
          </w:p>
          <w:p w14:paraId="3E94477F" w14:textId="453CB7FA" w:rsidR="00302FC1" w:rsidRPr="00AB26B3" w:rsidRDefault="00D64F26">
            <w:pPr>
              <w:pStyle w:val="P68B1DB1-ListParagraph19"/>
              <w:numPr>
                <w:ilvl w:val="0"/>
                <w:numId w:val="83"/>
              </w:numPr>
              <w:spacing w:after="0" w:line="240" w:lineRule="auto"/>
              <w:rPr>
                <w:rFonts w:eastAsia="Times New Roman"/>
                <w:noProof/>
                <w:spacing w:val="-6"/>
                <w:lang w:val="sk-SK"/>
              </w:rPr>
            </w:pPr>
            <w:r w:rsidRPr="00AB26B3">
              <w:rPr>
                <w:noProof/>
                <w:spacing w:val="-6"/>
                <w:lang w:val="sk-SK"/>
              </w:rPr>
              <w:t xml:space="preserve"> Fotovoltické systémy na vlastnú spotrebu</w:t>
            </w:r>
            <w:r w:rsidR="00AB26B3" w:rsidRPr="00AB26B3">
              <w:rPr>
                <w:noProof/>
                <w:spacing w:val="-6"/>
                <w:lang w:val="sk-SK"/>
              </w:rPr>
              <w:t xml:space="preserve"> v </w:t>
            </w:r>
            <w:r w:rsidRPr="00AB26B3">
              <w:rPr>
                <w:noProof/>
                <w:spacing w:val="-6"/>
                <w:lang w:val="sk-SK"/>
              </w:rPr>
              <w:t>obytných budovách</w:t>
            </w:r>
            <w:r w:rsidR="00AB26B3" w:rsidRPr="00AB26B3">
              <w:rPr>
                <w:noProof/>
                <w:spacing w:val="-6"/>
                <w:lang w:val="sk-SK"/>
              </w:rPr>
              <w:t xml:space="preserve"> a v </w:t>
            </w:r>
            <w:r w:rsidRPr="00AB26B3">
              <w:rPr>
                <w:noProof/>
                <w:spacing w:val="-6"/>
                <w:lang w:val="sk-SK"/>
              </w:rPr>
              <w:t>odvetví poľnohospodárstva.</w:t>
            </w:r>
          </w:p>
          <w:p w14:paraId="59879B84" w14:textId="470EE3F7" w:rsidR="00302FC1" w:rsidRPr="00AB26B3" w:rsidRDefault="00D64F26">
            <w:pPr>
              <w:pStyle w:val="P68B1DB1-ListParagraph41"/>
              <w:numPr>
                <w:ilvl w:val="0"/>
                <w:numId w:val="83"/>
              </w:numPr>
              <w:spacing w:after="0" w:line="240" w:lineRule="auto"/>
              <w:rPr>
                <w:rFonts w:eastAsia="Times New Roman"/>
                <w:noProof/>
                <w:color w:val="006100"/>
                <w:spacing w:val="-6"/>
                <w:lang w:val="sk-SK"/>
              </w:rPr>
            </w:pPr>
            <w:r w:rsidRPr="00AB26B3">
              <w:rPr>
                <w:noProof/>
                <w:color w:val="006100"/>
                <w:spacing w:val="-6"/>
                <w:lang w:val="sk-SK"/>
              </w:rPr>
              <w:t>Systémy ohrevu vody</w:t>
            </w:r>
            <w:r w:rsidR="00AB26B3" w:rsidRPr="00AB26B3">
              <w:rPr>
                <w:noProof/>
                <w:color w:val="006100"/>
                <w:spacing w:val="-6"/>
                <w:lang w:val="sk-SK"/>
              </w:rPr>
              <w:t xml:space="preserve"> z </w:t>
            </w:r>
            <w:r w:rsidRPr="00AB26B3">
              <w:rPr>
                <w:noProof/>
                <w:color w:val="006100"/>
                <w:spacing w:val="-6"/>
                <w:lang w:val="sk-SK"/>
              </w:rPr>
              <w:t>obnoviteľných zdrojov pre domácnosti na podporu zavádzania obnoviteľných zdrojov energie</w:t>
            </w:r>
            <w:r w:rsidR="00AB26B3" w:rsidRPr="00AB26B3">
              <w:rPr>
                <w:noProof/>
                <w:color w:val="006100"/>
                <w:spacing w:val="-6"/>
                <w:lang w:val="sk-SK"/>
              </w:rPr>
              <w:t xml:space="preserve"> v </w:t>
            </w:r>
            <w:r w:rsidRPr="00AB26B3">
              <w:rPr>
                <w:noProof/>
                <w:color w:val="006100"/>
                <w:spacing w:val="-6"/>
                <w:lang w:val="sk-SK"/>
              </w:rPr>
              <w:t>obytných budovách inštaláciou</w:t>
            </w:r>
            <w:r w:rsidRPr="00AB26B3">
              <w:rPr>
                <w:noProof/>
                <w:spacing w:val="-6"/>
                <w:lang w:val="sk-SK"/>
              </w:rPr>
              <w:t xml:space="preserve"> </w:t>
            </w:r>
            <w:r w:rsidRPr="00AB26B3">
              <w:rPr>
                <w:noProof/>
                <w:color w:val="006100"/>
                <w:spacing w:val="-6"/>
                <w:lang w:val="sk-SK"/>
              </w:rPr>
              <w:t>nových solárnych ohrievačov vody, tepelných čerpadiel</w:t>
            </w:r>
            <w:r w:rsidR="00AB26B3" w:rsidRPr="00AB26B3">
              <w:rPr>
                <w:noProof/>
                <w:color w:val="006100"/>
                <w:spacing w:val="-6"/>
                <w:lang w:val="sk-SK"/>
              </w:rPr>
              <w:t xml:space="preserve"> a </w:t>
            </w:r>
            <w:r w:rsidRPr="00AB26B3">
              <w:rPr>
                <w:noProof/>
                <w:color w:val="006100"/>
                <w:spacing w:val="-6"/>
                <w:lang w:val="sk-SK"/>
              </w:rPr>
              <w:t>systémov obnoviteľných zdrojov energie využívajúcich nové moderné technológie alebo výmenou elektrických ohrievačov vody spotrebúvajúcich energiu využívajúcich staré technológie za nové solárne ohrievače vody, tepelné čerpadlá</w:t>
            </w:r>
            <w:r w:rsidR="00AB26B3" w:rsidRPr="00AB26B3">
              <w:rPr>
                <w:noProof/>
                <w:color w:val="006100"/>
                <w:spacing w:val="-6"/>
                <w:lang w:val="sk-SK"/>
              </w:rPr>
              <w:t xml:space="preserve"> a </w:t>
            </w:r>
            <w:r w:rsidRPr="00AB26B3">
              <w:rPr>
                <w:noProof/>
                <w:color w:val="006100"/>
                <w:spacing w:val="-6"/>
                <w:lang w:val="sk-SK"/>
              </w:rPr>
              <w:t>systémy obnoviteľných zdrojov energie využívajúce nové moderné technológie. Energeticky chudobné domácnosti sa podporujú vo forme zvýšeného percentuálneho podielu grantov (uplatňuje sa len na solárne ohrievače vody).</w:t>
            </w:r>
          </w:p>
          <w:p w14:paraId="426602A0" w14:textId="3F20FAE7" w:rsidR="00302FC1" w:rsidRPr="00AB26B3" w:rsidRDefault="00D64F26">
            <w:pPr>
              <w:pStyle w:val="P68B1DB1-ListParagraph19"/>
              <w:numPr>
                <w:ilvl w:val="0"/>
                <w:numId w:val="83"/>
              </w:numPr>
              <w:spacing w:after="0" w:line="240" w:lineRule="auto"/>
              <w:rPr>
                <w:rFonts w:eastAsia="Times New Roman"/>
                <w:noProof/>
                <w:spacing w:val="-6"/>
                <w:lang w:val="sk-SK"/>
              </w:rPr>
            </w:pPr>
            <w:r w:rsidRPr="00AB26B3">
              <w:rPr>
                <w:noProof/>
                <w:spacing w:val="-6"/>
                <w:lang w:val="sk-SK"/>
              </w:rPr>
              <w:t>Podpora opatrení energetickej efektívnosti</w:t>
            </w:r>
            <w:r w:rsidR="00AB26B3" w:rsidRPr="00AB26B3">
              <w:rPr>
                <w:noProof/>
                <w:spacing w:val="-6"/>
                <w:lang w:val="sk-SK"/>
              </w:rPr>
              <w:t xml:space="preserve"> v </w:t>
            </w:r>
            <w:r w:rsidRPr="00AB26B3">
              <w:rPr>
                <w:noProof/>
                <w:spacing w:val="-6"/>
                <w:lang w:val="sk-SK"/>
              </w:rPr>
              <w:t>komunálnych vodovodných</w:t>
            </w:r>
            <w:r w:rsidR="00AB26B3" w:rsidRPr="00AB26B3">
              <w:rPr>
                <w:noProof/>
                <w:spacing w:val="-6"/>
                <w:lang w:val="sk-SK"/>
              </w:rPr>
              <w:t xml:space="preserve"> a </w:t>
            </w:r>
            <w:r w:rsidRPr="00AB26B3">
              <w:rPr>
                <w:noProof/>
                <w:spacing w:val="-6"/>
                <w:lang w:val="sk-SK"/>
              </w:rPr>
              <w:t>kanalizačných spoločnostiach prostredníctvom i) zníženia spotreby energie čerpacích staníc</w:t>
            </w:r>
            <w:r w:rsidR="00AB26B3" w:rsidRPr="00AB26B3">
              <w:rPr>
                <w:noProof/>
                <w:spacing w:val="-6"/>
                <w:lang w:val="sk-SK"/>
              </w:rPr>
              <w:t xml:space="preserve"> a </w:t>
            </w:r>
            <w:r w:rsidRPr="00AB26B3">
              <w:rPr>
                <w:noProof/>
                <w:spacing w:val="-6"/>
                <w:lang w:val="sk-SK"/>
              </w:rPr>
              <w:t>prečerpávacích motorov;</w:t>
            </w:r>
            <w:r w:rsidR="00AB26B3" w:rsidRPr="00AB26B3">
              <w:rPr>
                <w:noProof/>
                <w:spacing w:val="-6"/>
                <w:lang w:val="sk-SK"/>
              </w:rPr>
              <w:t xml:space="preserve"> a </w:t>
            </w:r>
            <w:r w:rsidRPr="00AB26B3">
              <w:rPr>
                <w:noProof/>
                <w:spacing w:val="-6"/>
                <w:lang w:val="sk-SK"/>
              </w:rPr>
              <w:t>ii) vypracovať štúdie na optimálne vykonávanie opatrení na ďalšie zlepšenie energetickej efektívnosti týchto spoločností.</w:t>
            </w:r>
          </w:p>
          <w:p w14:paraId="5E7F8EA3" w14:textId="77777777" w:rsidR="00302FC1" w:rsidRPr="00AB26B3" w:rsidRDefault="00D64F26">
            <w:pPr>
              <w:pStyle w:val="P68B1DB1-ListParagraph51"/>
              <w:numPr>
                <w:ilvl w:val="0"/>
                <w:numId w:val="83"/>
              </w:numPr>
              <w:spacing w:after="0" w:line="240" w:lineRule="auto"/>
              <w:rPr>
                <w:noProof/>
                <w:spacing w:val="-6"/>
                <w:lang w:val="sk-SK"/>
              </w:rPr>
            </w:pPr>
            <w:r w:rsidRPr="00AB26B3">
              <w:rPr>
                <w:noProof/>
                <w:spacing w:val="-6"/>
                <w:lang w:val="sk-SK"/>
              </w:rPr>
              <w:t>Podpora inštalácie batériových systémov na uskladňovanie energie pre podniky.</w:t>
            </w:r>
          </w:p>
        </w:tc>
      </w:tr>
      <w:tr w:rsidR="00302FC1" w:rsidRPr="00AB26B3" w14:paraId="590FA7BF" w14:textId="77777777">
        <w:trPr>
          <w:trHeight w:val="300"/>
        </w:trPr>
        <w:tc>
          <w:tcPr>
            <w:tcW w:w="534" w:type="dxa"/>
            <w:tcBorders>
              <w:left w:val="single" w:sz="4" w:space="0" w:color="auto"/>
              <w:bottom w:val="single" w:sz="4" w:space="0" w:color="auto"/>
            </w:tcBorders>
            <w:shd w:val="clear" w:color="auto" w:fill="C6EFCE"/>
            <w:noWrap/>
          </w:tcPr>
          <w:p w14:paraId="528D17D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368</w:t>
            </w:r>
          </w:p>
        </w:tc>
        <w:tc>
          <w:tcPr>
            <w:tcW w:w="2461" w:type="dxa"/>
            <w:tcBorders>
              <w:bottom w:val="single" w:sz="4" w:space="0" w:color="auto"/>
            </w:tcBorders>
            <w:shd w:val="clear" w:color="auto" w:fill="C6EFCE"/>
            <w:noWrap/>
          </w:tcPr>
          <w:p w14:paraId="09D7CB41" w14:textId="73666D3A"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16994_Energetická efektívnosť</w:t>
            </w:r>
            <w:r w:rsidR="00AB26B3" w:rsidRPr="00AB26B3">
              <w:rPr>
                <w:noProof/>
                <w:spacing w:val="-6"/>
                <w:lang w:val="sk-SK"/>
              </w:rPr>
              <w:t xml:space="preserve"> a </w:t>
            </w:r>
            <w:r w:rsidRPr="00AB26B3">
              <w:rPr>
                <w:noProof/>
                <w:spacing w:val="-6"/>
                <w:lang w:val="sk-SK"/>
              </w:rPr>
              <w:t>podpora obnoviteľných zdrojov energie na vlastnú spotrebu</w:t>
            </w:r>
          </w:p>
        </w:tc>
        <w:tc>
          <w:tcPr>
            <w:tcW w:w="1142" w:type="dxa"/>
            <w:tcBorders>
              <w:bottom w:val="single" w:sz="4" w:space="0" w:color="auto"/>
            </w:tcBorders>
            <w:shd w:val="clear" w:color="auto" w:fill="C6EFCE"/>
            <w:noWrap/>
          </w:tcPr>
          <w:p w14:paraId="369D28AC" w14:textId="77777777" w:rsidR="00302FC1" w:rsidRPr="00AB26B3" w:rsidRDefault="00D64F26">
            <w:pPr>
              <w:pStyle w:val="P68B1DB1-Normal12"/>
              <w:spacing w:after="0" w:line="240" w:lineRule="auto"/>
              <w:rPr>
                <w:rFonts w:eastAsia="Times New Roman"/>
                <w:noProof/>
                <w:spacing w:val="-6"/>
                <w:highlight w:val="yellow"/>
                <w:lang w:val="sk-SK"/>
              </w:rPr>
            </w:pPr>
            <w:r w:rsidRPr="00AB26B3">
              <w:rPr>
                <w:noProof/>
                <w:spacing w:val="-6"/>
                <w:lang w:val="sk-SK"/>
              </w:rPr>
              <w:t xml:space="preserve"> Cieľ</w:t>
            </w:r>
          </w:p>
        </w:tc>
        <w:tc>
          <w:tcPr>
            <w:tcW w:w="1234" w:type="dxa"/>
            <w:tcBorders>
              <w:bottom w:val="single" w:sz="4" w:space="0" w:color="auto"/>
            </w:tcBorders>
            <w:shd w:val="clear" w:color="auto" w:fill="C6EFCE"/>
            <w:noWrap/>
          </w:tcPr>
          <w:p w14:paraId="462E20D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Inštalácia fotovoltických systémov na vlastnú spotrebu</w:t>
            </w:r>
          </w:p>
        </w:tc>
        <w:tc>
          <w:tcPr>
            <w:tcW w:w="1286" w:type="dxa"/>
            <w:tcBorders>
              <w:bottom w:val="single" w:sz="4" w:space="0" w:color="auto"/>
            </w:tcBorders>
            <w:shd w:val="clear" w:color="auto" w:fill="C6EFCE"/>
            <w:noWrap/>
          </w:tcPr>
          <w:p w14:paraId="72AE56C1"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52" w:type="dxa"/>
            <w:tcBorders>
              <w:bottom w:val="single" w:sz="4" w:space="0" w:color="auto"/>
            </w:tcBorders>
            <w:shd w:val="clear" w:color="auto" w:fill="C6EFCE"/>
            <w:noWrap/>
          </w:tcPr>
          <w:p w14:paraId="25431FFA"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Počet nainštalovaných fotovoltických systémov</w:t>
            </w:r>
          </w:p>
        </w:tc>
        <w:tc>
          <w:tcPr>
            <w:tcW w:w="885" w:type="dxa"/>
            <w:tcBorders>
              <w:bottom w:val="single" w:sz="4" w:space="0" w:color="auto"/>
            </w:tcBorders>
            <w:shd w:val="clear" w:color="auto" w:fill="C6EFCE"/>
            <w:noWrap/>
          </w:tcPr>
          <w:p w14:paraId="1B2E890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1195" w:type="dxa"/>
            <w:tcBorders>
              <w:bottom w:val="single" w:sz="4" w:space="0" w:color="auto"/>
            </w:tcBorders>
            <w:shd w:val="clear" w:color="auto" w:fill="C6EFCE"/>
            <w:noWrap/>
          </w:tcPr>
          <w:p w14:paraId="634B5E6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11 580</w:t>
            </w:r>
          </w:p>
        </w:tc>
        <w:tc>
          <w:tcPr>
            <w:tcW w:w="846" w:type="dxa"/>
            <w:tcBorders>
              <w:bottom w:val="single" w:sz="4" w:space="0" w:color="auto"/>
            </w:tcBorders>
            <w:shd w:val="clear" w:color="auto" w:fill="C6EFCE"/>
            <w:noWrap/>
          </w:tcPr>
          <w:p w14:paraId="5D72851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956" w:type="dxa"/>
            <w:tcBorders>
              <w:bottom w:val="single" w:sz="4" w:space="0" w:color="auto"/>
            </w:tcBorders>
            <w:shd w:val="clear" w:color="auto" w:fill="C6EFCE"/>
            <w:noWrap/>
          </w:tcPr>
          <w:p w14:paraId="0D68A91D"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2698" w:type="dxa"/>
            <w:tcBorders>
              <w:bottom w:val="single" w:sz="4" w:space="0" w:color="auto"/>
              <w:right w:val="single" w:sz="4" w:space="0" w:color="auto"/>
            </w:tcBorders>
            <w:shd w:val="clear" w:color="auto" w:fill="C6EFCE"/>
            <w:noWrap/>
          </w:tcPr>
          <w:p w14:paraId="032C6447" w14:textId="6D9484CD" w:rsidR="00302FC1" w:rsidRPr="00AB26B3" w:rsidRDefault="00D64F26">
            <w:pPr>
              <w:pStyle w:val="P68B1DB1-Normal12"/>
              <w:spacing w:after="0" w:line="240" w:lineRule="auto"/>
              <w:rPr>
                <w:rFonts w:eastAsia="Times New Roman"/>
                <w:noProof/>
                <w:spacing w:val="-6"/>
                <w:highlight w:val="yellow"/>
                <w:lang w:val="sk-SK"/>
              </w:rPr>
            </w:pPr>
            <w:r w:rsidRPr="00AB26B3">
              <w:rPr>
                <w:noProof/>
                <w:spacing w:val="-6"/>
                <w:lang w:val="sk-SK"/>
              </w:rPr>
              <w:t>Fotovoltické systémy na vlastnú spotrebu</w:t>
            </w:r>
            <w:r w:rsidR="00AB26B3" w:rsidRPr="00AB26B3">
              <w:rPr>
                <w:noProof/>
                <w:spacing w:val="-6"/>
                <w:lang w:val="sk-SK"/>
              </w:rPr>
              <w:t xml:space="preserve"> v </w:t>
            </w:r>
            <w:r w:rsidRPr="00AB26B3">
              <w:rPr>
                <w:noProof/>
                <w:spacing w:val="-6"/>
                <w:lang w:val="sk-SK"/>
              </w:rPr>
              <w:t>obytných budovách</w:t>
            </w:r>
            <w:r w:rsidR="00AB26B3" w:rsidRPr="00AB26B3">
              <w:rPr>
                <w:noProof/>
                <w:spacing w:val="-6"/>
                <w:lang w:val="sk-SK"/>
              </w:rPr>
              <w:t xml:space="preserve"> a v </w:t>
            </w:r>
            <w:r w:rsidRPr="00AB26B3">
              <w:rPr>
                <w:noProof/>
                <w:spacing w:val="-6"/>
                <w:lang w:val="sk-SK"/>
              </w:rPr>
              <w:t>odvetví poľnohospodárstva: Nainštalovaných 11580 fotovoltických systémov,</w:t>
            </w:r>
            <w:r w:rsidR="00AB26B3" w:rsidRPr="00AB26B3">
              <w:rPr>
                <w:noProof/>
                <w:spacing w:val="-6"/>
                <w:lang w:val="sk-SK"/>
              </w:rPr>
              <w:t xml:space="preserve"> z </w:t>
            </w:r>
            <w:r w:rsidRPr="00AB26B3">
              <w:rPr>
                <w:noProof/>
                <w:spacing w:val="-6"/>
                <w:lang w:val="sk-SK"/>
              </w:rPr>
              <w:t>toho 900 pre energeticky chudobné domácnosti</w:t>
            </w:r>
            <w:r w:rsidR="00AB26B3" w:rsidRPr="00AB26B3">
              <w:rPr>
                <w:noProof/>
                <w:spacing w:val="-6"/>
                <w:lang w:val="sk-SK"/>
              </w:rPr>
              <w:t xml:space="preserve"> a </w:t>
            </w:r>
            <w:r w:rsidRPr="00AB26B3">
              <w:rPr>
                <w:noProof/>
                <w:spacing w:val="-6"/>
                <w:lang w:val="sk-SK"/>
              </w:rPr>
              <w:t>360 pre poľnohospodárov.</w:t>
            </w:r>
          </w:p>
        </w:tc>
      </w:tr>
      <w:tr w:rsidR="00302FC1" w:rsidRPr="00AB26B3" w14:paraId="6FB04011" w14:textId="77777777">
        <w:trPr>
          <w:trHeight w:val="300"/>
        </w:trPr>
        <w:tc>
          <w:tcPr>
            <w:tcW w:w="534" w:type="dxa"/>
            <w:tcBorders>
              <w:left w:val="single" w:sz="4" w:space="0" w:color="auto"/>
              <w:bottom w:val="single" w:sz="4" w:space="0" w:color="auto"/>
            </w:tcBorders>
            <w:shd w:val="clear" w:color="auto" w:fill="C6EFCE"/>
            <w:noWrap/>
          </w:tcPr>
          <w:p w14:paraId="48A32DD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369</w:t>
            </w:r>
          </w:p>
        </w:tc>
        <w:tc>
          <w:tcPr>
            <w:tcW w:w="2461" w:type="dxa"/>
            <w:tcBorders>
              <w:bottom w:val="single" w:sz="4" w:space="0" w:color="auto"/>
            </w:tcBorders>
            <w:shd w:val="clear" w:color="auto" w:fill="C6EFCE"/>
            <w:noWrap/>
          </w:tcPr>
          <w:p w14:paraId="37219D31" w14:textId="1F68BD0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16994_Energetická efektívnosť</w:t>
            </w:r>
            <w:r w:rsidR="00AB26B3" w:rsidRPr="00AB26B3">
              <w:rPr>
                <w:noProof/>
                <w:spacing w:val="-6"/>
                <w:lang w:val="sk-SK"/>
              </w:rPr>
              <w:t xml:space="preserve"> a </w:t>
            </w:r>
            <w:r w:rsidRPr="00AB26B3">
              <w:rPr>
                <w:noProof/>
                <w:spacing w:val="-6"/>
                <w:lang w:val="sk-SK"/>
              </w:rPr>
              <w:t>podpora obnoviteľných zdrojov energie na vlastnú spotrebu</w:t>
            </w:r>
          </w:p>
        </w:tc>
        <w:tc>
          <w:tcPr>
            <w:tcW w:w="1142" w:type="dxa"/>
            <w:tcBorders>
              <w:bottom w:val="single" w:sz="4" w:space="0" w:color="auto"/>
            </w:tcBorders>
            <w:shd w:val="clear" w:color="auto" w:fill="C6EFCE"/>
            <w:noWrap/>
          </w:tcPr>
          <w:p w14:paraId="1F983AB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Cieľ</w:t>
            </w:r>
          </w:p>
        </w:tc>
        <w:tc>
          <w:tcPr>
            <w:tcW w:w="1234" w:type="dxa"/>
            <w:tcBorders>
              <w:bottom w:val="single" w:sz="4" w:space="0" w:color="auto"/>
            </w:tcBorders>
            <w:shd w:val="clear" w:color="auto" w:fill="C6EFCE"/>
            <w:noWrap/>
          </w:tcPr>
          <w:p w14:paraId="2E11571F" w14:textId="1FACFCB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Čiastkové investície do obnovy zameranej na energetickú efektívnosť, solárnych ohrievačov vody, tepelných čerpadiel</w:t>
            </w:r>
            <w:r w:rsidR="00AB26B3" w:rsidRPr="00AB26B3">
              <w:rPr>
                <w:noProof/>
                <w:spacing w:val="-6"/>
                <w:lang w:val="sk-SK"/>
              </w:rPr>
              <w:t xml:space="preserve"> a </w:t>
            </w:r>
            <w:r w:rsidRPr="00AB26B3">
              <w:rPr>
                <w:noProof/>
                <w:spacing w:val="-6"/>
                <w:lang w:val="sk-SK"/>
              </w:rPr>
              <w:t>batériových systémov na uskladňovanie energie pre podniky.</w:t>
            </w:r>
          </w:p>
        </w:tc>
        <w:tc>
          <w:tcPr>
            <w:tcW w:w="1286" w:type="dxa"/>
            <w:tcBorders>
              <w:bottom w:val="single" w:sz="4" w:space="0" w:color="auto"/>
            </w:tcBorders>
            <w:shd w:val="clear" w:color="auto" w:fill="C6EFCE"/>
            <w:noWrap/>
          </w:tcPr>
          <w:p w14:paraId="6A48158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152" w:type="dxa"/>
            <w:tcBorders>
              <w:bottom w:val="single" w:sz="4" w:space="0" w:color="auto"/>
            </w:tcBorders>
            <w:shd w:val="clear" w:color="auto" w:fill="C6EFCE"/>
            <w:noWrap/>
          </w:tcPr>
          <w:p w14:paraId="6A6ED101" w14:textId="3AD7A309" w:rsidR="00302FC1" w:rsidRPr="00AB26B3" w:rsidRDefault="00D64F26">
            <w:pPr>
              <w:pStyle w:val="P68B1DB1-Normal12"/>
              <w:spacing w:after="0" w:line="240" w:lineRule="auto"/>
              <w:rPr>
                <w:noProof/>
                <w:spacing w:val="-6"/>
                <w:lang w:val="sk-SK"/>
              </w:rPr>
            </w:pPr>
            <w:r w:rsidRPr="00AB26B3">
              <w:rPr>
                <w:noProof/>
                <w:spacing w:val="-6"/>
                <w:lang w:val="sk-SK"/>
              </w:rPr>
              <w:t>1, 2, 3a</w:t>
            </w:r>
            <w:r w:rsidR="00AB26B3" w:rsidRPr="00AB26B3">
              <w:rPr>
                <w:noProof/>
                <w:spacing w:val="-6"/>
                <w:lang w:val="sk-SK"/>
              </w:rPr>
              <w:t xml:space="preserve"> a </w:t>
            </w:r>
            <w:r w:rsidRPr="00AB26B3">
              <w:rPr>
                <w:noProof/>
                <w:spacing w:val="-6"/>
                <w:lang w:val="sk-SK"/>
              </w:rPr>
              <w:t>b</w:t>
            </w:r>
            <w:r w:rsidR="00AB26B3" w:rsidRPr="00AB26B3">
              <w:rPr>
                <w:noProof/>
                <w:spacing w:val="-6"/>
                <w:lang w:val="sk-SK"/>
              </w:rPr>
              <w:t xml:space="preserve"> a </w:t>
            </w:r>
            <w:r w:rsidRPr="00AB26B3">
              <w:rPr>
                <w:noProof/>
                <w:spacing w:val="-6"/>
                <w:lang w:val="sk-SK"/>
              </w:rPr>
              <w:t>číslo</w:t>
            </w:r>
          </w:p>
          <w:p w14:paraId="385501F5" w14:textId="580F27F3" w:rsidR="00302FC1" w:rsidRPr="00AB26B3" w:rsidRDefault="00D64F26">
            <w:pPr>
              <w:pStyle w:val="P68B1DB1-Normal12"/>
              <w:spacing w:after="0" w:line="240" w:lineRule="auto"/>
              <w:rPr>
                <w:noProof/>
                <w:spacing w:val="-6"/>
                <w:lang w:val="sk-SK"/>
              </w:rPr>
            </w:pPr>
            <w:r w:rsidRPr="00AB26B3">
              <w:rPr>
                <w:noProof/>
                <w:spacing w:val="-6"/>
                <w:lang w:val="sk-SK"/>
              </w:rPr>
              <w:t>4. Kapacita inštalovaného uskladňovania energie</w:t>
            </w:r>
            <w:r w:rsidR="00AB26B3" w:rsidRPr="00AB26B3">
              <w:rPr>
                <w:noProof/>
                <w:spacing w:val="-6"/>
                <w:lang w:val="sk-SK"/>
              </w:rPr>
              <w:t xml:space="preserve"> v </w:t>
            </w:r>
            <w:r w:rsidRPr="00AB26B3">
              <w:rPr>
                <w:noProof/>
                <w:spacing w:val="-6"/>
                <w:lang w:val="sk-SK"/>
              </w:rPr>
              <w:t>batériách (v MW)</w:t>
            </w:r>
          </w:p>
        </w:tc>
        <w:tc>
          <w:tcPr>
            <w:tcW w:w="885" w:type="dxa"/>
            <w:tcBorders>
              <w:bottom w:val="single" w:sz="4" w:space="0" w:color="auto"/>
            </w:tcBorders>
            <w:shd w:val="clear" w:color="auto" w:fill="C6EFCE"/>
            <w:noWrap/>
          </w:tcPr>
          <w:p w14:paraId="3038F1B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0</w:t>
            </w:r>
          </w:p>
        </w:tc>
        <w:tc>
          <w:tcPr>
            <w:tcW w:w="1195" w:type="dxa"/>
            <w:tcBorders>
              <w:bottom w:val="single" w:sz="4" w:space="0" w:color="auto"/>
            </w:tcBorders>
            <w:shd w:val="clear" w:color="auto" w:fill="C6EFCE"/>
            <w:noWrap/>
          </w:tcPr>
          <w:p w14:paraId="27D708BE" w14:textId="320942AE" w:rsidR="00302FC1" w:rsidRPr="00AB26B3" w:rsidRDefault="00D64F26">
            <w:pPr>
              <w:pStyle w:val="P68B1DB1-Normal12"/>
              <w:spacing w:after="0" w:line="240" w:lineRule="auto"/>
              <w:rPr>
                <w:noProof/>
                <w:spacing w:val="-6"/>
                <w:lang w:val="sk-SK"/>
              </w:rPr>
            </w:pPr>
            <w:r w:rsidRPr="00AB26B3">
              <w:rPr>
                <w:noProof/>
                <w:spacing w:val="-6"/>
                <w:lang w:val="sk-SK"/>
              </w:rPr>
              <w:t>1. 18 600</w:t>
            </w:r>
          </w:p>
          <w:p w14:paraId="062BC5E5" w14:textId="77777777" w:rsidR="00AB26B3" w:rsidRPr="00AB26B3" w:rsidRDefault="00D64F26">
            <w:pPr>
              <w:pStyle w:val="P68B1DB1-Normal12"/>
              <w:spacing w:after="0" w:line="240" w:lineRule="auto"/>
              <w:rPr>
                <w:noProof/>
                <w:spacing w:val="-6"/>
                <w:lang w:val="sk-SK"/>
              </w:rPr>
            </w:pPr>
            <w:r w:rsidRPr="00AB26B3">
              <w:rPr>
                <w:noProof/>
                <w:spacing w:val="-6"/>
                <w:lang w:val="sk-SK"/>
              </w:rPr>
              <w:t>2. 140</w:t>
            </w:r>
          </w:p>
          <w:p w14:paraId="4C9545C8" w14:textId="0EEBC686"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3a. 161 455</w:t>
            </w:r>
          </w:p>
          <w:p w14:paraId="193CF752" w14:textId="77777777" w:rsidR="00AB26B3" w:rsidRPr="00AB26B3" w:rsidRDefault="00D64F26">
            <w:pPr>
              <w:pStyle w:val="P68B1DB1-Normal12"/>
              <w:spacing w:after="0" w:line="240" w:lineRule="auto"/>
              <w:rPr>
                <w:noProof/>
                <w:spacing w:val="-6"/>
                <w:lang w:val="sk-SK"/>
              </w:rPr>
            </w:pPr>
            <w:r w:rsidRPr="00AB26B3">
              <w:rPr>
                <w:noProof/>
                <w:spacing w:val="-6"/>
                <w:lang w:val="sk-SK"/>
              </w:rPr>
              <w:t>3b. 36 600</w:t>
            </w:r>
          </w:p>
          <w:p w14:paraId="06505D1D" w14:textId="5853930B"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4. 104</w:t>
            </w:r>
          </w:p>
        </w:tc>
        <w:tc>
          <w:tcPr>
            <w:tcW w:w="846" w:type="dxa"/>
            <w:tcBorders>
              <w:bottom w:val="single" w:sz="4" w:space="0" w:color="auto"/>
            </w:tcBorders>
            <w:shd w:val="clear" w:color="auto" w:fill="C6EFCE"/>
            <w:noWrap/>
          </w:tcPr>
          <w:p w14:paraId="5410CA5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ŠTVRTÝ ŠTVRŤROK</w:t>
            </w:r>
          </w:p>
        </w:tc>
        <w:tc>
          <w:tcPr>
            <w:tcW w:w="956" w:type="dxa"/>
            <w:tcBorders>
              <w:bottom w:val="single" w:sz="4" w:space="0" w:color="auto"/>
            </w:tcBorders>
            <w:shd w:val="clear" w:color="auto" w:fill="C6EFCE"/>
            <w:noWrap/>
          </w:tcPr>
          <w:p w14:paraId="23307821"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2698" w:type="dxa"/>
            <w:tcBorders>
              <w:bottom w:val="single" w:sz="4" w:space="0" w:color="auto"/>
              <w:right w:val="single" w:sz="4" w:space="0" w:color="auto"/>
            </w:tcBorders>
            <w:shd w:val="clear" w:color="auto" w:fill="C6EFCE"/>
            <w:noWrap/>
          </w:tcPr>
          <w:p w14:paraId="567F4F8E" w14:textId="1CA39FE0" w:rsidR="00302FC1" w:rsidRPr="00AB26B3" w:rsidRDefault="00D64F26">
            <w:pPr>
              <w:pStyle w:val="P68B1DB1-ListParagraph19"/>
              <w:numPr>
                <w:ilvl w:val="0"/>
                <w:numId w:val="84"/>
              </w:numPr>
              <w:spacing w:after="0" w:line="240" w:lineRule="auto"/>
              <w:rPr>
                <w:rFonts w:eastAsia="Times New Roman"/>
                <w:noProof/>
                <w:spacing w:val="-6"/>
                <w:lang w:val="sk-SK"/>
              </w:rPr>
            </w:pPr>
            <w:r w:rsidRPr="00AB26B3">
              <w:rPr>
                <w:noProof/>
                <w:spacing w:val="-6"/>
                <w:lang w:val="sk-SK"/>
              </w:rPr>
              <w:t>Energetická obnova obytných budov: obnovy zamerané na energetickú efektívnosť certifikované pre 18600 budov</w:t>
            </w:r>
            <w:r w:rsidR="00AB26B3" w:rsidRPr="00AB26B3">
              <w:rPr>
                <w:noProof/>
                <w:spacing w:val="-6"/>
                <w:lang w:val="sk-SK"/>
              </w:rPr>
              <w:t xml:space="preserve"> s </w:t>
            </w:r>
            <w:r w:rsidRPr="00AB26B3">
              <w:rPr>
                <w:noProof/>
                <w:spacing w:val="-6"/>
                <w:lang w:val="sk-SK"/>
              </w:rPr>
              <w:t>úsporami primárnej energie</w:t>
            </w:r>
            <w:r w:rsidR="00AB26B3" w:rsidRPr="00AB26B3">
              <w:rPr>
                <w:noProof/>
                <w:spacing w:val="-6"/>
                <w:lang w:val="sk-SK"/>
              </w:rPr>
              <w:t xml:space="preserve"> v </w:t>
            </w:r>
            <w:r w:rsidRPr="00AB26B3">
              <w:rPr>
                <w:noProof/>
                <w:spacing w:val="-6"/>
                <w:lang w:val="sk-SK"/>
              </w:rPr>
              <w:t>priemere aspoň 30</w:t>
            </w:r>
            <w:r w:rsidR="00AB26B3" w:rsidRPr="00AB26B3">
              <w:rPr>
                <w:noProof/>
                <w:spacing w:val="-6"/>
                <w:lang w:val="sk-SK"/>
              </w:rPr>
              <w:t> %</w:t>
            </w:r>
            <w:r w:rsidRPr="00AB26B3">
              <w:rPr>
                <w:noProof/>
                <w:spacing w:val="-6"/>
                <w:lang w:val="sk-SK"/>
              </w:rPr>
              <w:t>.</w:t>
            </w:r>
          </w:p>
          <w:p w14:paraId="157D46C2" w14:textId="44B8134E" w:rsidR="00302FC1" w:rsidRPr="00AB26B3" w:rsidRDefault="00D64F26">
            <w:pPr>
              <w:pStyle w:val="P68B1DB1-ListParagraph19"/>
              <w:numPr>
                <w:ilvl w:val="0"/>
                <w:numId w:val="84"/>
              </w:numPr>
              <w:spacing w:after="0" w:line="240" w:lineRule="auto"/>
              <w:rPr>
                <w:rFonts w:eastAsia="Times New Roman"/>
                <w:noProof/>
                <w:spacing w:val="-6"/>
                <w:lang w:val="sk-SK"/>
              </w:rPr>
            </w:pPr>
            <w:r w:rsidRPr="00AB26B3">
              <w:rPr>
                <w:noProof/>
                <w:spacing w:val="-6"/>
                <w:lang w:val="sk-SK"/>
              </w:rPr>
              <w:t>Energetická obnova nebytových verejných</w:t>
            </w:r>
            <w:r w:rsidR="00AB26B3" w:rsidRPr="00AB26B3">
              <w:rPr>
                <w:noProof/>
                <w:spacing w:val="-6"/>
                <w:lang w:val="sk-SK"/>
              </w:rPr>
              <w:t xml:space="preserve"> a </w:t>
            </w:r>
            <w:r w:rsidRPr="00AB26B3">
              <w:rPr>
                <w:noProof/>
                <w:spacing w:val="-6"/>
                <w:lang w:val="sk-SK"/>
              </w:rPr>
              <w:t>súkromných budov: obnovy zamerané na energetickú efektívnosť certifikované pre 140 budov</w:t>
            </w:r>
            <w:r w:rsidR="00AB26B3" w:rsidRPr="00AB26B3">
              <w:rPr>
                <w:noProof/>
                <w:spacing w:val="-6"/>
                <w:lang w:val="sk-SK"/>
              </w:rPr>
              <w:t xml:space="preserve"> s </w:t>
            </w:r>
            <w:r w:rsidRPr="00AB26B3">
              <w:rPr>
                <w:noProof/>
                <w:spacing w:val="-6"/>
                <w:lang w:val="sk-SK"/>
              </w:rPr>
              <w:t>úsporami primárnej energie</w:t>
            </w:r>
            <w:r w:rsidR="00AB26B3" w:rsidRPr="00AB26B3">
              <w:rPr>
                <w:noProof/>
                <w:spacing w:val="-6"/>
                <w:lang w:val="sk-SK"/>
              </w:rPr>
              <w:t xml:space="preserve"> v </w:t>
            </w:r>
            <w:r w:rsidRPr="00AB26B3">
              <w:rPr>
                <w:noProof/>
                <w:spacing w:val="-6"/>
                <w:lang w:val="sk-SK"/>
              </w:rPr>
              <w:t>priemere aspoň 30</w:t>
            </w:r>
            <w:r w:rsidR="00AB26B3" w:rsidRPr="00AB26B3">
              <w:rPr>
                <w:noProof/>
                <w:spacing w:val="-6"/>
                <w:lang w:val="sk-SK"/>
              </w:rPr>
              <w:t> %</w:t>
            </w:r>
            <w:r w:rsidRPr="00AB26B3">
              <w:rPr>
                <w:noProof/>
                <w:spacing w:val="-6"/>
                <w:lang w:val="sk-SK"/>
              </w:rPr>
              <w:t>.</w:t>
            </w:r>
          </w:p>
          <w:p w14:paraId="61A9A12A" w14:textId="7E9223EF" w:rsidR="00AB26B3" w:rsidRPr="00AB26B3" w:rsidRDefault="00D64F26">
            <w:pPr>
              <w:pStyle w:val="P68B1DB1-ListParagraph19"/>
              <w:numPr>
                <w:ilvl w:val="0"/>
                <w:numId w:val="84"/>
              </w:numPr>
              <w:spacing w:after="0" w:line="240" w:lineRule="auto"/>
              <w:rPr>
                <w:noProof/>
                <w:spacing w:val="-6"/>
                <w:lang w:val="sk-SK"/>
              </w:rPr>
            </w:pPr>
            <w:r w:rsidRPr="00AB26B3">
              <w:rPr>
                <w:noProof/>
                <w:spacing w:val="-6"/>
                <w:lang w:val="sk-SK"/>
              </w:rPr>
              <w:t>Systémy na ohrev vody</w:t>
            </w:r>
            <w:r w:rsidR="00AB26B3" w:rsidRPr="00AB26B3">
              <w:rPr>
                <w:noProof/>
                <w:spacing w:val="-6"/>
                <w:lang w:val="sk-SK"/>
              </w:rPr>
              <w:t xml:space="preserve"> z </w:t>
            </w:r>
            <w:r w:rsidRPr="00AB26B3">
              <w:rPr>
                <w:noProof/>
                <w:spacing w:val="-6"/>
                <w:lang w:val="sk-SK"/>
              </w:rPr>
              <w:t>obnoviteľných zdrojov: 161455 solárnych systémov ohrevu vody</w:t>
            </w:r>
            <w:r w:rsidR="00AB26B3" w:rsidRPr="00AB26B3">
              <w:rPr>
                <w:noProof/>
                <w:spacing w:val="-6"/>
                <w:lang w:val="sk-SK"/>
              </w:rPr>
              <w:t xml:space="preserve"> a </w:t>
            </w:r>
            <w:r w:rsidRPr="00AB26B3">
              <w:rPr>
                <w:noProof/>
                <w:spacing w:val="-6"/>
                <w:lang w:val="sk-SK"/>
              </w:rPr>
              <w:t>36600 tepelných čerpadiel nadobudnutých pre domácnosti,</w:t>
            </w:r>
            <w:r w:rsidR="00AB26B3" w:rsidRPr="00AB26B3">
              <w:rPr>
                <w:noProof/>
                <w:spacing w:val="-6"/>
                <w:lang w:val="sk-SK"/>
              </w:rPr>
              <w:t xml:space="preserve"> z </w:t>
            </w:r>
            <w:r w:rsidRPr="00AB26B3">
              <w:rPr>
                <w:noProof/>
                <w:spacing w:val="-6"/>
                <w:lang w:val="sk-SK"/>
              </w:rPr>
              <w:t>toho 28530</w:t>
            </w:r>
            <w:r w:rsidR="00AB26B3" w:rsidRPr="00AB26B3">
              <w:rPr>
                <w:noProof/>
                <w:spacing w:val="-6"/>
                <w:lang w:val="sk-SK"/>
              </w:rPr>
              <w:t xml:space="preserve"> a </w:t>
            </w:r>
            <w:r w:rsidRPr="00AB26B3">
              <w:rPr>
                <w:noProof/>
                <w:spacing w:val="-6"/>
                <w:lang w:val="sk-SK"/>
              </w:rPr>
              <w:t>3660 zraniteľných domácností</w:t>
            </w:r>
            <w:r w:rsidR="00AB26B3" w:rsidRPr="00AB26B3">
              <w:rPr>
                <w:noProof/>
                <w:spacing w:val="-6"/>
                <w:lang w:val="sk-SK"/>
              </w:rPr>
              <w:t>.</w:t>
            </w:r>
          </w:p>
          <w:p w14:paraId="493EC8D8" w14:textId="77777777" w:rsidR="00AB26B3" w:rsidRPr="00AB26B3" w:rsidRDefault="00D64F26">
            <w:pPr>
              <w:pStyle w:val="P68B1DB1-ListParagraph19"/>
              <w:numPr>
                <w:ilvl w:val="0"/>
                <w:numId w:val="84"/>
              </w:numPr>
              <w:spacing w:after="0" w:line="240" w:lineRule="auto"/>
              <w:rPr>
                <w:noProof/>
                <w:spacing w:val="-6"/>
                <w:lang w:val="sk-SK"/>
              </w:rPr>
            </w:pPr>
            <w:r w:rsidRPr="00AB26B3">
              <w:rPr>
                <w:noProof/>
                <w:spacing w:val="-6"/>
                <w:lang w:val="sk-SK"/>
              </w:rPr>
              <w:t>Inštalácia batériových systémov na uskladňovanie energie pre podniky</w:t>
            </w:r>
            <w:r w:rsidR="00AB26B3" w:rsidRPr="00AB26B3">
              <w:rPr>
                <w:noProof/>
                <w:spacing w:val="-6"/>
                <w:lang w:val="sk-SK"/>
              </w:rPr>
              <w:t xml:space="preserve"> s</w:t>
            </w:r>
          </w:p>
          <w:p w14:paraId="446EF4C0" w14:textId="52E8D4F6" w:rsidR="00302FC1" w:rsidRPr="00AB26B3" w:rsidRDefault="00D64F26">
            <w:pPr>
              <w:pStyle w:val="P68B1DB1-ListParagraph19"/>
              <w:spacing w:after="0" w:line="240" w:lineRule="auto"/>
              <w:ind w:left="360"/>
              <w:rPr>
                <w:rFonts w:eastAsia="Times New Roman"/>
                <w:noProof/>
                <w:spacing w:val="-6"/>
                <w:lang w:val="sk-SK"/>
              </w:rPr>
            </w:pPr>
            <w:r w:rsidRPr="00AB26B3">
              <w:rPr>
                <w:noProof/>
                <w:spacing w:val="-6"/>
                <w:lang w:val="sk-SK"/>
              </w:rPr>
              <w:t>celková kapacita 104 MW.</w:t>
            </w:r>
          </w:p>
        </w:tc>
      </w:tr>
    </w:tbl>
    <w:p w14:paraId="5796C69C" w14:textId="709218BF" w:rsidR="00302FC1" w:rsidRPr="00AB26B3" w:rsidRDefault="00D64F26">
      <w:pPr>
        <w:pStyle w:val="P68B1DB1-Normal9"/>
        <w:keepNext/>
        <w:keepLines/>
        <w:spacing w:before="240" w:after="240" w:line="240" w:lineRule="auto"/>
        <w:jc w:val="both"/>
        <w:outlineLvl w:val="4"/>
        <w:rPr>
          <w:rFonts w:ascii="Times New Roman" w:eastAsia="Times New Roman" w:hAnsi="Times New Roman"/>
          <w:noProof/>
          <w:spacing w:val="-6"/>
          <w:szCs w:val="24"/>
          <w:lang w:val="sk-SK"/>
        </w:rPr>
      </w:pPr>
      <w:r w:rsidRPr="00AB26B3">
        <w:rPr>
          <w:rFonts w:ascii="Times New Roman" w:hAnsi="Times New Roman"/>
          <w:noProof/>
          <w:spacing w:val="-6"/>
          <w:lang w:val="sk-SK"/>
        </w:rPr>
        <w:t>Investícia 3: Projekt výroby obnoviteľného vodíka (identifikačné číslo opatrenia: 16995)</w:t>
      </w:r>
    </w:p>
    <w:tbl>
      <w:tblPr>
        <w:tblW w:w="14341" w:type="dxa"/>
        <w:tblInd w:w="113" w:type="dxa"/>
        <w:tblLook w:val="04A0" w:firstRow="1" w:lastRow="0" w:firstColumn="1" w:lastColumn="0" w:noHBand="0" w:noVBand="1"/>
      </w:tblPr>
      <w:tblGrid>
        <w:gridCol w:w="704"/>
        <w:gridCol w:w="2165"/>
        <w:gridCol w:w="1094"/>
        <w:gridCol w:w="1304"/>
        <w:gridCol w:w="1553"/>
        <w:gridCol w:w="1205"/>
        <w:gridCol w:w="927"/>
        <w:gridCol w:w="713"/>
        <w:gridCol w:w="1119"/>
        <w:gridCol w:w="720"/>
        <w:gridCol w:w="3133"/>
      </w:tblGrid>
      <w:tr w:rsidR="00302FC1" w:rsidRPr="00AB26B3" w14:paraId="0DA20308" w14:textId="77777777">
        <w:trPr>
          <w:trHeight w:val="927"/>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4E2104" w14:textId="1E539D66"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21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558832"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Súvisiace opatrenie (reforma alebo investícia)</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56B5AA"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Míľnik/cieľ</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8409E2"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Názov</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37BF5C0"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Kvalitatívne ukazovatele (pre míľniky)</w:t>
            </w:r>
          </w:p>
        </w:tc>
        <w:tc>
          <w:tcPr>
            <w:tcW w:w="284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58F87A3"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Kvantitatívne ukazovatele (pre ciele)</w:t>
            </w:r>
          </w:p>
        </w:tc>
        <w:tc>
          <w:tcPr>
            <w:tcW w:w="1642" w:type="dxa"/>
            <w:gridSpan w:val="2"/>
            <w:tcBorders>
              <w:top w:val="single" w:sz="4" w:space="0" w:color="auto"/>
              <w:left w:val="nil"/>
              <w:bottom w:val="single" w:sz="4" w:space="0" w:color="auto"/>
              <w:right w:val="single" w:sz="4" w:space="0" w:color="auto"/>
            </w:tcBorders>
            <w:shd w:val="clear" w:color="auto" w:fill="BDD7EE"/>
            <w:vAlign w:val="center"/>
            <w:hideMark/>
          </w:tcPr>
          <w:p w14:paraId="2E535D98"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Orientačný harmonogram dokončenia </w:t>
            </w:r>
          </w:p>
        </w:tc>
        <w:tc>
          <w:tcPr>
            <w:tcW w:w="31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F3A60D7" w14:textId="1BAF2E5D"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1BE31032" w14:textId="77777777">
        <w:trPr>
          <w:trHeight w:val="10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B5B051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165" w:type="dxa"/>
            <w:vMerge/>
            <w:tcBorders>
              <w:top w:val="single" w:sz="4" w:space="0" w:color="auto"/>
              <w:left w:val="single" w:sz="4" w:space="0" w:color="auto"/>
              <w:bottom w:val="single" w:sz="4" w:space="0" w:color="auto"/>
              <w:right w:val="single" w:sz="4" w:space="0" w:color="auto"/>
            </w:tcBorders>
            <w:vAlign w:val="center"/>
            <w:hideMark/>
          </w:tcPr>
          <w:p w14:paraId="0DDF7CF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51C9738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863036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498640B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20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6D6C18"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Merná jednotka</w:t>
            </w:r>
          </w:p>
        </w:tc>
        <w:tc>
          <w:tcPr>
            <w:tcW w:w="9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6D8B6BB"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Základná </w:t>
            </w:r>
          </w:p>
        </w:tc>
        <w:tc>
          <w:tcPr>
            <w:tcW w:w="71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2E6C786"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 xml:space="preserve">Cieľ </w:t>
            </w:r>
          </w:p>
        </w:tc>
        <w:tc>
          <w:tcPr>
            <w:tcW w:w="92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A81443C"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Štvrtina</w:t>
            </w:r>
          </w:p>
        </w:tc>
        <w:tc>
          <w:tcPr>
            <w:tcW w:w="7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C23827F" w14:textId="77777777" w:rsidR="00302FC1" w:rsidRPr="00AB26B3" w:rsidRDefault="00D64F26">
            <w:pPr>
              <w:pStyle w:val="P68B1DB1-Normal14"/>
              <w:spacing w:after="0" w:line="240" w:lineRule="auto"/>
              <w:jc w:val="center"/>
              <w:rPr>
                <w:rFonts w:eastAsia="Times New Roman"/>
                <w:bCs/>
                <w:noProof/>
                <w:spacing w:val="-6"/>
                <w:lang w:val="sk-SK"/>
              </w:rPr>
            </w:pPr>
            <w:r w:rsidRPr="00AB26B3">
              <w:rPr>
                <w:noProof/>
                <w:spacing w:val="-6"/>
                <w:lang w:val="sk-SK"/>
              </w:rPr>
              <w:t>Rok</w:t>
            </w:r>
          </w:p>
        </w:tc>
        <w:tc>
          <w:tcPr>
            <w:tcW w:w="3133" w:type="dxa"/>
            <w:vMerge/>
            <w:tcBorders>
              <w:top w:val="single" w:sz="4" w:space="0" w:color="auto"/>
              <w:left w:val="single" w:sz="4" w:space="0" w:color="auto"/>
              <w:bottom w:val="single" w:sz="4" w:space="0" w:color="auto"/>
              <w:right w:val="single" w:sz="4" w:space="0" w:color="auto"/>
            </w:tcBorders>
            <w:vAlign w:val="center"/>
            <w:hideMark/>
          </w:tcPr>
          <w:p w14:paraId="39520DAA"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1CCF606D" w14:textId="77777777">
        <w:tc>
          <w:tcPr>
            <w:tcW w:w="704" w:type="dxa"/>
            <w:tcBorders>
              <w:top w:val="single" w:sz="4" w:space="0" w:color="auto"/>
              <w:left w:val="single" w:sz="4" w:space="0" w:color="auto"/>
              <w:bottom w:val="single" w:sz="4" w:space="0" w:color="auto"/>
              <w:right w:val="single" w:sz="4" w:space="0" w:color="auto"/>
            </w:tcBorders>
            <w:shd w:val="clear" w:color="auto" w:fill="C6EFCE"/>
            <w:noWrap/>
          </w:tcPr>
          <w:p w14:paraId="70F1150B"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370</w:t>
            </w:r>
          </w:p>
        </w:tc>
        <w:tc>
          <w:tcPr>
            <w:tcW w:w="2165" w:type="dxa"/>
            <w:tcBorders>
              <w:top w:val="single" w:sz="4" w:space="0" w:color="auto"/>
              <w:left w:val="nil"/>
              <w:bottom w:val="single" w:sz="4" w:space="0" w:color="auto"/>
              <w:right w:val="single" w:sz="4" w:space="0" w:color="auto"/>
            </w:tcBorders>
            <w:shd w:val="clear" w:color="auto" w:fill="C6EFCE"/>
            <w:noWrap/>
          </w:tcPr>
          <w:p w14:paraId="6BC140C1" w14:textId="5E14388F" w:rsidR="00302FC1" w:rsidRPr="00AB26B3" w:rsidRDefault="00D64F26">
            <w:pPr>
              <w:pStyle w:val="P68B1DB1-Normal12"/>
              <w:spacing w:after="0" w:line="240" w:lineRule="auto"/>
              <w:rPr>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16995_Projekt výroby vodíka</w:t>
            </w:r>
            <w:r w:rsidR="00AB26B3" w:rsidRPr="00AB26B3">
              <w:rPr>
                <w:noProof/>
                <w:spacing w:val="-6"/>
                <w:lang w:val="sk-SK"/>
              </w:rPr>
              <w:t xml:space="preserve"> z </w:t>
            </w:r>
            <w:r w:rsidRPr="00AB26B3">
              <w:rPr>
                <w:noProof/>
                <w:spacing w:val="-6"/>
                <w:lang w:val="sk-SK"/>
              </w:rPr>
              <w:t>obnoviteľných zdrojov</w:t>
            </w:r>
          </w:p>
        </w:tc>
        <w:tc>
          <w:tcPr>
            <w:tcW w:w="1094" w:type="dxa"/>
            <w:tcBorders>
              <w:top w:val="single" w:sz="4" w:space="0" w:color="auto"/>
              <w:left w:val="nil"/>
              <w:bottom w:val="single" w:sz="4" w:space="0" w:color="auto"/>
              <w:right w:val="single" w:sz="4" w:space="0" w:color="auto"/>
            </w:tcBorders>
            <w:shd w:val="clear" w:color="auto" w:fill="C6EFCE"/>
            <w:noWrap/>
          </w:tcPr>
          <w:p w14:paraId="6FDE0C65"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5" w:type="dxa"/>
            <w:tcBorders>
              <w:top w:val="single" w:sz="4" w:space="0" w:color="auto"/>
              <w:left w:val="nil"/>
              <w:bottom w:val="single" w:sz="4" w:space="0" w:color="auto"/>
              <w:right w:val="single" w:sz="4" w:space="0" w:color="auto"/>
            </w:tcBorders>
            <w:shd w:val="clear" w:color="auto" w:fill="C6EFCE"/>
            <w:noWrap/>
          </w:tcPr>
          <w:p w14:paraId="348E6844" w14:textId="6153BAB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Vydanie spoločného ministerského rozhodnutia</w:t>
            </w:r>
            <w:r w:rsidR="00AB26B3" w:rsidRPr="00AB26B3">
              <w:rPr>
                <w:noProof/>
                <w:spacing w:val="-6"/>
                <w:lang w:val="sk-SK"/>
              </w:rPr>
              <w:t xml:space="preserve"> o </w:t>
            </w:r>
            <w:r w:rsidRPr="00AB26B3">
              <w:rPr>
                <w:noProof/>
                <w:spacing w:val="-6"/>
                <w:lang w:val="sk-SK"/>
              </w:rPr>
              <w:t>poskytnutí grantu príjemcovi</w:t>
            </w:r>
          </w:p>
        </w:tc>
        <w:tc>
          <w:tcPr>
            <w:tcW w:w="1553" w:type="dxa"/>
            <w:tcBorders>
              <w:top w:val="single" w:sz="4" w:space="0" w:color="auto"/>
              <w:left w:val="nil"/>
              <w:bottom w:val="single" w:sz="4" w:space="0" w:color="auto"/>
              <w:right w:val="single" w:sz="4" w:space="0" w:color="auto"/>
            </w:tcBorders>
            <w:shd w:val="clear" w:color="auto" w:fill="C6EFCE"/>
            <w:noWrap/>
          </w:tcPr>
          <w:p w14:paraId="5642CFFE"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Vydanie spoločného ministerského rozhodnutia</w:t>
            </w:r>
          </w:p>
        </w:tc>
        <w:tc>
          <w:tcPr>
            <w:tcW w:w="1205" w:type="dxa"/>
            <w:tcBorders>
              <w:top w:val="single" w:sz="4" w:space="0" w:color="auto"/>
              <w:left w:val="nil"/>
              <w:bottom w:val="single" w:sz="4" w:space="0" w:color="auto"/>
              <w:right w:val="single" w:sz="4" w:space="0" w:color="auto"/>
            </w:tcBorders>
            <w:shd w:val="clear" w:color="auto" w:fill="C6EFCE"/>
            <w:noWrap/>
          </w:tcPr>
          <w:p w14:paraId="5C323490"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tcBorders>
              <w:top w:val="single" w:sz="4" w:space="0" w:color="auto"/>
              <w:left w:val="nil"/>
              <w:bottom w:val="single" w:sz="4" w:space="0" w:color="auto"/>
              <w:right w:val="single" w:sz="4" w:space="0" w:color="auto"/>
            </w:tcBorders>
            <w:shd w:val="clear" w:color="auto" w:fill="C6EFCE"/>
            <w:noWrap/>
          </w:tcPr>
          <w:p w14:paraId="0D176AB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tcBorders>
              <w:top w:val="single" w:sz="4" w:space="0" w:color="auto"/>
              <w:left w:val="nil"/>
              <w:bottom w:val="single" w:sz="4" w:space="0" w:color="auto"/>
              <w:right w:val="single" w:sz="4" w:space="0" w:color="auto"/>
            </w:tcBorders>
            <w:shd w:val="clear" w:color="auto" w:fill="C6EFCE"/>
            <w:noWrap/>
          </w:tcPr>
          <w:p w14:paraId="5666496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tcBorders>
              <w:top w:val="single" w:sz="4" w:space="0" w:color="auto"/>
              <w:left w:val="nil"/>
              <w:bottom w:val="single" w:sz="4" w:space="0" w:color="auto"/>
              <w:right w:val="single" w:sz="4" w:space="0" w:color="auto"/>
            </w:tcBorders>
            <w:shd w:val="clear" w:color="auto" w:fill="C6EFCE"/>
            <w:noWrap/>
          </w:tcPr>
          <w:p w14:paraId="2D1B84A2"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ŠTVRŤROK</w:t>
            </w:r>
          </w:p>
        </w:tc>
        <w:tc>
          <w:tcPr>
            <w:tcW w:w="720" w:type="dxa"/>
            <w:tcBorders>
              <w:top w:val="single" w:sz="4" w:space="0" w:color="auto"/>
              <w:left w:val="nil"/>
              <w:bottom w:val="single" w:sz="4" w:space="0" w:color="auto"/>
              <w:right w:val="single" w:sz="4" w:space="0" w:color="auto"/>
            </w:tcBorders>
            <w:shd w:val="clear" w:color="auto" w:fill="C6EFCE"/>
            <w:noWrap/>
          </w:tcPr>
          <w:p w14:paraId="13BC10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2024</w:t>
            </w:r>
          </w:p>
        </w:tc>
        <w:tc>
          <w:tcPr>
            <w:tcW w:w="3133" w:type="dxa"/>
            <w:tcBorders>
              <w:top w:val="single" w:sz="4" w:space="0" w:color="auto"/>
              <w:left w:val="nil"/>
              <w:bottom w:val="single" w:sz="4" w:space="0" w:color="auto"/>
              <w:right w:val="single" w:sz="4" w:space="0" w:color="auto"/>
            </w:tcBorders>
            <w:shd w:val="clear" w:color="auto" w:fill="C6EFCE"/>
            <w:noWrap/>
          </w:tcPr>
          <w:p w14:paraId="30E00292" w14:textId="6BD2F3A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Vydanie spoločného ministerského rozhodnutia</w:t>
            </w:r>
            <w:r w:rsidR="00AB26B3" w:rsidRPr="00AB26B3">
              <w:rPr>
                <w:noProof/>
                <w:spacing w:val="-6"/>
                <w:lang w:val="sk-SK"/>
              </w:rPr>
              <w:t xml:space="preserve"> o </w:t>
            </w:r>
            <w:r w:rsidRPr="00AB26B3">
              <w:rPr>
                <w:noProof/>
                <w:spacing w:val="-6"/>
                <w:lang w:val="sk-SK"/>
              </w:rPr>
              <w:t>poskytnutí grantu príjemcovi na najmenej 45 MW nového nainštalovaného obnoviteľného vodíka.</w:t>
            </w:r>
          </w:p>
        </w:tc>
      </w:tr>
      <w:tr w:rsidR="00302FC1" w:rsidRPr="00AB26B3" w14:paraId="19A0A255" w14:textId="77777777">
        <w:trPr>
          <w:trHeight w:val="2505"/>
        </w:trPr>
        <w:tc>
          <w:tcPr>
            <w:tcW w:w="704" w:type="dxa"/>
            <w:tcBorders>
              <w:top w:val="nil"/>
              <w:left w:val="single" w:sz="4" w:space="0" w:color="auto"/>
              <w:bottom w:val="single" w:sz="4" w:space="0" w:color="auto"/>
              <w:right w:val="single" w:sz="4" w:space="0" w:color="auto"/>
            </w:tcBorders>
            <w:shd w:val="clear" w:color="auto" w:fill="C6EFCE"/>
            <w:noWrap/>
          </w:tcPr>
          <w:p w14:paraId="5AB2F0B7"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371</w:t>
            </w:r>
          </w:p>
        </w:tc>
        <w:tc>
          <w:tcPr>
            <w:tcW w:w="2165" w:type="dxa"/>
            <w:tcBorders>
              <w:top w:val="nil"/>
              <w:left w:val="nil"/>
              <w:bottom w:val="single" w:sz="4" w:space="0" w:color="auto"/>
              <w:right w:val="single" w:sz="4" w:space="0" w:color="auto"/>
            </w:tcBorders>
            <w:shd w:val="clear" w:color="auto" w:fill="C6EFCE"/>
            <w:noWrap/>
          </w:tcPr>
          <w:p w14:paraId="1DC98263" w14:textId="235A97C9"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16995_Projekt výroby vodíka</w:t>
            </w:r>
            <w:r w:rsidR="00AB26B3" w:rsidRPr="00AB26B3">
              <w:rPr>
                <w:noProof/>
                <w:spacing w:val="-6"/>
                <w:lang w:val="sk-SK"/>
              </w:rPr>
              <w:t xml:space="preserve"> z </w:t>
            </w:r>
            <w:r w:rsidRPr="00AB26B3">
              <w:rPr>
                <w:noProof/>
                <w:spacing w:val="-6"/>
                <w:lang w:val="sk-SK"/>
              </w:rPr>
              <w:t>obnoviteľných zdrojov</w:t>
            </w:r>
          </w:p>
        </w:tc>
        <w:tc>
          <w:tcPr>
            <w:tcW w:w="1094" w:type="dxa"/>
            <w:tcBorders>
              <w:top w:val="nil"/>
              <w:left w:val="nil"/>
              <w:bottom w:val="single" w:sz="4" w:space="0" w:color="auto"/>
              <w:right w:val="single" w:sz="4" w:space="0" w:color="auto"/>
            </w:tcBorders>
            <w:shd w:val="clear" w:color="auto" w:fill="C6EFCE"/>
            <w:noWrap/>
          </w:tcPr>
          <w:p w14:paraId="569BC4A3"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205" w:type="dxa"/>
            <w:tcBorders>
              <w:top w:val="nil"/>
              <w:left w:val="nil"/>
              <w:bottom w:val="single" w:sz="4" w:space="0" w:color="auto"/>
              <w:right w:val="single" w:sz="4" w:space="0" w:color="auto"/>
            </w:tcBorders>
            <w:shd w:val="clear" w:color="auto" w:fill="C6EFCE"/>
            <w:noWrap/>
          </w:tcPr>
          <w:p w14:paraId="30D395A8" w14:textId="2475304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Kapacita výroby vodíka</w:t>
            </w:r>
            <w:r w:rsidR="00AB26B3" w:rsidRPr="00AB26B3">
              <w:rPr>
                <w:noProof/>
                <w:spacing w:val="-6"/>
                <w:lang w:val="sk-SK"/>
              </w:rPr>
              <w:t xml:space="preserve"> z </w:t>
            </w:r>
            <w:r w:rsidRPr="00AB26B3">
              <w:rPr>
                <w:noProof/>
                <w:spacing w:val="-6"/>
                <w:lang w:val="sk-SK"/>
              </w:rPr>
              <w:t>obnoviteľných zdrojov</w:t>
            </w:r>
          </w:p>
        </w:tc>
        <w:tc>
          <w:tcPr>
            <w:tcW w:w="1553" w:type="dxa"/>
            <w:tcBorders>
              <w:top w:val="nil"/>
              <w:left w:val="nil"/>
              <w:bottom w:val="single" w:sz="4" w:space="0" w:color="auto"/>
              <w:right w:val="single" w:sz="4" w:space="0" w:color="auto"/>
            </w:tcBorders>
            <w:shd w:val="clear" w:color="auto" w:fill="C6EFCE"/>
            <w:noWrap/>
          </w:tcPr>
          <w:p w14:paraId="40210BD9" w14:textId="77777777" w:rsidR="00302FC1" w:rsidRPr="00AB26B3" w:rsidRDefault="00D64F26">
            <w:pPr>
              <w:pStyle w:val="P68B1DB1-Normal24"/>
              <w:spacing w:after="0" w:line="240" w:lineRule="auto"/>
              <w:rPr>
                <w:noProof/>
                <w:spacing w:val="-6"/>
                <w:lang w:val="sk-SK"/>
              </w:rPr>
            </w:pPr>
            <w:r w:rsidRPr="00AB26B3">
              <w:rPr>
                <w:noProof/>
                <w:spacing w:val="-6"/>
                <w:lang w:val="sk-SK"/>
              </w:rPr>
              <w:t xml:space="preserve">Technická správa nezávislého certifikačného orgánu </w:t>
            </w:r>
          </w:p>
        </w:tc>
        <w:tc>
          <w:tcPr>
            <w:tcW w:w="1205" w:type="dxa"/>
            <w:tcBorders>
              <w:top w:val="nil"/>
              <w:left w:val="nil"/>
              <w:bottom w:val="single" w:sz="4" w:space="0" w:color="auto"/>
              <w:right w:val="single" w:sz="4" w:space="0" w:color="auto"/>
            </w:tcBorders>
            <w:shd w:val="clear" w:color="auto" w:fill="C6EFCE"/>
            <w:noWrap/>
          </w:tcPr>
          <w:p w14:paraId="4ED0580D"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7" w:type="dxa"/>
            <w:tcBorders>
              <w:top w:val="nil"/>
              <w:left w:val="nil"/>
              <w:bottom w:val="single" w:sz="4" w:space="0" w:color="auto"/>
              <w:right w:val="single" w:sz="4" w:space="0" w:color="auto"/>
            </w:tcBorders>
            <w:shd w:val="clear" w:color="auto" w:fill="C6EFCE"/>
            <w:noWrap/>
          </w:tcPr>
          <w:p w14:paraId="29CECAD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713" w:type="dxa"/>
            <w:tcBorders>
              <w:top w:val="nil"/>
              <w:left w:val="nil"/>
              <w:bottom w:val="single" w:sz="4" w:space="0" w:color="auto"/>
              <w:right w:val="single" w:sz="4" w:space="0" w:color="auto"/>
            </w:tcBorders>
            <w:shd w:val="clear" w:color="auto" w:fill="C6EFCE"/>
            <w:noWrap/>
          </w:tcPr>
          <w:p w14:paraId="7D490F1E"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922" w:type="dxa"/>
            <w:tcBorders>
              <w:top w:val="nil"/>
              <w:left w:val="nil"/>
              <w:bottom w:val="single" w:sz="4" w:space="0" w:color="auto"/>
              <w:right w:val="single" w:sz="4" w:space="0" w:color="auto"/>
            </w:tcBorders>
            <w:shd w:val="clear" w:color="auto" w:fill="C6EFCE"/>
            <w:noWrap/>
          </w:tcPr>
          <w:p w14:paraId="76D5F0C0"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 xml:space="preserve">ŠTVRTÝ ŠTVRŤROK </w:t>
            </w:r>
          </w:p>
        </w:tc>
        <w:tc>
          <w:tcPr>
            <w:tcW w:w="720" w:type="dxa"/>
            <w:tcBorders>
              <w:top w:val="nil"/>
              <w:left w:val="nil"/>
              <w:bottom w:val="single" w:sz="4" w:space="0" w:color="auto"/>
              <w:right w:val="single" w:sz="4" w:space="0" w:color="auto"/>
            </w:tcBorders>
            <w:shd w:val="clear" w:color="auto" w:fill="C6EFCE"/>
            <w:noWrap/>
          </w:tcPr>
          <w:p w14:paraId="0881E386"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2025</w:t>
            </w:r>
          </w:p>
        </w:tc>
        <w:tc>
          <w:tcPr>
            <w:tcW w:w="3133" w:type="dxa"/>
            <w:tcBorders>
              <w:top w:val="nil"/>
              <w:left w:val="nil"/>
              <w:bottom w:val="single" w:sz="4" w:space="0" w:color="auto"/>
              <w:right w:val="single" w:sz="4" w:space="0" w:color="auto"/>
            </w:tcBorders>
            <w:shd w:val="clear" w:color="auto" w:fill="C6EFCE"/>
            <w:noWrap/>
          </w:tcPr>
          <w:p w14:paraId="7A024333" w14:textId="59FBE65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Inštalácia zariadení na výrobu vodíka</w:t>
            </w:r>
            <w:r w:rsidR="00AB26B3" w:rsidRPr="00AB26B3">
              <w:rPr>
                <w:noProof/>
                <w:spacing w:val="-6"/>
                <w:lang w:val="sk-SK"/>
              </w:rPr>
              <w:t xml:space="preserve"> z </w:t>
            </w:r>
            <w:r w:rsidRPr="00AB26B3">
              <w:rPr>
                <w:noProof/>
                <w:spacing w:val="-6"/>
                <w:lang w:val="sk-SK"/>
              </w:rPr>
              <w:t>obnoviteľných zdrojov elektrolýzou</w:t>
            </w:r>
            <w:r w:rsidR="00AB26B3" w:rsidRPr="00AB26B3">
              <w:rPr>
                <w:noProof/>
                <w:spacing w:val="-6"/>
                <w:lang w:val="sk-SK"/>
              </w:rPr>
              <w:t xml:space="preserve"> s </w:t>
            </w:r>
            <w:r w:rsidRPr="00AB26B3">
              <w:rPr>
                <w:noProof/>
                <w:spacing w:val="-6"/>
                <w:lang w:val="sk-SK"/>
              </w:rPr>
              <w:t>kapacitou najmenej 45 MW. To zahŕňa inštaláciu elektrolyzérov, pomocných zariadení</w:t>
            </w:r>
            <w:r w:rsidR="00AB26B3" w:rsidRPr="00AB26B3">
              <w:rPr>
                <w:noProof/>
                <w:spacing w:val="-6"/>
                <w:lang w:val="sk-SK"/>
              </w:rPr>
              <w:t xml:space="preserve"> a </w:t>
            </w:r>
            <w:r w:rsidRPr="00AB26B3">
              <w:rPr>
                <w:noProof/>
                <w:spacing w:val="-6"/>
                <w:lang w:val="sk-SK"/>
              </w:rPr>
              <w:t>elektrickej rozvodne, ako aj inštaláciu vodíkovej siete na kompresiu, kondicionovanie, meranie</w:t>
            </w:r>
            <w:r w:rsidR="00AB26B3" w:rsidRPr="00AB26B3">
              <w:rPr>
                <w:noProof/>
                <w:spacing w:val="-6"/>
                <w:lang w:val="sk-SK"/>
              </w:rPr>
              <w:t xml:space="preserve"> a </w:t>
            </w:r>
            <w:r w:rsidRPr="00AB26B3">
              <w:rPr>
                <w:noProof/>
                <w:spacing w:val="-6"/>
                <w:lang w:val="sk-SK"/>
              </w:rPr>
              <w:t>čistenie, prenos</w:t>
            </w:r>
            <w:r w:rsidR="00AB26B3" w:rsidRPr="00AB26B3">
              <w:rPr>
                <w:noProof/>
                <w:spacing w:val="-6"/>
                <w:lang w:val="sk-SK"/>
              </w:rPr>
              <w:t xml:space="preserve"> a </w:t>
            </w:r>
            <w:r w:rsidRPr="00AB26B3">
              <w:rPr>
                <w:noProof/>
                <w:spacing w:val="-6"/>
                <w:lang w:val="sk-SK"/>
              </w:rPr>
              <w:t>distribúciu vodíka</w:t>
            </w:r>
            <w:r w:rsidR="00AB26B3" w:rsidRPr="00AB26B3">
              <w:rPr>
                <w:noProof/>
                <w:spacing w:val="-6"/>
                <w:lang w:val="sk-SK"/>
              </w:rPr>
              <w:t xml:space="preserve"> z </w:t>
            </w:r>
            <w:r w:rsidRPr="00AB26B3">
              <w:rPr>
                <w:noProof/>
                <w:spacing w:val="-6"/>
                <w:lang w:val="sk-SK"/>
              </w:rPr>
              <w:t>elektrolyzérov</w:t>
            </w:r>
            <w:r w:rsidR="00AB26B3" w:rsidRPr="00AB26B3">
              <w:rPr>
                <w:noProof/>
                <w:spacing w:val="-6"/>
                <w:lang w:val="sk-SK"/>
              </w:rPr>
              <w:t xml:space="preserve"> a </w:t>
            </w:r>
            <w:r w:rsidRPr="00AB26B3">
              <w:rPr>
                <w:noProof/>
                <w:spacing w:val="-6"/>
                <w:lang w:val="sk-SK"/>
              </w:rPr>
              <w:t>vstrekovacieho zariadenia.</w:t>
            </w:r>
          </w:p>
          <w:p w14:paraId="73EB015F"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r>
    </w:tbl>
    <w:p w14:paraId="4280646E" w14:textId="77777777" w:rsidR="00302FC1" w:rsidRPr="00AB26B3" w:rsidRDefault="00D64F26">
      <w:pPr>
        <w:pStyle w:val="NormalWeb"/>
        <w:keepNext/>
        <w:spacing w:before="40" w:after="0" w:line="259" w:lineRule="auto"/>
        <w:ind w:left="130" w:firstLine="720"/>
        <w:jc w:val="both"/>
        <w:outlineLvl w:val="1"/>
        <w:rPr>
          <w:noProof/>
          <w:spacing w:val="-6"/>
          <w:lang w:val="sk-SK"/>
        </w:rPr>
        <w:sectPr w:rsidR="00302FC1" w:rsidRPr="00AB26B3" w:rsidSect="00315FC0">
          <w:headerReference w:type="even" r:id="rId364"/>
          <w:headerReference w:type="default" r:id="rId365"/>
          <w:footerReference w:type="even" r:id="rId366"/>
          <w:footerReference w:type="default" r:id="rId367"/>
          <w:headerReference w:type="first" r:id="rId368"/>
          <w:footerReference w:type="first" r:id="rId369"/>
          <w:pgSz w:w="16839" w:h="11907" w:orient="landscape"/>
          <w:pgMar w:top="1417" w:right="1134" w:bottom="1417" w:left="1134" w:header="709" w:footer="327" w:gutter="0"/>
          <w:cols w:space="720"/>
          <w:docGrid w:linePitch="360"/>
        </w:sectPr>
      </w:pPr>
      <w:r w:rsidRPr="00AB26B3">
        <w:rPr>
          <w:noProof/>
          <w:spacing w:val="-6"/>
          <w:lang w:val="sk-SK"/>
        </w:rPr>
        <w:br w:type="page"/>
      </w:r>
    </w:p>
    <w:p w14:paraId="1D825CF2" w14:textId="77777777" w:rsidR="00302FC1" w:rsidRPr="00AB26B3" w:rsidRDefault="00D64F26">
      <w:pPr>
        <w:pStyle w:val="P68B1DB1-Normal16"/>
        <w:spacing w:before="120" w:after="120" w:line="240" w:lineRule="auto"/>
        <w:ind w:firstLine="6"/>
        <w:jc w:val="both"/>
        <w:outlineLvl w:val="3"/>
        <w:rPr>
          <w:rFonts w:cs="Times New Roman"/>
          <w:bCs/>
          <w:noProof/>
          <w:spacing w:val="-6"/>
          <w:lang w:val="sk-SK"/>
        </w:rPr>
      </w:pPr>
      <w:r w:rsidRPr="00AB26B3">
        <w:rPr>
          <w:noProof/>
          <w:spacing w:val="-6"/>
          <w:lang w:val="sk-SK"/>
        </w:rPr>
        <w:t>S. TECHNICKÁ POMOC</w:t>
      </w:r>
    </w:p>
    <w:p w14:paraId="2D3469FC" w14:textId="4C81C09A"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Tento komponent gréckeho plánu obnovy</w:t>
      </w:r>
      <w:r w:rsidR="00AB26B3" w:rsidRPr="00AB26B3">
        <w:rPr>
          <w:noProof/>
          <w:spacing w:val="-6"/>
          <w:lang w:val="sk-SK"/>
        </w:rPr>
        <w:t xml:space="preserve"> a </w:t>
      </w:r>
      <w:r w:rsidRPr="00AB26B3">
        <w:rPr>
          <w:noProof/>
          <w:spacing w:val="-6"/>
          <w:lang w:val="sk-SK"/>
        </w:rPr>
        <w:t>odolnosti pozostáva</w:t>
      </w:r>
      <w:r w:rsidR="00AB26B3" w:rsidRPr="00AB26B3">
        <w:rPr>
          <w:noProof/>
          <w:spacing w:val="-6"/>
          <w:lang w:val="sk-SK"/>
        </w:rPr>
        <w:t xml:space="preserve"> z </w:t>
      </w:r>
      <w:r w:rsidRPr="00AB26B3">
        <w:rPr>
          <w:noProof/>
          <w:spacing w:val="-6"/>
          <w:lang w:val="sk-SK"/>
        </w:rPr>
        <w:t>opatrení na posilnenie administratívnej kapacity Agentúry pre Mechanizmus na podporu obnovy</w:t>
      </w:r>
      <w:r w:rsidR="00AB26B3" w:rsidRPr="00AB26B3">
        <w:rPr>
          <w:noProof/>
          <w:spacing w:val="-6"/>
          <w:lang w:val="sk-SK"/>
        </w:rPr>
        <w:t xml:space="preserve"> a </w:t>
      </w:r>
      <w:r w:rsidRPr="00AB26B3">
        <w:rPr>
          <w:noProof/>
          <w:spacing w:val="-6"/>
          <w:lang w:val="sk-SK"/>
        </w:rPr>
        <w:t>odolnosti, ktorá je novovytvorenou štruktúrou zameranou výlučne na koordináciu</w:t>
      </w:r>
      <w:r w:rsidR="00AB26B3" w:rsidRPr="00AB26B3">
        <w:rPr>
          <w:noProof/>
          <w:spacing w:val="-6"/>
          <w:lang w:val="sk-SK"/>
        </w:rPr>
        <w:t xml:space="preserve"> a </w:t>
      </w:r>
      <w:r w:rsidRPr="00AB26B3">
        <w:rPr>
          <w:noProof/>
          <w:spacing w:val="-6"/>
          <w:lang w:val="sk-SK"/>
        </w:rPr>
        <w:t>vykonávanie gréckeho plánu obnovy</w:t>
      </w:r>
      <w:r w:rsidR="00AB26B3" w:rsidRPr="00AB26B3">
        <w:rPr>
          <w:noProof/>
          <w:spacing w:val="-6"/>
          <w:lang w:val="sk-SK"/>
        </w:rPr>
        <w:t xml:space="preserve"> a </w:t>
      </w:r>
      <w:r w:rsidRPr="00AB26B3">
        <w:rPr>
          <w:noProof/>
          <w:spacing w:val="-6"/>
          <w:lang w:val="sk-SK"/>
        </w:rPr>
        <w:t>odolnosti. Cieľom opatrenia je poskytnúť gréckej správe potrebnú pomoc na úspešné riadenie vykonávania plánu obnovy</w:t>
      </w:r>
      <w:r w:rsidR="00AB26B3" w:rsidRPr="00AB26B3">
        <w:rPr>
          <w:noProof/>
          <w:spacing w:val="-6"/>
          <w:lang w:val="sk-SK"/>
        </w:rPr>
        <w:t xml:space="preserve"> a </w:t>
      </w:r>
      <w:r w:rsidRPr="00AB26B3">
        <w:rPr>
          <w:noProof/>
          <w:spacing w:val="-6"/>
          <w:lang w:val="sk-SK"/>
        </w:rPr>
        <w:t>odolnosti. Očakáva sa teda, že nepriamo prispeje</w:t>
      </w:r>
      <w:r w:rsidR="00AB26B3" w:rsidRPr="00AB26B3">
        <w:rPr>
          <w:noProof/>
          <w:spacing w:val="-6"/>
          <w:lang w:val="sk-SK"/>
        </w:rPr>
        <w:t xml:space="preserve"> k </w:t>
      </w:r>
      <w:r w:rsidRPr="00AB26B3">
        <w:rPr>
          <w:noProof/>
          <w:spacing w:val="-6"/>
          <w:lang w:val="sk-SK"/>
        </w:rPr>
        <w:t>cieľom plánu obnovy</w:t>
      </w:r>
      <w:r w:rsidR="00AB26B3" w:rsidRPr="00AB26B3">
        <w:rPr>
          <w:noProof/>
          <w:spacing w:val="-6"/>
          <w:lang w:val="sk-SK"/>
        </w:rPr>
        <w:t xml:space="preserve"> a </w:t>
      </w:r>
      <w:r w:rsidRPr="00AB26B3">
        <w:rPr>
          <w:noProof/>
          <w:spacing w:val="-6"/>
          <w:lang w:val="sk-SK"/>
        </w:rPr>
        <w:t>odolnosti podporeným opatreniami zahrnutými</w:t>
      </w:r>
      <w:r w:rsidR="00AB26B3" w:rsidRPr="00AB26B3">
        <w:rPr>
          <w:noProof/>
          <w:spacing w:val="-6"/>
          <w:lang w:val="sk-SK"/>
        </w:rPr>
        <w:t xml:space="preserve"> v </w:t>
      </w:r>
      <w:r w:rsidRPr="00AB26B3">
        <w:rPr>
          <w:noProof/>
          <w:spacing w:val="-6"/>
          <w:lang w:val="sk-SK"/>
        </w:rPr>
        <w:t>rámci štyroch pilierov</w:t>
      </w:r>
      <w:r w:rsidR="00AB26B3" w:rsidRPr="00AB26B3">
        <w:rPr>
          <w:noProof/>
          <w:spacing w:val="-6"/>
          <w:lang w:val="sk-SK"/>
        </w:rPr>
        <w:t xml:space="preserve"> a </w:t>
      </w:r>
      <w:r w:rsidRPr="00AB26B3">
        <w:rPr>
          <w:noProof/>
          <w:spacing w:val="-6"/>
          <w:lang w:val="sk-SK"/>
        </w:rPr>
        <w:t>podporí riešenie príslušných odporúčaní pre Grécko, t. j. verejné</w:t>
      </w:r>
      <w:r w:rsidR="00AB26B3" w:rsidRPr="00AB26B3">
        <w:rPr>
          <w:noProof/>
          <w:spacing w:val="-6"/>
          <w:lang w:val="sk-SK"/>
        </w:rPr>
        <w:t xml:space="preserve"> a </w:t>
      </w:r>
      <w:r w:rsidRPr="00AB26B3">
        <w:rPr>
          <w:noProof/>
          <w:spacing w:val="-6"/>
          <w:lang w:val="sk-SK"/>
        </w:rPr>
        <w:t xml:space="preserve">súkromné investície (odporúčanie pre Grécko </w:t>
      </w:r>
      <w:r w:rsidR="00AB26B3" w:rsidRPr="00AB26B3">
        <w:rPr>
          <w:noProof/>
          <w:spacing w:val="-6"/>
          <w:lang w:val="sk-SK"/>
        </w:rPr>
        <w:t>č. </w:t>
      </w:r>
      <w:r w:rsidRPr="00AB26B3">
        <w:rPr>
          <w:noProof/>
          <w:spacing w:val="-6"/>
          <w:lang w:val="sk-SK"/>
        </w:rPr>
        <w:t>2 2019</w:t>
      </w:r>
      <w:r w:rsidR="00AB26B3" w:rsidRPr="00AB26B3">
        <w:rPr>
          <w:noProof/>
          <w:spacing w:val="-6"/>
          <w:lang w:val="sk-SK"/>
        </w:rPr>
        <w:t xml:space="preserve"> a </w:t>
      </w:r>
      <w:r w:rsidRPr="00AB26B3">
        <w:rPr>
          <w:noProof/>
          <w:spacing w:val="-6"/>
          <w:lang w:val="sk-SK"/>
        </w:rPr>
        <w:t xml:space="preserve">odporúčanie pre Grécko </w:t>
      </w:r>
      <w:r w:rsidR="00AB26B3" w:rsidRPr="00AB26B3">
        <w:rPr>
          <w:noProof/>
          <w:spacing w:val="-6"/>
          <w:lang w:val="sk-SK"/>
        </w:rPr>
        <w:t>č. </w:t>
      </w:r>
      <w:r w:rsidRPr="00AB26B3">
        <w:rPr>
          <w:noProof/>
          <w:spacing w:val="-6"/>
          <w:lang w:val="sk-SK"/>
        </w:rPr>
        <w:t>3 2020), verejné financie</w:t>
      </w:r>
      <w:r w:rsidR="00AB26B3" w:rsidRPr="00AB26B3">
        <w:rPr>
          <w:noProof/>
          <w:spacing w:val="-6"/>
          <w:lang w:val="sk-SK"/>
        </w:rPr>
        <w:t xml:space="preserve"> a </w:t>
      </w:r>
      <w:r w:rsidRPr="00AB26B3">
        <w:rPr>
          <w:noProof/>
          <w:spacing w:val="-6"/>
          <w:lang w:val="sk-SK"/>
        </w:rPr>
        <w:t xml:space="preserve">zdravotnú starostlivosť (odporúčanie pre Grécko </w:t>
      </w:r>
      <w:r w:rsidR="00AB26B3" w:rsidRPr="00AB26B3">
        <w:rPr>
          <w:noProof/>
          <w:spacing w:val="-6"/>
          <w:lang w:val="sk-SK"/>
        </w:rPr>
        <w:t>č. </w:t>
      </w:r>
      <w:r w:rsidRPr="00AB26B3">
        <w:rPr>
          <w:noProof/>
          <w:spacing w:val="-6"/>
          <w:lang w:val="sk-SK"/>
        </w:rPr>
        <w:t>1 2020)</w:t>
      </w:r>
      <w:r w:rsidR="00AB26B3" w:rsidRPr="00AB26B3">
        <w:rPr>
          <w:noProof/>
          <w:spacing w:val="-6"/>
          <w:lang w:val="sk-SK"/>
        </w:rPr>
        <w:t xml:space="preserve"> a </w:t>
      </w:r>
      <w:r w:rsidRPr="00AB26B3">
        <w:rPr>
          <w:noProof/>
          <w:spacing w:val="-6"/>
          <w:lang w:val="sk-SK"/>
        </w:rPr>
        <w:t>trh práce</w:t>
      </w:r>
      <w:r w:rsidR="00AB26B3" w:rsidRPr="00AB26B3">
        <w:rPr>
          <w:noProof/>
          <w:spacing w:val="-6"/>
          <w:lang w:val="sk-SK"/>
        </w:rPr>
        <w:t xml:space="preserve"> a </w:t>
      </w:r>
      <w:r w:rsidRPr="00AB26B3">
        <w:rPr>
          <w:noProof/>
          <w:spacing w:val="-6"/>
          <w:lang w:val="sk-SK"/>
        </w:rPr>
        <w:t xml:space="preserve">sociálnu politiku (odporúčanie pre Grécko </w:t>
      </w:r>
      <w:r w:rsidR="00AB26B3" w:rsidRPr="00AB26B3">
        <w:rPr>
          <w:noProof/>
          <w:spacing w:val="-6"/>
          <w:lang w:val="sk-SK"/>
        </w:rPr>
        <w:t>č. </w:t>
      </w:r>
      <w:r w:rsidRPr="00AB26B3">
        <w:rPr>
          <w:noProof/>
          <w:spacing w:val="-6"/>
          <w:lang w:val="sk-SK"/>
        </w:rPr>
        <w:t>2 2020).</w:t>
      </w:r>
    </w:p>
    <w:p w14:paraId="4ED2B99E" w14:textId="79988AB9" w:rsidR="00302FC1" w:rsidRPr="00AB26B3" w:rsidRDefault="00D64F26">
      <w:pPr>
        <w:pStyle w:val="P68B1DB1-Normal6"/>
        <w:spacing w:before="120" w:after="120" w:line="240" w:lineRule="auto"/>
        <w:jc w:val="both"/>
        <w:rPr>
          <w:rFonts w:cs="Times New Roman"/>
          <w:i/>
          <w:noProof/>
          <w:color w:val="4F81BD"/>
          <w:spacing w:val="-6"/>
          <w:lang w:val="sk-SK"/>
        </w:rPr>
      </w:pPr>
      <w:r w:rsidRPr="00AB26B3">
        <w:rPr>
          <w:noProof/>
          <w:spacing w:val="-6"/>
          <w:lang w:val="sk-SK"/>
        </w:rPr>
        <w:t>S.1. Opis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nenávratnej finančnej podpory</w:t>
      </w:r>
    </w:p>
    <w:p w14:paraId="0527D0C6" w14:textId="77777777" w:rsidR="00302FC1" w:rsidRPr="00AB26B3" w:rsidRDefault="00D64F26">
      <w:pPr>
        <w:pStyle w:val="P68B1DB1-Normal7"/>
        <w:spacing w:before="120" w:after="120" w:line="240" w:lineRule="auto"/>
        <w:jc w:val="both"/>
        <w:rPr>
          <w:rFonts w:cs="Times New Roman"/>
          <w:noProof/>
          <w:spacing w:val="-6"/>
          <w:lang w:val="sk-SK"/>
        </w:rPr>
      </w:pPr>
      <w:r w:rsidRPr="00AB26B3">
        <w:rPr>
          <w:b/>
          <w:noProof/>
          <w:spacing w:val="-6"/>
          <w:lang w:val="sk-SK"/>
        </w:rPr>
        <w:t>Investície:</w:t>
      </w:r>
      <w:r w:rsidRPr="00AB26B3">
        <w:rPr>
          <w:noProof/>
          <w:spacing w:val="-6"/>
          <w:lang w:val="sk-SK"/>
        </w:rPr>
        <w:t xml:space="preserve"> Technická pomoc (opatrenie ID 16968)</w:t>
      </w:r>
    </w:p>
    <w:p w14:paraId="5363CF61" w14:textId="4FA646D2" w:rsidR="00AB26B3" w:rsidRPr="00AB26B3" w:rsidRDefault="00D64F26">
      <w:pPr>
        <w:pStyle w:val="P68B1DB1-Normal7"/>
        <w:spacing w:before="120" w:after="120" w:line="240" w:lineRule="auto"/>
        <w:jc w:val="both"/>
        <w:rPr>
          <w:noProof/>
          <w:spacing w:val="-6"/>
          <w:lang w:val="sk-SK"/>
        </w:rPr>
      </w:pPr>
      <w:r w:rsidRPr="00AB26B3">
        <w:rPr>
          <w:noProof/>
          <w:spacing w:val="-6"/>
          <w:lang w:val="sk-SK"/>
        </w:rPr>
        <w:t>Investícia pozostáva zo šiestich čiastkových projektov,</w:t>
      </w:r>
      <w:r w:rsidR="00AB26B3" w:rsidRPr="00AB26B3">
        <w:rPr>
          <w:noProof/>
          <w:spacing w:val="-6"/>
          <w:lang w:val="sk-SK"/>
        </w:rPr>
        <w:t xml:space="preserve"> a </w:t>
      </w:r>
      <w:r w:rsidRPr="00AB26B3">
        <w:rPr>
          <w:noProof/>
          <w:spacing w:val="-6"/>
          <w:lang w:val="sk-SK"/>
        </w:rPr>
        <w:t>to: 1) vývoj systémov</w:t>
      </w:r>
      <w:r w:rsidR="00AB26B3" w:rsidRPr="00AB26B3">
        <w:rPr>
          <w:noProof/>
          <w:spacing w:val="-6"/>
          <w:lang w:val="sk-SK"/>
        </w:rPr>
        <w:t xml:space="preserve"> a </w:t>
      </w:r>
      <w:r w:rsidRPr="00AB26B3">
        <w:rPr>
          <w:noProof/>
          <w:spacing w:val="-6"/>
          <w:lang w:val="sk-SK"/>
        </w:rPr>
        <w:t>nástrojov na organizáciu práce, 2) nákup služieb od externých audítorov na vykonávanie auditov, inšpekcií</w:t>
      </w:r>
      <w:r w:rsidR="00AB26B3" w:rsidRPr="00AB26B3">
        <w:rPr>
          <w:noProof/>
          <w:spacing w:val="-6"/>
          <w:lang w:val="sk-SK"/>
        </w:rPr>
        <w:t xml:space="preserve"> a </w:t>
      </w:r>
      <w:r w:rsidRPr="00AB26B3">
        <w:rPr>
          <w:noProof/>
          <w:spacing w:val="-6"/>
          <w:lang w:val="sk-SK"/>
        </w:rPr>
        <w:t>certifikácií</w:t>
      </w:r>
      <w:r w:rsidR="00AB26B3" w:rsidRPr="00AB26B3">
        <w:rPr>
          <w:noProof/>
          <w:spacing w:val="-6"/>
          <w:lang w:val="sk-SK"/>
        </w:rPr>
        <w:t xml:space="preserve"> v </w:t>
      </w:r>
      <w:r w:rsidRPr="00AB26B3">
        <w:rPr>
          <w:noProof/>
          <w:spacing w:val="-6"/>
          <w:lang w:val="sk-SK"/>
        </w:rPr>
        <w:t>prípadoch, keď sa vyžadujú osobitné odborné znalosti,</w:t>
      </w:r>
      <w:r w:rsidR="00AB26B3" w:rsidRPr="00AB26B3">
        <w:rPr>
          <w:noProof/>
          <w:spacing w:val="-6"/>
          <w:lang w:val="sk-SK"/>
        </w:rPr>
        <w:t xml:space="preserve"> a </w:t>
      </w:r>
      <w:r w:rsidRPr="00AB26B3">
        <w:rPr>
          <w:noProof/>
          <w:spacing w:val="-6"/>
          <w:lang w:val="sk-SK"/>
        </w:rPr>
        <w:t>vývoj zastrešujúceho metodického rámca pre audity, inšpekcie</w:t>
      </w:r>
      <w:r w:rsidR="00AB26B3" w:rsidRPr="00AB26B3">
        <w:rPr>
          <w:noProof/>
          <w:spacing w:val="-6"/>
          <w:lang w:val="sk-SK"/>
        </w:rPr>
        <w:t xml:space="preserve"> a </w:t>
      </w:r>
      <w:r w:rsidRPr="00AB26B3">
        <w:rPr>
          <w:noProof/>
          <w:spacing w:val="-6"/>
          <w:lang w:val="sk-SK"/>
        </w:rPr>
        <w:t>certifikácie na podporu funkcie dohľadu Agentúry pre obnovu</w:t>
      </w:r>
      <w:r w:rsidR="00AB26B3" w:rsidRPr="00AB26B3">
        <w:rPr>
          <w:noProof/>
          <w:spacing w:val="-6"/>
          <w:lang w:val="sk-SK"/>
        </w:rPr>
        <w:t xml:space="preserve"> a </w:t>
      </w:r>
      <w:r w:rsidRPr="00AB26B3">
        <w:rPr>
          <w:noProof/>
          <w:spacing w:val="-6"/>
          <w:lang w:val="sk-SK"/>
        </w:rPr>
        <w:t>odolnosť, pokiaľ ide</w:t>
      </w:r>
      <w:r w:rsidR="00AB26B3" w:rsidRPr="00AB26B3">
        <w:rPr>
          <w:noProof/>
          <w:spacing w:val="-6"/>
          <w:lang w:val="sk-SK"/>
        </w:rPr>
        <w:t xml:space="preserve"> o </w:t>
      </w:r>
      <w:r w:rsidRPr="00AB26B3">
        <w:rPr>
          <w:noProof/>
          <w:spacing w:val="-6"/>
          <w:lang w:val="sk-SK"/>
        </w:rPr>
        <w:t>vykonávanie opatrení plánu, 3) opatrenia na zvyšovanie informovanosti</w:t>
      </w:r>
      <w:r w:rsidR="00AB26B3" w:rsidRPr="00AB26B3">
        <w:rPr>
          <w:noProof/>
          <w:spacing w:val="-6"/>
          <w:lang w:val="sk-SK"/>
        </w:rPr>
        <w:t xml:space="preserve"> a </w:t>
      </w:r>
      <w:r w:rsidRPr="00AB26B3">
        <w:rPr>
          <w:noProof/>
          <w:spacing w:val="-6"/>
          <w:lang w:val="sk-SK"/>
        </w:rPr>
        <w:t>propagáciu</w:t>
      </w:r>
      <w:r w:rsidR="00AB26B3" w:rsidRPr="00AB26B3">
        <w:rPr>
          <w:noProof/>
          <w:spacing w:val="-6"/>
          <w:lang w:val="sk-SK"/>
        </w:rPr>
        <w:t xml:space="preserve"> v </w:t>
      </w:r>
      <w:r w:rsidRPr="00AB26B3">
        <w:rPr>
          <w:noProof/>
          <w:spacing w:val="-6"/>
          <w:lang w:val="sk-SK"/>
        </w:rPr>
        <w:t>súvislosti</w:t>
      </w:r>
      <w:r w:rsidR="00AB26B3" w:rsidRPr="00AB26B3">
        <w:rPr>
          <w:noProof/>
          <w:spacing w:val="-6"/>
          <w:lang w:val="sk-SK"/>
        </w:rPr>
        <w:t xml:space="preserve"> s </w:t>
      </w:r>
      <w:r w:rsidRPr="00AB26B3">
        <w:rPr>
          <w:noProof/>
          <w:spacing w:val="-6"/>
          <w:lang w:val="sk-SK"/>
        </w:rPr>
        <w:t>kľúčovými investíciami</w:t>
      </w:r>
      <w:r w:rsidR="00AB26B3" w:rsidRPr="00AB26B3">
        <w:rPr>
          <w:noProof/>
          <w:spacing w:val="-6"/>
          <w:lang w:val="sk-SK"/>
        </w:rPr>
        <w:t xml:space="preserve"> a </w:t>
      </w:r>
      <w:r w:rsidRPr="00AB26B3">
        <w:rPr>
          <w:noProof/>
          <w:spacing w:val="-6"/>
          <w:lang w:val="sk-SK"/>
        </w:rPr>
        <w:t>reformami</w:t>
      </w:r>
      <w:r w:rsidR="00AB26B3" w:rsidRPr="00AB26B3">
        <w:rPr>
          <w:noProof/>
          <w:spacing w:val="-6"/>
          <w:lang w:val="sk-SK"/>
        </w:rPr>
        <w:t xml:space="preserve"> v </w:t>
      </w:r>
      <w:r w:rsidRPr="00AB26B3">
        <w:rPr>
          <w:noProof/>
          <w:spacing w:val="-6"/>
          <w:lang w:val="sk-SK"/>
        </w:rPr>
        <w:t>rámci plánu, 4) vykonávanie štúdií</w:t>
      </w:r>
      <w:r w:rsidR="00AB26B3" w:rsidRPr="00AB26B3">
        <w:rPr>
          <w:noProof/>
          <w:spacing w:val="-6"/>
          <w:lang w:val="sk-SK"/>
        </w:rPr>
        <w:t xml:space="preserve"> a </w:t>
      </w:r>
      <w:r w:rsidRPr="00AB26B3">
        <w:rPr>
          <w:noProof/>
          <w:spacing w:val="-6"/>
          <w:lang w:val="sk-SK"/>
        </w:rPr>
        <w:t>nákup externých odborných znalostí</w:t>
      </w:r>
      <w:r w:rsidR="00AB26B3" w:rsidRPr="00AB26B3">
        <w:rPr>
          <w:noProof/>
          <w:spacing w:val="-6"/>
          <w:lang w:val="sk-SK"/>
        </w:rPr>
        <w:t xml:space="preserve"> a </w:t>
      </w:r>
      <w:r w:rsidRPr="00AB26B3">
        <w:rPr>
          <w:noProof/>
          <w:spacing w:val="-6"/>
          <w:lang w:val="sk-SK"/>
        </w:rPr>
        <w:t>technickej podpory</w:t>
      </w:r>
      <w:r w:rsidR="00AB26B3" w:rsidRPr="00AB26B3">
        <w:rPr>
          <w:noProof/>
          <w:spacing w:val="-6"/>
          <w:lang w:val="sk-SK"/>
        </w:rPr>
        <w:t xml:space="preserve"> v </w:t>
      </w:r>
      <w:r w:rsidRPr="00AB26B3">
        <w:rPr>
          <w:noProof/>
          <w:spacing w:val="-6"/>
          <w:lang w:val="sk-SK"/>
        </w:rPr>
        <w:t>špecializovaných projektoch, 5) financovanie výdavkov na každodennú prevádzku agentúry (nájom kancelárskych priestorov, nákup kancelárskeho vybavenia, pokrytie účtov za služby spojené</w:t>
      </w:r>
      <w:r w:rsidR="00AB26B3" w:rsidRPr="00AB26B3">
        <w:rPr>
          <w:noProof/>
          <w:spacing w:val="-6"/>
          <w:lang w:val="sk-SK"/>
        </w:rPr>
        <w:t xml:space="preserve"> s </w:t>
      </w:r>
      <w:r w:rsidRPr="00AB26B3">
        <w:rPr>
          <w:noProof/>
          <w:spacing w:val="-6"/>
          <w:lang w:val="sk-SK"/>
        </w:rPr>
        <w:t>bývaním)</w:t>
      </w:r>
      <w:r w:rsidR="00AB26B3" w:rsidRPr="00AB26B3">
        <w:rPr>
          <w:noProof/>
          <w:spacing w:val="-6"/>
          <w:lang w:val="sk-SK"/>
        </w:rPr>
        <w:t xml:space="preserve"> a </w:t>
      </w:r>
      <w:r w:rsidRPr="00AB26B3">
        <w:rPr>
          <w:noProof/>
          <w:spacing w:val="-6"/>
          <w:lang w:val="sk-SK"/>
        </w:rPr>
        <w:t>6) nákup služieb kontroly kvality pre verejné stavebné projekty</w:t>
      </w:r>
      <w:r w:rsidR="00AB26B3" w:rsidRPr="00AB26B3">
        <w:rPr>
          <w:noProof/>
          <w:spacing w:val="-6"/>
          <w:lang w:val="sk-SK"/>
        </w:rPr>
        <w:t xml:space="preserve"> s </w:t>
      </w:r>
      <w:r w:rsidRPr="00AB26B3">
        <w:rPr>
          <w:noProof/>
          <w:spacing w:val="-6"/>
          <w:lang w:val="sk-SK"/>
        </w:rPr>
        <w:t>cieľom posúdiť súlad</w:t>
      </w:r>
      <w:r w:rsidR="00AB26B3" w:rsidRPr="00AB26B3">
        <w:rPr>
          <w:noProof/>
          <w:spacing w:val="-6"/>
          <w:lang w:val="sk-SK"/>
        </w:rPr>
        <w:t xml:space="preserve"> s </w:t>
      </w:r>
      <w:r w:rsidRPr="00AB26B3">
        <w:rPr>
          <w:noProof/>
          <w:spacing w:val="-6"/>
          <w:lang w:val="sk-SK"/>
        </w:rPr>
        <w:t>podmienkami zmlúv</w:t>
      </w:r>
      <w:r w:rsidR="00AB26B3" w:rsidRPr="00AB26B3">
        <w:rPr>
          <w:noProof/>
          <w:spacing w:val="-6"/>
          <w:lang w:val="sk-SK"/>
        </w:rPr>
        <w:t xml:space="preserve"> o </w:t>
      </w:r>
      <w:r w:rsidRPr="00AB26B3">
        <w:rPr>
          <w:noProof/>
          <w:spacing w:val="-6"/>
          <w:lang w:val="sk-SK"/>
        </w:rPr>
        <w:t>výstavbe, predpismi, ako aj technickými normami. Realizácia podprojektu 3 sa uskutočňuje</w:t>
      </w:r>
      <w:r w:rsidR="00AB26B3" w:rsidRPr="00AB26B3">
        <w:rPr>
          <w:noProof/>
          <w:spacing w:val="-6"/>
          <w:lang w:val="sk-SK"/>
        </w:rPr>
        <w:t xml:space="preserve"> v </w:t>
      </w:r>
      <w:r w:rsidRPr="00AB26B3">
        <w:rPr>
          <w:noProof/>
          <w:spacing w:val="-6"/>
          <w:lang w:val="sk-SK"/>
        </w:rPr>
        <w:t>kontexte zavádzania postupov dobrej správy vecí verejných. Príslušné opatrenia sa stanú neoddeliteľnou</w:t>
      </w:r>
      <w:r w:rsidR="00AB26B3" w:rsidRPr="00AB26B3">
        <w:rPr>
          <w:noProof/>
          <w:spacing w:val="-6"/>
          <w:lang w:val="sk-SK"/>
        </w:rPr>
        <w:t xml:space="preserve"> a </w:t>
      </w:r>
      <w:r w:rsidRPr="00AB26B3">
        <w:rPr>
          <w:noProof/>
          <w:spacing w:val="-6"/>
          <w:lang w:val="sk-SK"/>
        </w:rPr>
        <w:t>trvalou súčasťou postupu verejnej konzultácie</w:t>
      </w:r>
      <w:r w:rsidR="00AB26B3" w:rsidRPr="00AB26B3">
        <w:rPr>
          <w:noProof/>
          <w:spacing w:val="-6"/>
          <w:lang w:val="sk-SK"/>
        </w:rPr>
        <w:t xml:space="preserve"> a </w:t>
      </w:r>
      <w:r w:rsidRPr="00AB26B3">
        <w:rPr>
          <w:noProof/>
          <w:spacing w:val="-6"/>
          <w:lang w:val="sk-SK"/>
        </w:rPr>
        <w:t>použijú sa ako nástroj na uľahčenie zapojenia zainteresovaných strán</w:t>
      </w:r>
      <w:r w:rsidR="00AB26B3" w:rsidRPr="00AB26B3">
        <w:rPr>
          <w:noProof/>
          <w:spacing w:val="-6"/>
          <w:lang w:val="sk-SK"/>
        </w:rPr>
        <w:t xml:space="preserve"> a </w:t>
      </w:r>
      <w:r w:rsidRPr="00AB26B3">
        <w:rPr>
          <w:noProof/>
          <w:spacing w:val="-6"/>
          <w:lang w:val="sk-SK"/>
        </w:rPr>
        <w:t>zabezpečenie udržateľného vykonávania konkrétnych reforiem</w:t>
      </w:r>
      <w:r w:rsidR="00AB26B3" w:rsidRPr="00AB26B3">
        <w:rPr>
          <w:noProof/>
          <w:spacing w:val="-6"/>
          <w:lang w:val="sk-SK"/>
        </w:rPr>
        <w:t xml:space="preserve"> a </w:t>
      </w:r>
      <w:r w:rsidRPr="00AB26B3">
        <w:rPr>
          <w:noProof/>
          <w:spacing w:val="-6"/>
          <w:lang w:val="sk-SK"/>
        </w:rPr>
        <w:t>investícií</w:t>
      </w:r>
      <w:r w:rsidR="00AB26B3" w:rsidRPr="00AB26B3">
        <w:rPr>
          <w:noProof/>
          <w:spacing w:val="-6"/>
          <w:lang w:val="sk-SK"/>
        </w:rPr>
        <w:t xml:space="preserve"> v </w:t>
      </w:r>
      <w:r w:rsidRPr="00AB26B3">
        <w:rPr>
          <w:noProof/>
          <w:spacing w:val="-6"/>
          <w:lang w:val="sk-SK"/>
        </w:rPr>
        <w:t>rámci plánu. Financovanie podprojektu 5 má dočasný charakter, t. j. je potrebné na podporu Agentúry pre Mechanizmus na podporu obnovy</w:t>
      </w:r>
      <w:r w:rsidR="00AB26B3" w:rsidRPr="00AB26B3">
        <w:rPr>
          <w:noProof/>
          <w:spacing w:val="-6"/>
          <w:lang w:val="sk-SK"/>
        </w:rPr>
        <w:t xml:space="preserve"> a </w:t>
      </w:r>
      <w:r w:rsidRPr="00AB26B3">
        <w:rPr>
          <w:noProof/>
          <w:spacing w:val="-6"/>
          <w:lang w:val="sk-SK"/>
        </w:rPr>
        <w:t>odolnosti, aby mohla účinne vykonávať svoj mandát. Opatrenie sa týka aj zriadenia systémov riadenia</w:t>
      </w:r>
      <w:r w:rsidR="00AB26B3" w:rsidRPr="00AB26B3">
        <w:rPr>
          <w:noProof/>
          <w:spacing w:val="-6"/>
          <w:lang w:val="sk-SK"/>
        </w:rPr>
        <w:t xml:space="preserve"> a </w:t>
      </w:r>
      <w:r w:rsidRPr="00AB26B3">
        <w:rPr>
          <w:noProof/>
          <w:spacing w:val="-6"/>
          <w:lang w:val="sk-SK"/>
        </w:rPr>
        <w:t>auditu</w:t>
      </w:r>
      <w:r w:rsidR="00AB26B3" w:rsidRPr="00AB26B3">
        <w:rPr>
          <w:noProof/>
          <w:spacing w:val="-6"/>
          <w:lang w:val="sk-SK"/>
        </w:rPr>
        <w:t xml:space="preserve"> a </w:t>
      </w:r>
      <w:r w:rsidRPr="00AB26B3">
        <w:rPr>
          <w:noProof/>
          <w:spacing w:val="-6"/>
          <w:lang w:val="sk-SK"/>
        </w:rPr>
        <w:t>kontroly. Implementácia tejto investície sa dokončí do 30</w:t>
      </w:r>
      <w:r w:rsidR="00AB26B3" w:rsidRPr="00AB26B3">
        <w:rPr>
          <w:noProof/>
          <w:spacing w:val="-6"/>
          <w:lang w:val="sk-SK"/>
        </w:rPr>
        <w:t>. júna</w:t>
      </w:r>
      <w:r w:rsidRPr="00AB26B3">
        <w:rPr>
          <w:noProof/>
          <w:spacing w:val="-6"/>
          <w:lang w:val="sk-SK"/>
        </w:rPr>
        <w:t xml:space="preserve"> 2026</w:t>
      </w:r>
      <w:r w:rsidR="00AB26B3" w:rsidRPr="00AB26B3">
        <w:rPr>
          <w:noProof/>
          <w:spacing w:val="-6"/>
          <w:lang w:val="sk-SK"/>
        </w:rPr>
        <w:t>.</w:t>
      </w:r>
    </w:p>
    <w:p w14:paraId="61E0B7CF" w14:textId="3A90784C" w:rsidR="00302FC1" w:rsidRPr="00AB26B3" w:rsidRDefault="00302FC1">
      <w:pPr>
        <w:rPr>
          <w:rFonts w:ascii="Times New Roman" w:hAnsi="Times New Roman"/>
          <w:b/>
          <w:noProof/>
          <w:spacing w:val="-6"/>
          <w:sz w:val="24"/>
          <w:u w:val="single"/>
          <w:lang w:val="sk-SK"/>
        </w:rPr>
        <w:sectPr w:rsidR="00302FC1" w:rsidRPr="00AB26B3" w:rsidSect="00315FC0">
          <w:headerReference w:type="even" r:id="rId370"/>
          <w:headerReference w:type="default" r:id="rId371"/>
          <w:footerReference w:type="even" r:id="rId372"/>
          <w:footerReference w:type="default" r:id="rId373"/>
          <w:headerReference w:type="first" r:id="rId374"/>
          <w:footerReference w:type="first" r:id="rId375"/>
          <w:pgSz w:w="11906" w:h="16838"/>
          <w:pgMar w:top="1417" w:right="1417" w:bottom="1417" w:left="1417" w:header="708" w:footer="708" w:gutter="0"/>
          <w:cols w:space="708"/>
          <w:docGrid w:linePitch="360"/>
        </w:sectPr>
      </w:pPr>
    </w:p>
    <w:p w14:paraId="04F8685A" w14:textId="7C00BE6F" w:rsidR="00302FC1" w:rsidRPr="00AB26B3" w:rsidRDefault="00D64F26">
      <w:pPr>
        <w:pStyle w:val="P68B1DB1-Normal6"/>
        <w:spacing w:before="120" w:after="120" w:line="240" w:lineRule="auto"/>
        <w:jc w:val="both"/>
        <w:rPr>
          <w:rFonts w:cs="Times New Roman"/>
          <w:bCs/>
          <w:noProof/>
          <w:spacing w:val="-6"/>
          <w:lang w:val="sk-SK"/>
        </w:rPr>
      </w:pPr>
      <w:r w:rsidRPr="00AB26B3">
        <w:rPr>
          <w:noProof/>
          <w:spacing w:val="-6"/>
          <w:lang w:val="sk-SK"/>
        </w:rPr>
        <w:t>S.2. Míľniky, ciele, ukazovatele</w:t>
      </w:r>
      <w:r w:rsidR="00AB26B3" w:rsidRPr="00AB26B3">
        <w:rPr>
          <w:noProof/>
          <w:spacing w:val="-6"/>
          <w:lang w:val="sk-SK"/>
        </w:rPr>
        <w:t xml:space="preserve"> a </w:t>
      </w:r>
      <w:r w:rsidRPr="00AB26B3">
        <w:rPr>
          <w:noProof/>
          <w:spacing w:val="-6"/>
          <w:lang w:val="sk-SK"/>
        </w:rPr>
        <w:t>harmonogram monitorovania</w:t>
      </w:r>
      <w:r w:rsidR="00AB26B3" w:rsidRPr="00AB26B3">
        <w:rPr>
          <w:noProof/>
          <w:spacing w:val="-6"/>
          <w:lang w:val="sk-SK"/>
        </w:rPr>
        <w:t xml:space="preserve"> a </w:t>
      </w:r>
      <w:r w:rsidRPr="00AB26B3">
        <w:rPr>
          <w:noProof/>
          <w:spacing w:val="-6"/>
          <w:lang w:val="sk-SK"/>
        </w:rPr>
        <w:t>realizácie pre nenávratnú finančnú podporu</w:t>
      </w:r>
    </w:p>
    <w:p w14:paraId="3D4BA1D8" w14:textId="70CC5FA3" w:rsidR="00302FC1" w:rsidRPr="00AB26B3" w:rsidRDefault="00D64F26">
      <w:pPr>
        <w:pStyle w:val="P68B1DB1-Normal9"/>
        <w:keepNext/>
        <w:keepLines/>
        <w:spacing w:before="40" w:after="0" w:line="240" w:lineRule="auto"/>
        <w:jc w:val="both"/>
        <w:outlineLvl w:val="4"/>
        <w:rPr>
          <w:rFonts w:ascii="Times New Roman" w:eastAsia="Times New Roman" w:hAnsi="Times New Roman"/>
          <w:noProof/>
          <w:spacing w:val="-6"/>
          <w:lang w:val="sk-SK"/>
        </w:rPr>
      </w:pPr>
      <w:r w:rsidRPr="00AB26B3">
        <w:rPr>
          <w:rFonts w:ascii="Times New Roman" w:hAnsi="Times New Roman"/>
          <w:noProof/>
          <w:spacing w:val="-6"/>
          <w:lang w:val="sk-SK"/>
        </w:rPr>
        <w:t>Technickú pomoc</w:t>
      </w:r>
    </w:p>
    <w:tbl>
      <w:tblPr>
        <w:tblW w:w="157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319"/>
        <w:gridCol w:w="1028"/>
        <w:gridCol w:w="1611"/>
        <w:gridCol w:w="1584"/>
        <w:gridCol w:w="849"/>
        <w:gridCol w:w="1014"/>
        <w:gridCol w:w="823"/>
        <w:gridCol w:w="1096"/>
        <w:gridCol w:w="750"/>
        <w:gridCol w:w="4159"/>
      </w:tblGrid>
      <w:tr w:rsidR="00302FC1" w:rsidRPr="00AB26B3" w14:paraId="00B16066" w14:textId="77777777">
        <w:trPr>
          <w:trHeight w:val="706"/>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8CA487" w14:textId="206893AB" w:rsidR="00302FC1" w:rsidRPr="00AB26B3" w:rsidRDefault="00D64F26">
            <w:pPr>
              <w:pStyle w:val="P68B1DB1-Normal14"/>
              <w:spacing w:after="0" w:line="240" w:lineRule="auto"/>
              <w:jc w:val="center"/>
              <w:rPr>
                <w:rFonts w:eastAsia="Times New Roman"/>
                <w:noProof/>
                <w:spacing w:val="-6"/>
                <w:lang w:val="sk-SK"/>
              </w:rPr>
            </w:pPr>
            <w:r w:rsidRPr="00AB26B3">
              <w:rPr>
                <w:noProof/>
                <w:spacing w:val="-6"/>
                <w:lang w:val="sk-SK"/>
              </w:rPr>
              <w:t xml:space="preserve">A nasl. </w:t>
            </w:r>
            <w:r w:rsidRPr="00AB26B3">
              <w:rPr>
                <w:noProof/>
                <w:spacing w:val="-6"/>
                <w:lang w:val="sk-SK"/>
              </w:rPr>
              <w:br/>
              <w:t>Nie.</w:t>
            </w:r>
          </w:p>
        </w:tc>
        <w:tc>
          <w:tcPr>
            <w:tcW w:w="23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3908657"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Súvisiace opatrenie (reforma alebo investícia)</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7E9365"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Míľnik/cieľ</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E950B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Názov</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5CAAA8B" w14:textId="09B70620"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Kvalitatívne ukazovatele (pre míľniky)</w:t>
            </w:r>
          </w:p>
        </w:tc>
        <w:tc>
          <w:tcPr>
            <w:tcW w:w="274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AFD4819"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Kvantitatívne ukazovatele (pre ciele)</w:t>
            </w:r>
          </w:p>
        </w:tc>
        <w:tc>
          <w:tcPr>
            <w:tcW w:w="161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1C3CA5C"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Orientačný harmonogram dokončenia </w:t>
            </w:r>
          </w:p>
        </w:tc>
        <w:tc>
          <w:tcPr>
            <w:tcW w:w="426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371F1C" w14:textId="066A2DC1"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Opis každého míľnika</w:t>
            </w:r>
            <w:r w:rsidR="00AB26B3" w:rsidRPr="00AB26B3">
              <w:rPr>
                <w:noProof/>
                <w:spacing w:val="-6"/>
                <w:lang w:val="sk-SK"/>
              </w:rPr>
              <w:t xml:space="preserve"> a </w:t>
            </w:r>
            <w:r w:rsidRPr="00AB26B3">
              <w:rPr>
                <w:noProof/>
                <w:spacing w:val="-6"/>
                <w:lang w:val="sk-SK"/>
              </w:rPr>
              <w:t>cieľa</w:t>
            </w:r>
          </w:p>
        </w:tc>
      </w:tr>
      <w:tr w:rsidR="00302FC1" w:rsidRPr="00AB26B3" w14:paraId="14B93487" w14:textId="77777777">
        <w:trPr>
          <w:trHeight w:val="620"/>
        </w:trPr>
        <w:tc>
          <w:tcPr>
            <w:tcW w:w="568" w:type="dxa"/>
            <w:vMerge/>
            <w:tcBorders>
              <w:top w:val="single" w:sz="4" w:space="0" w:color="auto"/>
            </w:tcBorders>
            <w:vAlign w:val="center"/>
            <w:hideMark/>
          </w:tcPr>
          <w:p w14:paraId="2FCBD9D6"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2375" w:type="dxa"/>
            <w:vMerge/>
            <w:tcBorders>
              <w:top w:val="single" w:sz="4" w:space="0" w:color="auto"/>
            </w:tcBorders>
            <w:vAlign w:val="center"/>
            <w:hideMark/>
          </w:tcPr>
          <w:p w14:paraId="3A70A3BC"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967" w:type="dxa"/>
            <w:vMerge/>
            <w:tcBorders>
              <w:top w:val="single" w:sz="4" w:space="0" w:color="auto"/>
            </w:tcBorders>
            <w:vAlign w:val="center"/>
            <w:hideMark/>
          </w:tcPr>
          <w:p w14:paraId="0E464319"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48" w:type="dxa"/>
            <w:vMerge/>
            <w:tcBorders>
              <w:top w:val="single" w:sz="4" w:space="0" w:color="auto"/>
            </w:tcBorders>
            <w:vAlign w:val="center"/>
            <w:hideMark/>
          </w:tcPr>
          <w:p w14:paraId="3888BF25"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1620" w:type="dxa"/>
            <w:vMerge/>
            <w:tcBorders>
              <w:top w:val="single" w:sz="4" w:space="0" w:color="auto"/>
            </w:tcBorders>
            <w:vAlign w:val="center"/>
            <w:hideMark/>
          </w:tcPr>
          <w:p w14:paraId="7119B698"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c>
          <w:tcPr>
            <w:tcW w:w="866" w:type="dxa"/>
            <w:tcBorders>
              <w:top w:val="single" w:sz="4" w:space="0" w:color="auto"/>
            </w:tcBorders>
            <w:shd w:val="clear" w:color="auto" w:fill="BDD7EE"/>
            <w:vAlign w:val="center"/>
            <w:hideMark/>
          </w:tcPr>
          <w:p w14:paraId="027EE25A"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Merná jednotka</w:t>
            </w:r>
          </w:p>
        </w:tc>
        <w:tc>
          <w:tcPr>
            <w:tcW w:w="1035" w:type="dxa"/>
            <w:tcBorders>
              <w:top w:val="single" w:sz="4" w:space="0" w:color="auto"/>
            </w:tcBorders>
            <w:shd w:val="clear" w:color="auto" w:fill="BDD7EE"/>
            <w:vAlign w:val="center"/>
            <w:hideMark/>
          </w:tcPr>
          <w:p w14:paraId="58BE575B"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Základná </w:t>
            </w:r>
          </w:p>
        </w:tc>
        <w:tc>
          <w:tcPr>
            <w:tcW w:w="839" w:type="dxa"/>
            <w:tcBorders>
              <w:top w:val="single" w:sz="4" w:space="0" w:color="auto"/>
            </w:tcBorders>
            <w:shd w:val="clear" w:color="auto" w:fill="BDD7EE"/>
            <w:vAlign w:val="center"/>
            <w:hideMark/>
          </w:tcPr>
          <w:p w14:paraId="192A34E6"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 xml:space="preserve">Cieľ </w:t>
            </w:r>
          </w:p>
        </w:tc>
        <w:tc>
          <w:tcPr>
            <w:tcW w:w="846" w:type="dxa"/>
            <w:tcBorders>
              <w:top w:val="single" w:sz="4" w:space="0" w:color="auto"/>
            </w:tcBorders>
            <w:shd w:val="clear" w:color="auto" w:fill="BDD7EE"/>
            <w:vAlign w:val="center"/>
            <w:hideMark/>
          </w:tcPr>
          <w:p w14:paraId="033C292F"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Štvrtina</w:t>
            </w:r>
          </w:p>
        </w:tc>
        <w:tc>
          <w:tcPr>
            <w:tcW w:w="764" w:type="dxa"/>
            <w:tcBorders>
              <w:top w:val="single" w:sz="4" w:space="0" w:color="auto"/>
            </w:tcBorders>
            <w:shd w:val="clear" w:color="auto" w:fill="BDD7EE"/>
            <w:vAlign w:val="center"/>
            <w:hideMark/>
          </w:tcPr>
          <w:p w14:paraId="3604AA72" w14:textId="77777777" w:rsidR="00302FC1" w:rsidRPr="00AB26B3" w:rsidRDefault="00D64F26">
            <w:pPr>
              <w:pStyle w:val="P68B1DB1-Normal10"/>
              <w:spacing w:after="0" w:line="240" w:lineRule="auto"/>
              <w:jc w:val="center"/>
              <w:rPr>
                <w:rFonts w:eastAsia="Times New Roman" w:cs="Times New Roman"/>
                <w:noProof/>
                <w:spacing w:val="-6"/>
                <w:szCs w:val="18"/>
                <w:lang w:val="sk-SK"/>
              </w:rPr>
            </w:pPr>
            <w:r w:rsidRPr="00AB26B3">
              <w:rPr>
                <w:noProof/>
                <w:spacing w:val="-6"/>
                <w:lang w:val="sk-SK"/>
              </w:rPr>
              <w:t>Rok</w:t>
            </w:r>
          </w:p>
        </w:tc>
        <w:tc>
          <w:tcPr>
            <w:tcW w:w="4263" w:type="dxa"/>
            <w:vMerge/>
            <w:tcBorders>
              <w:top w:val="single" w:sz="4" w:space="0" w:color="auto"/>
            </w:tcBorders>
            <w:vAlign w:val="center"/>
            <w:hideMark/>
          </w:tcPr>
          <w:p w14:paraId="6C0B9DFF" w14:textId="77777777" w:rsidR="00302FC1" w:rsidRPr="00AB26B3" w:rsidRDefault="00302FC1">
            <w:pPr>
              <w:spacing w:after="0" w:line="240" w:lineRule="auto"/>
              <w:rPr>
                <w:rFonts w:ascii="Times New Roman" w:eastAsia="Times New Roman" w:hAnsi="Times New Roman" w:cs="Times New Roman"/>
                <w:b/>
                <w:bCs/>
                <w:noProof/>
                <w:spacing w:val="-6"/>
                <w:sz w:val="18"/>
                <w:szCs w:val="18"/>
                <w:lang w:val="sk-SK"/>
              </w:rPr>
            </w:pPr>
          </w:p>
        </w:tc>
      </w:tr>
      <w:tr w:rsidR="00302FC1" w:rsidRPr="00AB26B3" w14:paraId="246B41F4" w14:textId="77777777">
        <w:trPr>
          <w:trHeight w:val="309"/>
        </w:trPr>
        <w:tc>
          <w:tcPr>
            <w:tcW w:w="568" w:type="dxa"/>
            <w:shd w:val="clear" w:color="auto" w:fill="C6EFCE"/>
            <w:noWrap/>
          </w:tcPr>
          <w:p w14:paraId="2020E04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331</w:t>
            </w:r>
          </w:p>
        </w:tc>
        <w:tc>
          <w:tcPr>
            <w:tcW w:w="2375" w:type="dxa"/>
            <w:shd w:val="clear" w:color="auto" w:fill="C6EFCE"/>
            <w:noWrap/>
          </w:tcPr>
          <w:p w14:paraId="2849F232" w14:textId="625F0FEE"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19 – 16968_Technická pomoc</w:t>
            </w:r>
          </w:p>
        </w:tc>
        <w:tc>
          <w:tcPr>
            <w:tcW w:w="967" w:type="dxa"/>
            <w:shd w:val="clear" w:color="auto" w:fill="C6EFCE"/>
            <w:noWrap/>
          </w:tcPr>
          <w:p w14:paraId="37DD242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Míľnik</w:t>
            </w:r>
          </w:p>
        </w:tc>
        <w:tc>
          <w:tcPr>
            <w:tcW w:w="1648" w:type="dxa"/>
            <w:shd w:val="clear" w:color="auto" w:fill="C6EFCE"/>
            <w:noWrap/>
          </w:tcPr>
          <w:p w14:paraId="39C1E582" w14:textId="01952C95"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Právny mandát EDEL</w:t>
            </w:r>
            <w:r w:rsidR="00AB26B3" w:rsidRPr="00AB26B3">
              <w:rPr>
                <w:noProof/>
                <w:spacing w:val="-6"/>
                <w:lang w:val="sk-SK"/>
              </w:rPr>
              <w:t xml:space="preserve"> a </w:t>
            </w:r>
            <w:r w:rsidRPr="00AB26B3">
              <w:rPr>
                <w:noProof/>
                <w:spacing w:val="-6"/>
                <w:lang w:val="sk-SK"/>
              </w:rPr>
              <w:t>zriadenie systémov riadenia, kontroly</w:t>
            </w:r>
            <w:r w:rsidR="00AB26B3" w:rsidRPr="00AB26B3">
              <w:rPr>
                <w:noProof/>
                <w:spacing w:val="-6"/>
                <w:lang w:val="sk-SK"/>
              </w:rPr>
              <w:t xml:space="preserve"> a </w:t>
            </w:r>
            <w:r w:rsidRPr="00AB26B3">
              <w:rPr>
                <w:noProof/>
                <w:spacing w:val="-6"/>
                <w:lang w:val="sk-SK"/>
              </w:rPr>
              <w:t xml:space="preserve">auditu </w:t>
            </w:r>
          </w:p>
        </w:tc>
        <w:tc>
          <w:tcPr>
            <w:tcW w:w="1620" w:type="dxa"/>
            <w:shd w:val="clear" w:color="auto" w:fill="C6EFCE"/>
            <w:noWrap/>
          </w:tcPr>
          <w:p w14:paraId="5E8E7C2C" w14:textId="3B764C8D"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Platný právny mandát EDEL</w:t>
            </w:r>
            <w:r w:rsidR="00AB26B3" w:rsidRPr="00AB26B3">
              <w:rPr>
                <w:noProof/>
                <w:spacing w:val="-6"/>
                <w:lang w:val="sk-SK"/>
              </w:rPr>
              <w:t xml:space="preserve"> a </w:t>
            </w:r>
            <w:r w:rsidRPr="00AB26B3">
              <w:rPr>
                <w:noProof/>
                <w:spacing w:val="-6"/>
                <w:lang w:val="sk-SK"/>
              </w:rPr>
              <w:t>zriadenie systémov riadenia, kontroly</w:t>
            </w:r>
            <w:r w:rsidR="00AB26B3" w:rsidRPr="00AB26B3">
              <w:rPr>
                <w:noProof/>
                <w:spacing w:val="-6"/>
                <w:lang w:val="sk-SK"/>
              </w:rPr>
              <w:t xml:space="preserve"> a </w:t>
            </w:r>
            <w:r w:rsidRPr="00AB26B3">
              <w:rPr>
                <w:noProof/>
                <w:spacing w:val="-6"/>
                <w:lang w:val="sk-SK"/>
              </w:rPr>
              <w:t xml:space="preserve">auditu </w:t>
            </w:r>
          </w:p>
        </w:tc>
        <w:tc>
          <w:tcPr>
            <w:tcW w:w="866" w:type="dxa"/>
            <w:shd w:val="clear" w:color="auto" w:fill="C6EFCE"/>
            <w:noWrap/>
          </w:tcPr>
          <w:p w14:paraId="1B3E9CEC"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1035" w:type="dxa"/>
            <w:shd w:val="clear" w:color="auto" w:fill="C6EFCE"/>
            <w:noWrap/>
          </w:tcPr>
          <w:p w14:paraId="4C16C3A7"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39" w:type="dxa"/>
            <w:shd w:val="clear" w:color="auto" w:fill="C6EFCE"/>
            <w:noWrap/>
          </w:tcPr>
          <w:p w14:paraId="205CC72B" w14:textId="77777777" w:rsidR="00302FC1" w:rsidRPr="00AB26B3" w:rsidRDefault="00302FC1">
            <w:pPr>
              <w:spacing w:after="0" w:line="240" w:lineRule="auto"/>
              <w:rPr>
                <w:rFonts w:ascii="Times New Roman" w:eastAsia="Times New Roman" w:hAnsi="Times New Roman" w:cs="Times New Roman"/>
                <w:noProof/>
                <w:color w:val="006100"/>
                <w:spacing w:val="-6"/>
                <w:sz w:val="18"/>
                <w:szCs w:val="18"/>
                <w:lang w:val="sk-SK"/>
              </w:rPr>
            </w:pPr>
          </w:p>
        </w:tc>
        <w:tc>
          <w:tcPr>
            <w:tcW w:w="846" w:type="dxa"/>
            <w:shd w:val="clear" w:color="auto" w:fill="C6EFCE"/>
            <w:noWrap/>
          </w:tcPr>
          <w:p w14:paraId="22518CDF"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TRETÍ ŠTVRŤROK</w:t>
            </w:r>
          </w:p>
        </w:tc>
        <w:tc>
          <w:tcPr>
            <w:tcW w:w="764" w:type="dxa"/>
            <w:shd w:val="clear" w:color="auto" w:fill="C6EFCE"/>
            <w:noWrap/>
          </w:tcPr>
          <w:p w14:paraId="2D960F18" w14:textId="77777777"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2021</w:t>
            </w:r>
          </w:p>
        </w:tc>
        <w:tc>
          <w:tcPr>
            <w:tcW w:w="4263" w:type="dxa"/>
            <w:shd w:val="clear" w:color="auto" w:fill="C6EFCE"/>
            <w:noWrap/>
          </w:tcPr>
          <w:p w14:paraId="70CDDB84" w14:textId="1F785E28" w:rsidR="00302FC1" w:rsidRPr="00AB26B3" w:rsidRDefault="00D64F26">
            <w:pPr>
              <w:pStyle w:val="P68B1DB1-Normal12"/>
              <w:spacing w:after="0" w:line="240" w:lineRule="auto"/>
              <w:rPr>
                <w:rFonts w:eastAsia="Times New Roman"/>
                <w:noProof/>
                <w:spacing w:val="-6"/>
                <w:lang w:val="sk-SK"/>
              </w:rPr>
            </w:pPr>
            <w:r w:rsidRPr="00AB26B3">
              <w:rPr>
                <w:noProof/>
                <w:spacing w:val="-6"/>
                <w:lang w:val="sk-SK"/>
              </w:rPr>
              <w:t>Nadobudnutie účinnosti právneho mandátu výboru EDEL</w:t>
            </w:r>
            <w:r w:rsidR="00AB26B3" w:rsidRPr="00AB26B3">
              <w:rPr>
                <w:noProof/>
                <w:spacing w:val="-6"/>
                <w:lang w:val="sk-SK"/>
              </w:rPr>
              <w:t xml:space="preserve"> a </w:t>
            </w:r>
            <w:r w:rsidRPr="00AB26B3">
              <w:rPr>
                <w:noProof/>
                <w:spacing w:val="-6"/>
                <w:lang w:val="sk-SK"/>
              </w:rPr>
              <w:t>zriadenie systému auditu</w:t>
            </w:r>
            <w:r w:rsidR="00AB26B3" w:rsidRPr="00AB26B3">
              <w:rPr>
                <w:noProof/>
                <w:spacing w:val="-6"/>
                <w:lang w:val="sk-SK"/>
              </w:rPr>
              <w:t xml:space="preserve"> a </w:t>
            </w:r>
            <w:r w:rsidRPr="00AB26B3">
              <w:rPr>
                <w:noProof/>
                <w:spacing w:val="-6"/>
                <w:lang w:val="sk-SK"/>
              </w:rPr>
              <w:t>kontroly, ktorým sa a) zabezpečí zber údajov</w:t>
            </w:r>
            <w:r w:rsidR="00AB26B3" w:rsidRPr="00AB26B3">
              <w:rPr>
                <w:noProof/>
                <w:spacing w:val="-6"/>
                <w:lang w:val="sk-SK"/>
              </w:rPr>
              <w:t xml:space="preserve"> a </w:t>
            </w:r>
            <w:r w:rsidRPr="00AB26B3">
              <w:rPr>
                <w:noProof/>
                <w:spacing w:val="-6"/>
                <w:lang w:val="sk-SK"/>
              </w:rPr>
              <w:t>monitorovanie dosahovania míľnikov</w:t>
            </w:r>
            <w:r w:rsidR="00AB26B3" w:rsidRPr="00AB26B3">
              <w:rPr>
                <w:noProof/>
                <w:spacing w:val="-6"/>
                <w:lang w:val="sk-SK"/>
              </w:rPr>
              <w:t xml:space="preserve"> a </w:t>
            </w:r>
            <w:r w:rsidRPr="00AB26B3">
              <w:rPr>
                <w:noProof/>
                <w:spacing w:val="-6"/>
                <w:lang w:val="sk-SK"/>
              </w:rPr>
              <w:t>cieľov; b) umožniť vypracovanie vyhlásení riadiaceho subjektu</w:t>
            </w:r>
            <w:r w:rsidR="00AB26B3" w:rsidRPr="00AB26B3">
              <w:rPr>
                <w:noProof/>
                <w:spacing w:val="-6"/>
                <w:lang w:val="sk-SK"/>
              </w:rPr>
              <w:t xml:space="preserve"> a </w:t>
            </w:r>
            <w:r w:rsidRPr="00AB26B3">
              <w:rPr>
                <w:noProof/>
                <w:spacing w:val="-6"/>
                <w:lang w:val="sk-SK"/>
              </w:rPr>
              <w:t>zhrnutia auditu, ako aj žiadostí</w:t>
            </w:r>
            <w:r w:rsidR="00AB26B3" w:rsidRPr="00AB26B3">
              <w:rPr>
                <w:noProof/>
                <w:spacing w:val="-6"/>
                <w:lang w:val="sk-SK"/>
              </w:rPr>
              <w:t xml:space="preserve"> o </w:t>
            </w:r>
            <w:r w:rsidRPr="00AB26B3">
              <w:rPr>
                <w:noProof/>
                <w:spacing w:val="-6"/>
                <w:lang w:val="sk-SK"/>
              </w:rPr>
              <w:t>platbu</w:t>
            </w:r>
            <w:r w:rsidR="00AB26B3" w:rsidRPr="00AB26B3">
              <w:rPr>
                <w:noProof/>
                <w:spacing w:val="-6"/>
                <w:lang w:val="sk-SK"/>
              </w:rPr>
              <w:t xml:space="preserve"> a </w:t>
            </w:r>
            <w:r w:rsidRPr="00AB26B3">
              <w:rPr>
                <w:noProof/>
                <w:spacing w:val="-6"/>
                <w:lang w:val="sk-SK"/>
              </w:rPr>
              <w:t>c) stanoviť potrebné postupy na zber</w:t>
            </w:r>
            <w:r w:rsidR="00AB26B3" w:rsidRPr="00AB26B3">
              <w:rPr>
                <w:noProof/>
                <w:spacing w:val="-6"/>
                <w:lang w:val="sk-SK"/>
              </w:rPr>
              <w:t xml:space="preserve"> a </w:t>
            </w:r>
            <w:r w:rsidRPr="00AB26B3">
              <w:rPr>
                <w:noProof/>
                <w:spacing w:val="-6"/>
                <w:lang w:val="sk-SK"/>
              </w:rPr>
              <w:t>uchovávanie údajov</w:t>
            </w:r>
            <w:r w:rsidR="00AB26B3" w:rsidRPr="00AB26B3">
              <w:rPr>
                <w:noProof/>
                <w:spacing w:val="-6"/>
                <w:lang w:val="sk-SK"/>
              </w:rPr>
              <w:t xml:space="preserve"> o </w:t>
            </w:r>
            <w:r w:rsidRPr="00AB26B3">
              <w:rPr>
                <w:noProof/>
                <w:spacing w:val="-6"/>
                <w:lang w:val="sk-SK"/>
              </w:rPr>
              <w:t>prijímateľoch, dodávateľoch, subdodávateľoch</w:t>
            </w:r>
            <w:r w:rsidR="00AB26B3" w:rsidRPr="00AB26B3">
              <w:rPr>
                <w:noProof/>
                <w:spacing w:val="-6"/>
                <w:lang w:val="sk-SK"/>
              </w:rPr>
              <w:t xml:space="preserve"> a </w:t>
            </w:r>
            <w:r w:rsidRPr="00AB26B3">
              <w:rPr>
                <w:noProof/>
                <w:spacing w:val="-6"/>
                <w:lang w:val="sk-SK"/>
              </w:rPr>
              <w:t>konečných užívateľoch výhod</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článkom 22 nariadenia (EÚ) 2021/241 pred podaním prvej žiadosti</w:t>
            </w:r>
            <w:r w:rsidR="00AB26B3" w:rsidRPr="00AB26B3">
              <w:rPr>
                <w:noProof/>
                <w:spacing w:val="-6"/>
                <w:lang w:val="sk-SK"/>
              </w:rPr>
              <w:t xml:space="preserve"> o </w:t>
            </w:r>
            <w:r w:rsidRPr="00AB26B3">
              <w:rPr>
                <w:noProof/>
                <w:spacing w:val="-6"/>
                <w:lang w:val="sk-SK"/>
              </w:rPr>
              <w:t>platbu. Vypracuje sa osobitná audítorská správa</w:t>
            </w:r>
            <w:r w:rsidR="00AB26B3" w:rsidRPr="00AB26B3">
              <w:rPr>
                <w:noProof/>
                <w:spacing w:val="-6"/>
                <w:lang w:val="sk-SK"/>
              </w:rPr>
              <w:t xml:space="preserve"> o </w:t>
            </w:r>
            <w:r w:rsidRPr="00AB26B3">
              <w:rPr>
                <w:noProof/>
                <w:spacing w:val="-6"/>
                <w:lang w:val="sk-SK"/>
              </w:rPr>
              <w:t>vytvorení systému.</w:t>
            </w:r>
            <w:r w:rsidR="00AB26B3" w:rsidRPr="00AB26B3">
              <w:rPr>
                <w:noProof/>
                <w:spacing w:val="-6"/>
                <w:lang w:val="sk-SK"/>
              </w:rPr>
              <w:t xml:space="preserve"> V </w:t>
            </w:r>
            <w:r w:rsidRPr="00AB26B3">
              <w:rPr>
                <w:noProof/>
                <w:spacing w:val="-6"/>
                <w:lang w:val="sk-SK"/>
              </w:rPr>
              <w:t>prípade, že sa</w:t>
            </w:r>
            <w:r w:rsidR="00AB26B3" w:rsidRPr="00AB26B3">
              <w:rPr>
                <w:noProof/>
                <w:spacing w:val="-6"/>
                <w:lang w:val="sk-SK"/>
              </w:rPr>
              <w:t xml:space="preserve"> v </w:t>
            </w:r>
            <w:r w:rsidRPr="00AB26B3">
              <w:rPr>
                <w:noProof/>
                <w:spacing w:val="-6"/>
                <w:lang w:val="sk-SK"/>
              </w:rPr>
              <w:t>správe identifikujú akékoľvek nedostatky,</w:t>
            </w:r>
            <w:r w:rsidR="00AB26B3" w:rsidRPr="00AB26B3">
              <w:rPr>
                <w:noProof/>
                <w:spacing w:val="-6"/>
                <w:lang w:val="sk-SK"/>
              </w:rPr>
              <w:t xml:space="preserve"> v </w:t>
            </w:r>
            <w:r w:rsidRPr="00AB26B3">
              <w:rPr>
                <w:noProof/>
                <w:spacing w:val="-6"/>
                <w:lang w:val="sk-SK"/>
              </w:rPr>
              <w:t>audítorskej správe sa odporučia nápravné opatrenia.</w:t>
            </w:r>
          </w:p>
        </w:tc>
      </w:tr>
    </w:tbl>
    <w:p w14:paraId="41CDEFCD" w14:textId="77777777" w:rsidR="00302FC1" w:rsidRPr="00AB26B3" w:rsidRDefault="00302FC1">
      <w:pPr>
        <w:spacing w:before="120" w:after="120" w:line="240" w:lineRule="auto"/>
        <w:ind w:left="709"/>
        <w:jc w:val="both"/>
        <w:rPr>
          <w:rFonts w:ascii="Times New Roman" w:hAnsi="Times New Roman" w:cs="Times New Roman"/>
          <w:noProof/>
          <w:spacing w:val="-6"/>
          <w:sz w:val="24"/>
          <w:szCs w:val="24"/>
          <w:lang w:val="sk-SK"/>
        </w:rPr>
      </w:pPr>
    </w:p>
    <w:p w14:paraId="1475743A" w14:textId="77777777" w:rsidR="00302FC1" w:rsidRPr="00AB26B3" w:rsidRDefault="00302FC1">
      <w:pPr>
        <w:spacing w:before="120" w:after="120" w:line="240" w:lineRule="auto"/>
        <w:jc w:val="both"/>
        <w:rPr>
          <w:rFonts w:ascii="Times New Roman" w:hAnsi="Times New Roman" w:cs="Times New Roman"/>
          <w:noProof/>
          <w:spacing w:val="-6"/>
          <w:sz w:val="24"/>
          <w:lang w:val="sk-SK"/>
        </w:rPr>
        <w:sectPr w:rsidR="00302FC1" w:rsidRPr="00AB26B3" w:rsidSect="00315FC0">
          <w:headerReference w:type="default" r:id="rId376"/>
          <w:footerReference w:type="default" r:id="rId377"/>
          <w:pgSz w:w="16839" w:h="11907" w:orient="landscape"/>
          <w:pgMar w:top="720" w:right="720" w:bottom="720" w:left="720" w:header="709" w:footer="217" w:gutter="0"/>
          <w:cols w:space="720"/>
          <w:docGrid w:linePitch="360"/>
        </w:sectPr>
      </w:pPr>
    </w:p>
    <w:p w14:paraId="421653CD" w14:textId="398C03CA" w:rsidR="00302FC1" w:rsidRPr="00AB26B3" w:rsidRDefault="00D64F26">
      <w:pPr>
        <w:pStyle w:val="P68B1DB1-Normal6"/>
        <w:keepNext/>
        <w:spacing w:before="40" w:after="0" w:line="259" w:lineRule="auto"/>
        <w:jc w:val="both"/>
        <w:outlineLvl w:val="1"/>
        <w:rPr>
          <w:rFonts w:eastAsia="Times New Roman" w:cs="Times New Roman"/>
          <w:noProof/>
          <w:spacing w:val="-6"/>
          <w:lang w:val="sk-SK"/>
        </w:rPr>
      </w:pPr>
      <w:r w:rsidRPr="00AB26B3">
        <w:rPr>
          <w:noProof/>
          <w:spacing w:val="-6"/>
          <w:lang w:val="sk-SK"/>
        </w:rPr>
        <w:t>2. Odhadované celkové náklady na plán podpory obnovy</w:t>
      </w:r>
      <w:r w:rsidR="00AB26B3" w:rsidRPr="00AB26B3">
        <w:rPr>
          <w:noProof/>
          <w:spacing w:val="-6"/>
          <w:lang w:val="sk-SK"/>
        </w:rPr>
        <w:t xml:space="preserve"> a </w:t>
      </w:r>
      <w:r w:rsidRPr="00AB26B3">
        <w:rPr>
          <w:noProof/>
          <w:spacing w:val="-6"/>
          <w:lang w:val="sk-SK"/>
        </w:rPr>
        <w:t>odolnosti</w:t>
      </w:r>
    </w:p>
    <w:p w14:paraId="50E63BA1" w14:textId="2965470E" w:rsidR="00302FC1" w:rsidRPr="00AB26B3" w:rsidRDefault="00D64F26">
      <w:pPr>
        <w:pStyle w:val="P68B1DB1-Normal17"/>
        <w:keepNext/>
        <w:spacing w:before="40" w:after="0" w:line="259" w:lineRule="auto"/>
        <w:jc w:val="both"/>
        <w:rPr>
          <w:rFonts w:ascii="Times New Roman" w:hAnsi="Times New Roman"/>
          <w:noProof/>
          <w:spacing w:val="-6"/>
          <w:lang w:val="sk-SK"/>
        </w:rPr>
      </w:pPr>
      <w:r w:rsidRPr="00AB26B3">
        <w:rPr>
          <w:rFonts w:ascii="Times New Roman" w:hAnsi="Times New Roman"/>
          <w:noProof/>
          <w:spacing w:val="-6"/>
          <w:lang w:val="sk-SK"/>
        </w:rPr>
        <w:t>Odhadované celkové náklady na plán obnovy</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odolnosti Grécka vrátane kapitoly REPowerEU</w:t>
      </w:r>
      <w:r w:rsidRPr="00AB26B3">
        <w:rPr>
          <w:rFonts w:ascii="Times New Roman" w:hAnsi="Times New Roman" w:cs="Times New Roman"/>
          <w:noProof/>
          <w:color w:val="006100"/>
          <w:spacing w:val="-6"/>
          <w:szCs w:val="24"/>
          <w:lang w:val="sk-SK"/>
        </w:rPr>
        <w:t xml:space="preserve"> </w:t>
      </w:r>
      <w:r w:rsidRPr="00AB26B3">
        <w:rPr>
          <w:rFonts w:ascii="Times New Roman" w:hAnsi="Times New Roman"/>
          <w:noProof/>
          <w:spacing w:val="-6"/>
          <w:lang w:val="sk-SK"/>
        </w:rPr>
        <w:t>predstavujú</w:t>
      </w:r>
      <w:r w:rsidRPr="00AB26B3">
        <w:rPr>
          <w:rFonts w:ascii="Times New Roman" w:hAnsi="Times New Roman" w:cs="Times New Roman"/>
          <w:noProof/>
          <w:color w:val="006100"/>
          <w:spacing w:val="-6"/>
          <w:szCs w:val="24"/>
          <w:lang w:val="sk-SK"/>
        </w:rPr>
        <w:t xml:space="preserve"> </w:t>
      </w:r>
      <w:r w:rsidRPr="00AB26B3">
        <w:rPr>
          <w:rFonts w:ascii="Times New Roman" w:hAnsi="Times New Roman"/>
          <w:noProof/>
          <w:spacing w:val="-6"/>
          <w:lang w:val="sk-SK"/>
        </w:rPr>
        <w:t>36189617035</w:t>
      </w:r>
      <w:r w:rsidRPr="00AB26B3">
        <w:rPr>
          <w:rFonts w:ascii="Times New Roman" w:hAnsi="Times New Roman" w:cs="Times New Roman"/>
          <w:noProof/>
          <w:color w:val="006100"/>
          <w:spacing w:val="-6"/>
          <w:szCs w:val="24"/>
          <w:lang w:val="sk-SK"/>
        </w:rPr>
        <w:t xml:space="preserve">  </w:t>
      </w:r>
      <w:r w:rsidRPr="00AB26B3">
        <w:rPr>
          <w:rFonts w:ascii="Times New Roman" w:hAnsi="Times New Roman"/>
          <w:noProof/>
          <w:spacing w:val="-6"/>
          <w:lang w:val="sk-SK"/>
        </w:rPr>
        <w:t>EUR. Celkové náklady na kapitolu REPowerEU sa odhadujú na</w:t>
      </w:r>
      <w:r w:rsidRPr="00AB26B3">
        <w:rPr>
          <w:rFonts w:ascii="Times New Roman" w:hAnsi="Times New Roman" w:cs="Times New Roman"/>
          <w:noProof/>
          <w:color w:val="006100"/>
          <w:spacing w:val="-6"/>
          <w:szCs w:val="24"/>
          <w:lang w:val="sk-SK"/>
        </w:rPr>
        <w:t xml:space="preserve">  </w:t>
      </w:r>
      <w:r w:rsidRPr="00AB26B3">
        <w:rPr>
          <w:rFonts w:ascii="Times New Roman" w:hAnsi="Times New Roman"/>
          <w:noProof/>
          <w:spacing w:val="-6"/>
          <w:lang w:val="sk-SK"/>
        </w:rPr>
        <w:t>808715860</w:t>
      </w:r>
      <w:r w:rsidRPr="00AB26B3">
        <w:rPr>
          <w:rFonts w:ascii="Times New Roman" w:hAnsi="Times New Roman" w:cs="Times New Roman"/>
          <w:noProof/>
          <w:color w:val="006100"/>
          <w:spacing w:val="-6"/>
          <w:szCs w:val="24"/>
          <w:lang w:val="sk-SK"/>
        </w:rPr>
        <w:t xml:space="preserve"> </w:t>
      </w:r>
      <w:r w:rsidRPr="00AB26B3">
        <w:rPr>
          <w:rFonts w:ascii="Times New Roman" w:hAnsi="Times New Roman"/>
          <w:noProof/>
          <w:spacing w:val="-6"/>
          <w:lang w:val="sk-SK"/>
        </w:rPr>
        <w:t>EUR. Odhadované celkové náklady na opatrenia uvedené</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článku 21c ods. 3 písm. a) nariadenia (EÚ) 2023/435 sú konkrétne 0 EUR, zatiaľ čo náklady na ostatné opatrenia</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kapitole REPowerEU predstavujú</w:t>
      </w:r>
      <w:r w:rsidRPr="00AB26B3">
        <w:rPr>
          <w:rFonts w:ascii="Times New Roman" w:hAnsi="Times New Roman" w:cs="Times New Roman"/>
          <w:noProof/>
          <w:color w:val="006100"/>
          <w:spacing w:val="-6"/>
          <w:szCs w:val="24"/>
          <w:lang w:val="sk-SK"/>
        </w:rPr>
        <w:t xml:space="preserve">  </w:t>
      </w:r>
      <w:r w:rsidRPr="00AB26B3">
        <w:rPr>
          <w:rFonts w:ascii="Times New Roman" w:hAnsi="Times New Roman"/>
          <w:noProof/>
          <w:spacing w:val="-6"/>
          <w:lang w:val="sk-SK"/>
        </w:rPr>
        <w:t>808715860</w:t>
      </w:r>
      <w:r w:rsidRPr="00AB26B3">
        <w:rPr>
          <w:rFonts w:ascii="Times New Roman" w:hAnsi="Times New Roman" w:cs="Times New Roman"/>
          <w:noProof/>
          <w:color w:val="006100"/>
          <w:spacing w:val="-6"/>
          <w:szCs w:val="24"/>
          <w:lang w:val="sk-SK"/>
        </w:rPr>
        <w:t xml:space="preserve"> </w:t>
      </w:r>
      <w:r w:rsidRPr="00AB26B3">
        <w:rPr>
          <w:rFonts w:ascii="Times New Roman" w:hAnsi="Times New Roman"/>
          <w:noProof/>
          <w:spacing w:val="-6"/>
          <w:lang w:val="sk-SK"/>
        </w:rPr>
        <w:t>EUR.</w:t>
      </w:r>
    </w:p>
    <w:p w14:paraId="3EEB97F6" w14:textId="77777777" w:rsidR="00AB26B3" w:rsidRPr="00AB26B3" w:rsidRDefault="00D64F26">
      <w:pPr>
        <w:pStyle w:val="P68B1DB1-Normal2"/>
        <w:keepNext/>
        <w:tabs>
          <w:tab w:val="num" w:pos="850"/>
        </w:tabs>
        <w:spacing w:before="360" w:after="0" w:line="259" w:lineRule="auto"/>
        <w:jc w:val="both"/>
        <w:outlineLvl w:val="0"/>
        <w:rPr>
          <w:noProof/>
          <w:spacing w:val="-6"/>
          <w:lang w:val="sk-SK"/>
        </w:rPr>
      </w:pPr>
      <w:r w:rsidRPr="00AB26B3">
        <w:rPr>
          <w:noProof/>
          <w:spacing w:val="-6"/>
          <w:lang w:val="sk-SK"/>
        </w:rPr>
        <w:t>ODDIEL 2: FINANČNÚ PODPORU</w:t>
      </w:r>
    </w:p>
    <w:p w14:paraId="5C0AA9B1" w14:textId="77777777" w:rsidR="00AB26B3" w:rsidRPr="00AB26B3" w:rsidRDefault="00D64F26">
      <w:pPr>
        <w:pStyle w:val="P68B1DB1-Normal6"/>
        <w:keepNext/>
        <w:numPr>
          <w:ilvl w:val="1"/>
          <w:numId w:val="86"/>
        </w:numPr>
        <w:spacing w:before="40" w:after="0" w:line="259" w:lineRule="auto"/>
        <w:ind w:left="0"/>
        <w:jc w:val="both"/>
        <w:outlineLvl w:val="1"/>
        <w:rPr>
          <w:noProof/>
          <w:spacing w:val="-6"/>
          <w:lang w:val="sk-SK"/>
        </w:rPr>
      </w:pPr>
      <w:r w:rsidRPr="00AB26B3">
        <w:rPr>
          <w:noProof/>
          <w:spacing w:val="-6"/>
          <w:lang w:val="sk-SK"/>
        </w:rPr>
        <w:t>Finančného príspevku</w:t>
      </w:r>
    </w:p>
    <w:p w14:paraId="041B5F53" w14:textId="6F319414" w:rsidR="00302FC1" w:rsidRPr="00AB26B3" w:rsidRDefault="00D64F26">
      <w:pPr>
        <w:pStyle w:val="P68B1DB1-Normal5"/>
        <w:keepNext/>
        <w:spacing w:before="40" w:after="0" w:line="259" w:lineRule="auto"/>
        <w:jc w:val="both"/>
        <w:rPr>
          <w:noProof/>
          <w:spacing w:val="-6"/>
          <w:lang w:val="sk-SK"/>
        </w:rPr>
      </w:pPr>
      <w:r w:rsidRPr="00AB26B3">
        <w:rPr>
          <w:noProof/>
          <w:spacing w:val="-6"/>
          <w:lang w:val="sk-SK"/>
        </w:rPr>
        <w:t>Splátky uvedené</w:t>
      </w:r>
      <w:r w:rsidR="00AB26B3" w:rsidRPr="00AB26B3">
        <w:rPr>
          <w:noProof/>
          <w:spacing w:val="-6"/>
          <w:lang w:val="sk-SK"/>
        </w:rPr>
        <w:t xml:space="preserve"> v </w:t>
      </w:r>
      <w:r w:rsidRPr="00AB26B3">
        <w:rPr>
          <w:noProof/>
          <w:spacing w:val="-6"/>
          <w:lang w:val="sk-SK"/>
        </w:rPr>
        <w:t>článku 2 ods. 2 sú štruktúrované takto:</w:t>
      </w:r>
    </w:p>
    <w:p w14:paraId="2924A714" w14:textId="77777777" w:rsidR="00302FC1" w:rsidRPr="00AB26B3" w:rsidRDefault="00302FC1">
      <w:pPr>
        <w:keepNext/>
        <w:spacing w:before="40" w:after="0" w:line="259" w:lineRule="auto"/>
        <w:jc w:val="both"/>
        <w:rPr>
          <w:rFonts w:ascii="Times New Roman" w:hAnsi="Times New Roman"/>
          <w:noProof/>
          <w:spacing w:val="-6"/>
          <w:sz w:val="24"/>
          <w:lang w:val="sk-SK"/>
        </w:rPr>
      </w:pPr>
    </w:p>
    <w:p w14:paraId="7E2A7F61" w14:textId="36AB3C7D" w:rsidR="00302FC1" w:rsidRPr="00AB26B3" w:rsidRDefault="00D64F26">
      <w:pPr>
        <w:pStyle w:val="P68B1DB1-Normal5"/>
        <w:keepNext/>
        <w:numPr>
          <w:ilvl w:val="1"/>
          <w:numId w:val="85"/>
        </w:numPr>
        <w:spacing w:before="40" w:after="160" w:line="259" w:lineRule="auto"/>
        <w:ind w:left="0"/>
        <w:contextualSpacing/>
        <w:jc w:val="both"/>
        <w:rPr>
          <w:rFonts w:eastAsia="Times New Roman" w:cs="Times New Roman"/>
          <w:noProof/>
          <w:spacing w:val="-6"/>
          <w:lang w:val="sk-SK"/>
        </w:rPr>
      </w:pPr>
      <w:r w:rsidRPr="00AB26B3">
        <w:rPr>
          <w:noProof/>
          <w:spacing w:val="-6"/>
          <w:lang w:val="sk-SK"/>
        </w:rPr>
        <w:t>Prvá žiadosť</w:t>
      </w:r>
      <w:r w:rsidR="00AB26B3" w:rsidRPr="00AB26B3">
        <w:rPr>
          <w:noProof/>
          <w:spacing w:val="-6"/>
          <w:lang w:val="sk-SK"/>
        </w:rPr>
        <w:t xml:space="preserve"> o </w:t>
      </w:r>
      <w:r w:rsidRPr="00AB26B3">
        <w:rPr>
          <w:noProof/>
          <w:spacing w:val="-6"/>
          <w:lang w:val="sk-SK"/>
        </w:rPr>
        <w:t>platbu (nenávratná podpora):</w:t>
      </w:r>
    </w:p>
    <w:tbl>
      <w:tblPr>
        <w:tblpPr w:leftFromText="180" w:rightFromText="180" w:vertAnchor="text" w:horzAnchor="margin" w:tblpXSpec="center" w:tblpY="560"/>
        <w:tblW w:w="9941" w:type="dxa"/>
        <w:tblLook w:val="04A0" w:firstRow="1" w:lastRow="0" w:firstColumn="1" w:lastColumn="0" w:noHBand="0" w:noVBand="1"/>
      </w:tblPr>
      <w:tblGrid>
        <w:gridCol w:w="817"/>
        <w:gridCol w:w="5270"/>
        <w:gridCol w:w="1701"/>
        <w:gridCol w:w="2153"/>
      </w:tblGrid>
      <w:tr w:rsidR="00302FC1" w:rsidRPr="00AB26B3" w14:paraId="3B37EF19" w14:textId="77777777">
        <w:trPr>
          <w:trHeight w:val="509"/>
          <w:tblHeader/>
        </w:trPr>
        <w:tc>
          <w:tcPr>
            <w:tcW w:w="8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65B9A1" w14:textId="7710D032"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A nasl. Nie.</w:t>
            </w:r>
          </w:p>
        </w:tc>
        <w:tc>
          <w:tcPr>
            <w:tcW w:w="527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C8F2609"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B30B39"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C26F63"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03C8041C" w14:textId="77777777">
        <w:trPr>
          <w:trHeight w:val="509"/>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BDC6C85"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270" w:type="dxa"/>
            <w:vMerge/>
            <w:tcBorders>
              <w:top w:val="single" w:sz="4" w:space="0" w:color="auto"/>
              <w:left w:val="single" w:sz="4" w:space="0" w:color="auto"/>
              <w:bottom w:val="single" w:sz="4" w:space="0" w:color="auto"/>
              <w:right w:val="single" w:sz="4" w:space="0" w:color="auto"/>
            </w:tcBorders>
            <w:vAlign w:val="center"/>
            <w:hideMark/>
          </w:tcPr>
          <w:p w14:paraId="023C0D60"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D9D472"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2153" w:type="dxa"/>
            <w:vMerge/>
            <w:tcBorders>
              <w:top w:val="single" w:sz="4" w:space="0" w:color="auto"/>
              <w:left w:val="single" w:sz="4" w:space="0" w:color="auto"/>
              <w:bottom w:val="single" w:sz="4" w:space="0" w:color="auto"/>
              <w:right w:val="single" w:sz="4" w:space="0" w:color="auto"/>
            </w:tcBorders>
            <w:vAlign w:val="center"/>
            <w:hideMark/>
          </w:tcPr>
          <w:p w14:paraId="43B7F893"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609720D6" w14:textId="77777777">
        <w:trPr>
          <w:trHeight w:val="302"/>
        </w:trPr>
        <w:tc>
          <w:tcPr>
            <w:tcW w:w="817"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2B525E7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20</w:t>
            </w:r>
          </w:p>
        </w:tc>
        <w:tc>
          <w:tcPr>
            <w:tcW w:w="5270" w:type="dxa"/>
            <w:tcBorders>
              <w:top w:val="single" w:sz="4" w:space="0" w:color="auto"/>
              <w:left w:val="nil"/>
              <w:bottom w:val="single" w:sz="4" w:space="0" w:color="auto"/>
              <w:right w:val="single" w:sz="4" w:space="0" w:color="auto"/>
            </w:tcBorders>
            <w:shd w:val="clear" w:color="000000" w:fill="C6EFCE"/>
            <w:noWrap/>
            <w:vAlign w:val="center"/>
          </w:tcPr>
          <w:p w14:paraId="11FDFEB4"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2 – 1.2. Renovujme – 16872_Energetická obnova obytných budov</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5820F736"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single" w:sz="4" w:space="0" w:color="auto"/>
              <w:left w:val="nil"/>
              <w:bottom w:val="single" w:sz="4" w:space="0" w:color="auto"/>
              <w:right w:val="single" w:sz="4" w:space="0" w:color="auto"/>
            </w:tcBorders>
            <w:shd w:val="clear" w:color="000000" w:fill="C6EFCE"/>
            <w:noWrap/>
            <w:vAlign w:val="center"/>
          </w:tcPr>
          <w:p w14:paraId="03B8B8D3"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Renovácia obytných budov – začiatok prvého kola</w:t>
            </w:r>
          </w:p>
        </w:tc>
      </w:tr>
      <w:tr w:rsidR="00302FC1" w:rsidRPr="00AB26B3" w14:paraId="3E23C93B"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hideMark/>
          </w:tcPr>
          <w:p w14:paraId="20D395B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w:t>
            </w:r>
          </w:p>
        </w:tc>
        <w:tc>
          <w:tcPr>
            <w:tcW w:w="5270" w:type="dxa"/>
            <w:tcBorders>
              <w:top w:val="nil"/>
              <w:left w:val="nil"/>
              <w:bottom w:val="single" w:sz="4" w:space="0" w:color="auto"/>
              <w:right w:val="single" w:sz="4" w:space="0" w:color="auto"/>
            </w:tcBorders>
            <w:shd w:val="clear" w:color="000000" w:fill="C6EFCE"/>
            <w:noWrap/>
            <w:vAlign w:val="center"/>
          </w:tcPr>
          <w:p w14:paraId="7022B357"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2 – 1.2. Renovujme – 16920_Akčný plán pre energetickú chudobu</w:t>
            </w:r>
          </w:p>
        </w:tc>
        <w:tc>
          <w:tcPr>
            <w:tcW w:w="1701" w:type="dxa"/>
            <w:tcBorders>
              <w:top w:val="nil"/>
              <w:left w:val="nil"/>
              <w:bottom w:val="single" w:sz="4" w:space="0" w:color="auto"/>
              <w:right w:val="single" w:sz="4" w:space="0" w:color="auto"/>
            </w:tcBorders>
            <w:shd w:val="clear" w:color="000000" w:fill="C6EFCE"/>
            <w:noWrap/>
            <w:vAlign w:val="center"/>
          </w:tcPr>
          <w:p w14:paraId="7E46FD19"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0468A8E3"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Energetická chudoba – prijatie akčného plánu</w:t>
            </w:r>
          </w:p>
        </w:tc>
      </w:tr>
      <w:tr w:rsidR="00302FC1" w:rsidRPr="00AB26B3" w14:paraId="4C067568"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hideMark/>
          </w:tcPr>
          <w:p w14:paraId="7DEBC22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42</w:t>
            </w:r>
          </w:p>
        </w:tc>
        <w:tc>
          <w:tcPr>
            <w:tcW w:w="5270" w:type="dxa"/>
            <w:tcBorders>
              <w:top w:val="nil"/>
              <w:left w:val="nil"/>
              <w:bottom w:val="single" w:sz="4" w:space="0" w:color="auto"/>
              <w:right w:val="single" w:sz="4" w:space="0" w:color="auto"/>
            </w:tcBorders>
            <w:shd w:val="clear" w:color="000000" w:fill="C6EFCE"/>
            <w:noWrap/>
            <w:vAlign w:val="center"/>
          </w:tcPr>
          <w:p w14:paraId="5885788A" w14:textId="19EA66F2"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3 – 1.3. Dobíjanie</w:t>
            </w:r>
            <w:r w:rsidR="00AB26B3" w:rsidRPr="00AB26B3">
              <w:rPr>
                <w:noProof/>
                <w:spacing w:val="-6"/>
                <w:lang w:val="sk-SK"/>
              </w:rPr>
              <w:t xml:space="preserve"> a </w:t>
            </w:r>
            <w:r w:rsidRPr="00AB26B3">
              <w:rPr>
                <w:noProof/>
                <w:spacing w:val="-6"/>
                <w:lang w:val="sk-SK"/>
              </w:rPr>
              <w:t>dopĺňanie paliva – 16281_Rámec pre inštaláciu</w:t>
            </w:r>
            <w:r w:rsidR="00AB26B3" w:rsidRPr="00AB26B3">
              <w:rPr>
                <w:noProof/>
                <w:spacing w:val="-6"/>
                <w:lang w:val="sk-SK"/>
              </w:rPr>
              <w:t xml:space="preserve"> a </w:t>
            </w:r>
            <w:r w:rsidRPr="00AB26B3">
              <w:rPr>
                <w:noProof/>
                <w:spacing w:val="-6"/>
                <w:lang w:val="sk-SK"/>
              </w:rPr>
              <w:t>prevádzku nabíjacej infraštruktúry pre elektrické vozidlá</w:t>
            </w:r>
          </w:p>
        </w:tc>
        <w:tc>
          <w:tcPr>
            <w:tcW w:w="1701" w:type="dxa"/>
            <w:tcBorders>
              <w:top w:val="nil"/>
              <w:left w:val="nil"/>
              <w:bottom w:val="single" w:sz="4" w:space="0" w:color="auto"/>
              <w:right w:val="single" w:sz="4" w:space="0" w:color="auto"/>
            </w:tcBorders>
            <w:shd w:val="clear" w:color="000000" w:fill="C6EFCE"/>
            <w:noWrap/>
            <w:vAlign w:val="center"/>
          </w:tcPr>
          <w:p w14:paraId="136E1C87"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02492B15"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Nabíjacie stanice pre elektrické vozidlá – nadobudnutie účinnosti právneho rámca</w:t>
            </w:r>
          </w:p>
        </w:tc>
      </w:tr>
      <w:tr w:rsidR="00302FC1" w:rsidRPr="00AB26B3" w14:paraId="430C9F7D"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2ED2FA2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56</w:t>
            </w:r>
          </w:p>
        </w:tc>
        <w:tc>
          <w:tcPr>
            <w:tcW w:w="5270" w:type="dxa"/>
            <w:tcBorders>
              <w:top w:val="nil"/>
              <w:left w:val="nil"/>
              <w:bottom w:val="single" w:sz="4" w:space="0" w:color="auto"/>
              <w:right w:val="single" w:sz="4" w:space="0" w:color="auto"/>
            </w:tcBorders>
            <w:shd w:val="clear" w:color="000000" w:fill="C6EFCE"/>
            <w:noWrap/>
            <w:vAlign w:val="center"/>
          </w:tcPr>
          <w:p w14:paraId="6ED2FC02" w14:textId="0F0B5FEC"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16772_Právny predpis</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 na vykonávanie udržateľného skládkovania</w:t>
            </w:r>
            <w:r w:rsidR="00AB26B3" w:rsidRPr="00AB26B3">
              <w:rPr>
                <w:noProof/>
                <w:spacing w:val="-6"/>
                <w:lang w:val="sk-SK"/>
              </w:rPr>
              <w:t xml:space="preserve"> a </w:t>
            </w:r>
            <w:r w:rsidRPr="00AB26B3">
              <w:rPr>
                <w:noProof/>
                <w:spacing w:val="-6"/>
                <w:lang w:val="sk-SK"/>
              </w:rPr>
              <w:t>recyklácie</w:t>
            </w:r>
          </w:p>
        </w:tc>
        <w:tc>
          <w:tcPr>
            <w:tcW w:w="1701" w:type="dxa"/>
            <w:tcBorders>
              <w:top w:val="nil"/>
              <w:left w:val="nil"/>
              <w:bottom w:val="single" w:sz="4" w:space="0" w:color="auto"/>
              <w:right w:val="single" w:sz="4" w:space="0" w:color="auto"/>
            </w:tcBorders>
            <w:shd w:val="clear" w:color="000000" w:fill="C6EFCE"/>
            <w:noWrap/>
            <w:vAlign w:val="center"/>
          </w:tcPr>
          <w:p w14:paraId="2F1ADD20"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34A1ECF7" w14:textId="4639668F"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w:t>
            </w:r>
          </w:p>
        </w:tc>
      </w:tr>
      <w:tr w:rsidR="00302FC1" w:rsidRPr="00AB26B3" w14:paraId="7B97FEED"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564F5D7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77</w:t>
            </w:r>
          </w:p>
        </w:tc>
        <w:tc>
          <w:tcPr>
            <w:tcW w:w="5270" w:type="dxa"/>
            <w:tcBorders>
              <w:top w:val="nil"/>
              <w:left w:val="nil"/>
              <w:bottom w:val="single" w:sz="4" w:space="0" w:color="auto"/>
              <w:right w:val="single" w:sz="4" w:space="0" w:color="auto"/>
            </w:tcBorders>
            <w:shd w:val="clear" w:color="000000" w:fill="C6EFCE"/>
            <w:noWrap/>
            <w:vAlign w:val="center"/>
          </w:tcPr>
          <w:p w14:paraId="3DC297DF" w14:textId="3397B37F"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16283_Realizácia regionálnych centier civilnej ochrany (PEKEPP) prostredníctvom systémov verejno-súkromných partnerstiev</w:t>
            </w:r>
          </w:p>
        </w:tc>
        <w:tc>
          <w:tcPr>
            <w:tcW w:w="1701" w:type="dxa"/>
            <w:tcBorders>
              <w:top w:val="nil"/>
              <w:left w:val="nil"/>
              <w:bottom w:val="single" w:sz="4" w:space="0" w:color="auto"/>
              <w:right w:val="single" w:sz="4" w:space="0" w:color="auto"/>
            </w:tcBorders>
            <w:shd w:val="clear" w:color="000000" w:fill="C6EFCE"/>
            <w:noWrap/>
            <w:vAlign w:val="center"/>
          </w:tcPr>
          <w:p w14:paraId="6D490B78"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2649E30C"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Verejná súťaž pre 13 regionálnych centier</w:t>
            </w:r>
          </w:p>
        </w:tc>
      </w:tr>
      <w:tr w:rsidR="00302FC1" w:rsidRPr="00AB26B3" w14:paraId="0F873B2B"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111BB37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133</w:t>
            </w:r>
          </w:p>
        </w:tc>
        <w:tc>
          <w:tcPr>
            <w:tcW w:w="5270" w:type="dxa"/>
            <w:tcBorders>
              <w:top w:val="nil"/>
              <w:left w:val="nil"/>
              <w:bottom w:val="single" w:sz="4" w:space="0" w:color="auto"/>
              <w:right w:val="single" w:sz="4" w:space="0" w:color="auto"/>
            </w:tcBorders>
            <w:shd w:val="clear" w:color="000000" w:fill="C6EFCE"/>
            <w:noWrap/>
            <w:vAlign w:val="center"/>
          </w:tcPr>
          <w:p w14:paraId="6EC0053C" w14:textId="3B53477D"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16744_Modernizácia</w:t>
            </w:r>
            <w:r w:rsidR="00AB26B3" w:rsidRPr="00AB26B3">
              <w:rPr>
                <w:noProof/>
                <w:spacing w:val="-6"/>
                <w:lang w:val="sk-SK"/>
              </w:rPr>
              <w:t xml:space="preserve"> a </w:t>
            </w:r>
            <w:r w:rsidRPr="00AB26B3">
              <w:rPr>
                <w:noProof/>
                <w:spacing w:val="-6"/>
                <w:lang w:val="sk-SK"/>
              </w:rPr>
              <w:t>zjednodušenie pracovného práva</w:t>
            </w:r>
          </w:p>
        </w:tc>
        <w:tc>
          <w:tcPr>
            <w:tcW w:w="1701" w:type="dxa"/>
            <w:tcBorders>
              <w:top w:val="nil"/>
              <w:left w:val="nil"/>
              <w:bottom w:val="single" w:sz="4" w:space="0" w:color="auto"/>
              <w:right w:val="single" w:sz="4" w:space="0" w:color="auto"/>
            </w:tcBorders>
            <w:shd w:val="clear" w:color="000000" w:fill="C6EFCE"/>
            <w:noWrap/>
            <w:vAlign w:val="center"/>
          </w:tcPr>
          <w:p w14:paraId="5795D36B"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29DC9D31"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Nadobudnutie účinnosti pracovného práva</w:t>
            </w:r>
          </w:p>
        </w:tc>
      </w:tr>
      <w:tr w:rsidR="00302FC1" w:rsidRPr="00AB26B3" w14:paraId="06E1832F"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51F5965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141</w:t>
            </w:r>
          </w:p>
        </w:tc>
        <w:tc>
          <w:tcPr>
            <w:tcW w:w="5270" w:type="dxa"/>
            <w:tcBorders>
              <w:top w:val="nil"/>
              <w:left w:val="nil"/>
              <w:bottom w:val="single" w:sz="4" w:space="0" w:color="auto"/>
              <w:right w:val="single" w:sz="4" w:space="0" w:color="auto"/>
            </w:tcBorders>
            <w:shd w:val="clear" w:color="000000" w:fill="C6EFCE"/>
            <w:noWrap/>
            <w:vAlign w:val="center"/>
          </w:tcPr>
          <w:p w14:paraId="559590E0" w14:textId="50416C39"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16941_Reštrukturalizácia</w:t>
            </w:r>
            <w:r w:rsidR="00AB26B3" w:rsidRPr="00AB26B3">
              <w:rPr>
                <w:noProof/>
                <w:spacing w:val="-6"/>
                <w:lang w:val="sk-SK"/>
              </w:rPr>
              <w:t xml:space="preserve"> a </w:t>
            </w:r>
            <w:r w:rsidRPr="00AB26B3">
              <w:rPr>
                <w:noProof/>
                <w:spacing w:val="-6"/>
                <w:lang w:val="sk-SK"/>
              </w:rPr>
              <w:t>zmena značky miestnych VSZ DYPA (KPA2)</w:t>
            </w:r>
          </w:p>
        </w:tc>
        <w:tc>
          <w:tcPr>
            <w:tcW w:w="1701" w:type="dxa"/>
            <w:tcBorders>
              <w:top w:val="nil"/>
              <w:left w:val="nil"/>
              <w:bottom w:val="single" w:sz="4" w:space="0" w:color="auto"/>
              <w:right w:val="single" w:sz="4" w:space="0" w:color="auto"/>
            </w:tcBorders>
            <w:shd w:val="clear" w:color="000000" w:fill="C6EFCE"/>
            <w:noWrap/>
            <w:vAlign w:val="center"/>
          </w:tcPr>
          <w:p w14:paraId="65E3B238"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6B390E2B"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 xml:space="preserve">DYPA Organizačná reforma nadobudnutie účinnosti právnych predpisov </w:t>
            </w:r>
          </w:p>
        </w:tc>
      </w:tr>
      <w:tr w:rsidR="00302FC1" w:rsidRPr="00AB26B3" w14:paraId="3E2F2A63"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1472436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153</w:t>
            </w:r>
          </w:p>
        </w:tc>
        <w:tc>
          <w:tcPr>
            <w:tcW w:w="5270" w:type="dxa"/>
            <w:tcBorders>
              <w:top w:val="nil"/>
              <w:left w:val="nil"/>
              <w:bottom w:val="single" w:sz="4" w:space="0" w:color="auto"/>
              <w:right w:val="single" w:sz="4" w:space="0" w:color="auto"/>
            </w:tcBorders>
            <w:shd w:val="clear" w:color="000000" w:fill="C6EFCE"/>
            <w:noWrap/>
            <w:vAlign w:val="center"/>
          </w:tcPr>
          <w:p w14:paraId="7E913330" w14:textId="7076CF1B"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701" w:type="dxa"/>
            <w:tcBorders>
              <w:top w:val="nil"/>
              <w:left w:val="nil"/>
              <w:bottom w:val="single" w:sz="4" w:space="0" w:color="auto"/>
              <w:right w:val="single" w:sz="4" w:space="0" w:color="auto"/>
            </w:tcBorders>
            <w:shd w:val="clear" w:color="000000" w:fill="C6EFCE"/>
            <w:noWrap/>
            <w:vAlign w:val="center"/>
          </w:tcPr>
          <w:p w14:paraId="2365B80B"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10523E5D"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Vrátenie poskytnutých prostriedkov – nadobudnutie účinnosti právnych predpisov</w:t>
            </w:r>
          </w:p>
        </w:tc>
      </w:tr>
      <w:tr w:rsidR="00302FC1" w:rsidRPr="00AB26B3" w14:paraId="5DDA47A1"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3279DF1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199</w:t>
            </w:r>
          </w:p>
        </w:tc>
        <w:tc>
          <w:tcPr>
            <w:tcW w:w="5270" w:type="dxa"/>
            <w:tcBorders>
              <w:top w:val="nil"/>
              <w:left w:val="nil"/>
              <w:bottom w:val="single" w:sz="4" w:space="0" w:color="auto"/>
              <w:right w:val="single" w:sz="4" w:space="0" w:color="auto"/>
            </w:tcBorders>
            <w:shd w:val="clear" w:color="000000" w:fill="C6EFCE"/>
            <w:noWrap/>
            <w:vAlign w:val="center"/>
          </w:tcPr>
          <w:p w14:paraId="086F9DD8" w14:textId="07802230"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701" w:type="dxa"/>
            <w:tcBorders>
              <w:top w:val="nil"/>
              <w:left w:val="nil"/>
              <w:bottom w:val="single" w:sz="4" w:space="0" w:color="auto"/>
              <w:right w:val="single" w:sz="4" w:space="0" w:color="auto"/>
            </w:tcBorders>
            <w:shd w:val="clear" w:color="000000" w:fill="C6EFCE"/>
            <w:noWrap/>
            <w:vAlign w:val="center"/>
          </w:tcPr>
          <w:p w14:paraId="3D0714F3"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53BB91EE"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Harmonogram kodifikácie daní</w:t>
            </w:r>
          </w:p>
        </w:tc>
      </w:tr>
      <w:tr w:rsidR="00302FC1" w:rsidRPr="00AB26B3" w14:paraId="52F00769"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19FAC21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200</w:t>
            </w:r>
          </w:p>
        </w:tc>
        <w:tc>
          <w:tcPr>
            <w:tcW w:w="5270" w:type="dxa"/>
            <w:tcBorders>
              <w:top w:val="nil"/>
              <w:left w:val="nil"/>
              <w:bottom w:val="single" w:sz="4" w:space="0" w:color="auto"/>
              <w:right w:val="single" w:sz="4" w:space="0" w:color="auto"/>
            </w:tcBorders>
            <w:shd w:val="clear" w:color="000000" w:fill="C6EFCE"/>
            <w:noWrap/>
            <w:vAlign w:val="center"/>
          </w:tcPr>
          <w:p w14:paraId="43F55EC0" w14:textId="36FE0B12"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18 – 4.7. Zlepšiť konkurencieschopnosť</w:t>
            </w:r>
            <w:r w:rsidR="00AB26B3" w:rsidRPr="00AB26B3">
              <w:rPr>
                <w:noProof/>
                <w:spacing w:val="-6"/>
                <w:lang w:val="sk-SK"/>
              </w:rPr>
              <w:t xml:space="preserve"> a </w:t>
            </w:r>
            <w:r w:rsidRPr="00AB26B3">
              <w:rPr>
                <w:noProof/>
                <w:spacing w:val="-6"/>
                <w:lang w:val="sk-SK"/>
              </w:rPr>
              <w:t>podporiť súkromné investície</w:t>
            </w:r>
            <w:r w:rsidR="00AB26B3" w:rsidRPr="00AB26B3">
              <w:rPr>
                <w:noProof/>
                <w:spacing w:val="-6"/>
                <w:lang w:val="sk-SK"/>
              </w:rPr>
              <w:t xml:space="preserve"> a </w:t>
            </w:r>
            <w:r w:rsidRPr="00AB26B3">
              <w:rPr>
                <w:noProof/>
                <w:spacing w:val="-6"/>
                <w:lang w:val="sk-SK"/>
              </w:rPr>
              <w:t>obchod – 16598_Režim stimulov pre produktivitu</w:t>
            </w:r>
            <w:r w:rsidR="00AB26B3" w:rsidRPr="00AB26B3">
              <w:rPr>
                <w:noProof/>
                <w:spacing w:val="-6"/>
                <w:lang w:val="sk-SK"/>
              </w:rPr>
              <w:t xml:space="preserve"> a </w:t>
            </w:r>
            <w:r w:rsidRPr="00AB26B3">
              <w:rPr>
                <w:noProof/>
                <w:spacing w:val="-6"/>
                <w:lang w:val="sk-SK"/>
              </w:rPr>
              <w:t>extroverziu podnikov (zvýšenie veľkosti podnikov)</w:t>
            </w:r>
          </w:p>
        </w:tc>
        <w:tc>
          <w:tcPr>
            <w:tcW w:w="1701" w:type="dxa"/>
            <w:tcBorders>
              <w:top w:val="nil"/>
              <w:left w:val="nil"/>
              <w:bottom w:val="single" w:sz="4" w:space="0" w:color="auto"/>
              <w:right w:val="single" w:sz="4" w:space="0" w:color="auto"/>
            </w:tcBorders>
            <w:shd w:val="clear" w:color="000000" w:fill="C6EFCE"/>
            <w:noWrap/>
            <w:vAlign w:val="center"/>
          </w:tcPr>
          <w:p w14:paraId="3740B687"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48A73D86"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Návrh právneho predpisu na podporu extroverzie podnikov</w:t>
            </w:r>
          </w:p>
        </w:tc>
      </w:tr>
      <w:tr w:rsidR="00302FC1" w:rsidRPr="00AB26B3" w14:paraId="6A6B363F"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5D5916C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222</w:t>
            </w:r>
          </w:p>
        </w:tc>
        <w:tc>
          <w:tcPr>
            <w:tcW w:w="5270" w:type="dxa"/>
            <w:tcBorders>
              <w:top w:val="nil"/>
              <w:left w:val="nil"/>
              <w:bottom w:val="single" w:sz="4" w:space="0" w:color="auto"/>
              <w:right w:val="single" w:sz="4" w:space="0" w:color="auto"/>
            </w:tcBorders>
            <w:shd w:val="clear" w:color="000000" w:fill="C6EFCE"/>
            <w:noWrap/>
            <w:vAlign w:val="center"/>
          </w:tcPr>
          <w:p w14:paraId="3DCC46CF"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14 – 4.3. Zlepšiť efektívnosť justičného systému – 16292_Nové justičné budovy</w:t>
            </w:r>
          </w:p>
        </w:tc>
        <w:tc>
          <w:tcPr>
            <w:tcW w:w="1701" w:type="dxa"/>
            <w:tcBorders>
              <w:top w:val="nil"/>
              <w:left w:val="nil"/>
              <w:bottom w:val="single" w:sz="4" w:space="0" w:color="auto"/>
              <w:right w:val="single" w:sz="4" w:space="0" w:color="auto"/>
            </w:tcBorders>
            <w:shd w:val="clear" w:color="000000" w:fill="C6EFCE"/>
            <w:noWrap/>
            <w:vAlign w:val="center"/>
          </w:tcPr>
          <w:p w14:paraId="60C53D9A"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09D924F3"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Identifikácia – oprávnené budovy</w:t>
            </w:r>
          </w:p>
        </w:tc>
      </w:tr>
      <w:tr w:rsidR="00302FC1" w:rsidRPr="00AB26B3" w14:paraId="65486F24"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2E0D030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263</w:t>
            </w:r>
          </w:p>
        </w:tc>
        <w:tc>
          <w:tcPr>
            <w:tcW w:w="5270" w:type="dxa"/>
            <w:tcBorders>
              <w:top w:val="nil"/>
              <w:left w:val="nil"/>
              <w:bottom w:val="single" w:sz="4" w:space="0" w:color="auto"/>
              <w:right w:val="single" w:sz="4" w:space="0" w:color="auto"/>
            </w:tcBorders>
            <w:shd w:val="clear" w:color="000000" w:fill="C6EFCE"/>
            <w:noWrap/>
            <w:vAlign w:val="center"/>
          </w:tcPr>
          <w:p w14:paraId="4439EBD9" w14:textId="2FE2511E"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701" w:type="dxa"/>
            <w:tcBorders>
              <w:top w:val="nil"/>
              <w:left w:val="nil"/>
              <w:bottom w:val="single" w:sz="4" w:space="0" w:color="auto"/>
              <w:right w:val="single" w:sz="4" w:space="0" w:color="auto"/>
            </w:tcBorders>
            <w:shd w:val="clear" w:color="000000" w:fill="C6EFCE"/>
            <w:noWrap/>
            <w:vAlign w:val="center"/>
          </w:tcPr>
          <w:p w14:paraId="7D19C888"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612F0E67"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Plán reformy železníc</w:t>
            </w:r>
          </w:p>
        </w:tc>
      </w:tr>
      <w:tr w:rsidR="00302FC1" w:rsidRPr="00AB26B3" w14:paraId="3CDC0546" w14:textId="77777777">
        <w:trPr>
          <w:trHeight w:val="302"/>
        </w:trPr>
        <w:tc>
          <w:tcPr>
            <w:tcW w:w="817" w:type="dxa"/>
            <w:tcBorders>
              <w:top w:val="nil"/>
              <w:left w:val="single" w:sz="4" w:space="0" w:color="auto"/>
              <w:bottom w:val="single" w:sz="4" w:space="0" w:color="auto"/>
              <w:right w:val="single" w:sz="4" w:space="0" w:color="auto"/>
            </w:tcBorders>
            <w:shd w:val="clear" w:color="000000" w:fill="C6EFCE"/>
            <w:noWrap/>
            <w:vAlign w:val="center"/>
          </w:tcPr>
          <w:p w14:paraId="26DC9D3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331</w:t>
            </w:r>
          </w:p>
        </w:tc>
        <w:tc>
          <w:tcPr>
            <w:tcW w:w="5270" w:type="dxa"/>
            <w:tcBorders>
              <w:top w:val="nil"/>
              <w:left w:val="nil"/>
              <w:bottom w:val="single" w:sz="4" w:space="0" w:color="auto"/>
              <w:right w:val="single" w:sz="4" w:space="0" w:color="auto"/>
            </w:tcBorders>
            <w:shd w:val="clear" w:color="000000" w:fill="C6EFCE"/>
            <w:noWrap/>
            <w:vAlign w:val="center"/>
          </w:tcPr>
          <w:p w14:paraId="7888C283"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19 – 16968_Technická pomoc</w:t>
            </w:r>
          </w:p>
        </w:tc>
        <w:tc>
          <w:tcPr>
            <w:tcW w:w="1701" w:type="dxa"/>
            <w:tcBorders>
              <w:top w:val="nil"/>
              <w:left w:val="nil"/>
              <w:bottom w:val="single" w:sz="4" w:space="0" w:color="auto"/>
              <w:right w:val="single" w:sz="4" w:space="0" w:color="auto"/>
            </w:tcBorders>
            <w:shd w:val="clear" w:color="000000" w:fill="C6EFCE"/>
            <w:noWrap/>
            <w:vAlign w:val="center"/>
          </w:tcPr>
          <w:p w14:paraId="319B12E0"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Míľnik</w:t>
            </w:r>
          </w:p>
        </w:tc>
        <w:tc>
          <w:tcPr>
            <w:tcW w:w="2153" w:type="dxa"/>
            <w:tcBorders>
              <w:top w:val="nil"/>
              <w:left w:val="nil"/>
              <w:bottom w:val="single" w:sz="4" w:space="0" w:color="auto"/>
              <w:right w:val="single" w:sz="4" w:space="0" w:color="auto"/>
            </w:tcBorders>
            <w:shd w:val="clear" w:color="000000" w:fill="C6EFCE"/>
            <w:noWrap/>
            <w:vAlign w:val="center"/>
          </w:tcPr>
          <w:p w14:paraId="252FFBCF" w14:textId="1AAEFF72"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Právny mandát EDEL</w:t>
            </w:r>
            <w:r w:rsidR="00AB26B3" w:rsidRPr="00AB26B3">
              <w:rPr>
                <w:noProof/>
                <w:spacing w:val="-6"/>
                <w:lang w:val="sk-SK"/>
              </w:rPr>
              <w:t xml:space="preserve"> a </w:t>
            </w:r>
            <w:r w:rsidRPr="00AB26B3">
              <w:rPr>
                <w:noProof/>
                <w:spacing w:val="-6"/>
                <w:lang w:val="sk-SK"/>
              </w:rPr>
              <w:t>zriadenie systémov riadenia, kontroly</w:t>
            </w:r>
            <w:r w:rsidR="00AB26B3" w:rsidRPr="00AB26B3">
              <w:rPr>
                <w:noProof/>
                <w:spacing w:val="-6"/>
                <w:lang w:val="sk-SK"/>
              </w:rPr>
              <w:t xml:space="preserve"> a </w:t>
            </w:r>
            <w:r w:rsidRPr="00AB26B3">
              <w:rPr>
                <w:noProof/>
                <w:spacing w:val="-6"/>
                <w:lang w:val="sk-SK"/>
              </w:rPr>
              <w:t xml:space="preserve">auditu </w:t>
            </w:r>
          </w:p>
        </w:tc>
      </w:tr>
      <w:tr w:rsidR="00302FC1" w:rsidRPr="00AB26B3" w14:paraId="4D73B85C" w14:textId="77777777">
        <w:trPr>
          <w:trHeight w:val="302"/>
        </w:trPr>
        <w:tc>
          <w:tcPr>
            <w:tcW w:w="817"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FC3166F" w14:textId="77777777" w:rsidR="00302FC1" w:rsidRPr="00AB26B3" w:rsidRDefault="00302FC1">
            <w:pPr>
              <w:keepNext/>
              <w:spacing w:before="40" w:after="0" w:line="259" w:lineRule="auto"/>
              <w:jc w:val="both"/>
              <w:rPr>
                <w:rFonts w:ascii="Times New Roman" w:eastAsia="Times New Roman" w:hAnsi="Times New Roman" w:cs="Times New Roman"/>
                <w:noProof/>
                <w:spacing w:val="-6"/>
                <w:sz w:val="18"/>
                <w:szCs w:val="18"/>
                <w:lang w:val="sk-SK"/>
              </w:rPr>
            </w:pPr>
          </w:p>
        </w:tc>
        <w:tc>
          <w:tcPr>
            <w:tcW w:w="5270" w:type="dxa"/>
            <w:tcBorders>
              <w:top w:val="single" w:sz="4" w:space="0" w:color="auto"/>
              <w:left w:val="nil"/>
              <w:bottom w:val="single" w:sz="4" w:space="0" w:color="auto"/>
              <w:right w:val="single" w:sz="4" w:space="0" w:color="auto"/>
            </w:tcBorders>
            <w:shd w:val="clear" w:color="auto" w:fill="C6EFCE"/>
            <w:noWrap/>
            <w:vAlign w:val="bottom"/>
          </w:tcPr>
          <w:p w14:paraId="5A408F84"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1701" w:type="dxa"/>
            <w:tcBorders>
              <w:top w:val="single" w:sz="4" w:space="0" w:color="auto"/>
              <w:left w:val="nil"/>
              <w:bottom w:val="single" w:sz="4" w:space="0" w:color="auto"/>
              <w:right w:val="single" w:sz="4" w:space="0" w:color="auto"/>
            </w:tcBorders>
            <w:shd w:val="clear" w:color="auto" w:fill="C6EFCE"/>
            <w:noWrap/>
            <w:vAlign w:val="bottom"/>
          </w:tcPr>
          <w:p w14:paraId="79CEAA12"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Suma splátky</w:t>
            </w:r>
          </w:p>
        </w:tc>
        <w:tc>
          <w:tcPr>
            <w:tcW w:w="2153" w:type="dxa"/>
            <w:tcBorders>
              <w:top w:val="single" w:sz="4" w:space="0" w:color="auto"/>
              <w:left w:val="nil"/>
              <w:bottom w:val="single" w:sz="4" w:space="0" w:color="auto"/>
              <w:right w:val="single" w:sz="4" w:space="0" w:color="auto"/>
            </w:tcBorders>
            <w:shd w:val="clear" w:color="auto" w:fill="C6EFCE"/>
            <w:noWrap/>
            <w:vAlign w:val="bottom"/>
          </w:tcPr>
          <w:p w14:paraId="085F5CB1"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1 974 438 067 EUR</w:t>
            </w:r>
          </w:p>
        </w:tc>
      </w:tr>
    </w:tbl>
    <w:p w14:paraId="6B7474E4" w14:textId="77777777" w:rsidR="00302FC1" w:rsidRPr="00AB26B3" w:rsidRDefault="00302FC1">
      <w:pPr>
        <w:rPr>
          <w:rFonts w:ascii="Times New Roman" w:hAnsi="Times New Roman"/>
          <w:noProof/>
          <w:spacing w:val="-6"/>
          <w:sz w:val="24"/>
          <w:lang w:val="sk-SK"/>
        </w:rPr>
      </w:pPr>
    </w:p>
    <w:p w14:paraId="6DB53600" w14:textId="1C1DBD0A" w:rsidR="00302FC1" w:rsidRPr="00AB26B3" w:rsidRDefault="00D64F26">
      <w:pPr>
        <w:pStyle w:val="P68B1DB1-Normal5"/>
        <w:keepNext/>
        <w:numPr>
          <w:ilvl w:val="1"/>
          <w:numId w:val="85"/>
        </w:numPr>
        <w:spacing w:before="40" w:after="160" w:line="259" w:lineRule="auto"/>
        <w:ind w:left="0"/>
        <w:contextualSpacing/>
        <w:jc w:val="both"/>
        <w:rPr>
          <w:noProof/>
          <w:spacing w:val="-6"/>
          <w:lang w:val="sk-SK"/>
        </w:rPr>
      </w:pPr>
      <w:r w:rsidRPr="00AB26B3">
        <w:rPr>
          <w:noProof/>
          <w:spacing w:val="-6"/>
          <w:lang w:val="sk-SK"/>
        </w:rPr>
        <w:t xml:space="preserve"> Druhá žiadosť</w:t>
      </w:r>
      <w:r w:rsidR="00AB26B3" w:rsidRPr="00AB26B3">
        <w:rPr>
          <w:noProof/>
          <w:spacing w:val="-6"/>
          <w:lang w:val="sk-SK"/>
        </w:rPr>
        <w:t xml:space="preserve"> o </w:t>
      </w:r>
      <w:r w:rsidRPr="00AB26B3">
        <w:rPr>
          <w:noProof/>
          <w:spacing w:val="-6"/>
          <w:lang w:val="sk-SK"/>
        </w:rPr>
        <w:t>platbu (nenávratná podpora):</w:t>
      </w:r>
    </w:p>
    <w:p w14:paraId="5BE5A2D9" w14:textId="77777777"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24"/>
          <w:lang w:val="sk-SK"/>
        </w:rPr>
      </w:pPr>
    </w:p>
    <w:tbl>
      <w:tblPr>
        <w:tblpPr w:leftFromText="180" w:rightFromText="180" w:vertAnchor="text" w:tblpXSpec="center" w:tblpY="1"/>
        <w:tblOverlap w:val="never"/>
        <w:tblW w:w="9837" w:type="dxa"/>
        <w:tblLook w:val="04A0" w:firstRow="1" w:lastRow="0" w:firstColumn="1" w:lastColumn="0" w:noHBand="0" w:noVBand="1"/>
      </w:tblPr>
      <w:tblGrid>
        <w:gridCol w:w="675"/>
        <w:gridCol w:w="5730"/>
        <w:gridCol w:w="1692"/>
        <w:gridCol w:w="1740"/>
      </w:tblGrid>
      <w:tr w:rsidR="00302FC1" w:rsidRPr="00AB26B3" w14:paraId="5BDAA6B6" w14:textId="77777777">
        <w:trPr>
          <w:trHeight w:val="509"/>
          <w:tblHeader/>
        </w:trPr>
        <w:tc>
          <w:tcPr>
            <w:tcW w:w="6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3A53A9F" w14:textId="32D17A5A"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73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44C6ACCB"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4DFC915"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14:paraId="6831DC3B"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2E6E4F10" w14:textId="77777777">
        <w:trPr>
          <w:trHeight w:val="990"/>
        </w:trPr>
        <w:tc>
          <w:tcPr>
            <w:tcW w:w="675" w:type="dxa"/>
            <w:vMerge/>
            <w:tcBorders>
              <w:top w:val="single" w:sz="4" w:space="0" w:color="auto"/>
              <w:left w:val="single" w:sz="4" w:space="0" w:color="auto"/>
              <w:bottom w:val="single" w:sz="4" w:space="0" w:color="000000"/>
              <w:right w:val="single" w:sz="4" w:space="0" w:color="auto"/>
            </w:tcBorders>
            <w:vAlign w:val="center"/>
            <w:hideMark/>
          </w:tcPr>
          <w:p w14:paraId="6E3A87CE"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730" w:type="dxa"/>
            <w:vMerge/>
            <w:tcBorders>
              <w:top w:val="single" w:sz="4" w:space="0" w:color="auto"/>
              <w:left w:val="single" w:sz="4" w:space="0" w:color="auto"/>
              <w:bottom w:val="single" w:sz="4" w:space="0" w:color="000000"/>
              <w:right w:val="single" w:sz="4" w:space="0" w:color="auto"/>
            </w:tcBorders>
            <w:vAlign w:val="center"/>
            <w:hideMark/>
          </w:tcPr>
          <w:p w14:paraId="5678D50F"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74927797"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740" w:type="dxa"/>
            <w:vMerge/>
            <w:tcBorders>
              <w:top w:val="single" w:sz="4" w:space="0" w:color="auto"/>
              <w:left w:val="nil"/>
              <w:bottom w:val="single" w:sz="4" w:space="0" w:color="000000"/>
              <w:right w:val="single" w:sz="4" w:space="0" w:color="auto"/>
            </w:tcBorders>
            <w:vAlign w:val="center"/>
            <w:hideMark/>
          </w:tcPr>
          <w:p w14:paraId="3202BF36"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1F49400F"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58DBE77C"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44</w:t>
            </w:r>
          </w:p>
        </w:tc>
        <w:tc>
          <w:tcPr>
            <w:tcW w:w="5730" w:type="dxa"/>
            <w:tcBorders>
              <w:top w:val="single" w:sz="4" w:space="0" w:color="auto"/>
              <w:left w:val="nil"/>
              <w:bottom w:val="single" w:sz="4" w:space="0" w:color="auto"/>
              <w:right w:val="single" w:sz="4" w:space="0" w:color="auto"/>
            </w:tcBorders>
            <w:shd w:val="clear" w:color="000000" w:fill="C6EFCE"/>
            <w:noWrap/>
            <w:vAlign w:val="center"/>
          </w:tcPr>
          <w:p w14:paraId="074C759D" w14:textId="4A3F7A2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1B48BB4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5045C2A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Verejná doprava – nadobudnutie účinnosti trhovej regulácie záväzkov vyplývajúcich zo služieb vo verejnom záujme (autobusy)</w:t>
            </w:r>
          </w:p>
        </w:tc>
      </w:tr>
      <w:tr w:rsidR="00302FC1" w:rsidRPr="00AB26B3" w14:paraId="6415F561"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582B4C8D"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197</w:t>
            </w:r>
          </w:p>
        </w:tc>
        <w:tc>
          <w:tcPr>
            <w:tcW w:w="5730" w:type="dxa"/>
            <w:tcBorders>
              <w:top w:val="nil"/>
              <w:left w:val="nil"/>
              <w:bottom w:val="single" w:sz="4" w:space="0" w:color="auto"/>
              <w:right w:val="single" w:sz="4" w:space="0" w:color="auto"/>
            </w:tcBorders>
            <w:shd w:val="clear" w:color="000000" w:fill="C6EFCE"/>
            <w:noWrap/>
            <w:vAlign w:val="center"/>
          </w:tcPr>
          <w:p w14:paraId="1024938B" w14:textId="2B321448"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16863_Super – odpočítanie výdavkov na zelené hospodárstvo, energetiku</w:t>
            </w:r>
            <w:r w:rsidR="00AB26B3" w:rsidRPr="00AB26B3">
              <w:rPr>
                <w:noProof/>
                <w:spacing w:val="-6"/>
                <w:lang w:val="sk-SK"/>
              </w:rPr>
              <w:t xml:space="preserve"> a </w:t>
            </w:r>
            <w:r w:rsidRPr="00AB26B3">
              <w:rPr>
                <w:noProof/>
                <w:spacing w:val="-6"/>
                <w:lang w:val="sk-SK"/>
              </w:rPr>
              <w:t>digitálnu transformáciu</w:t>
            </w:r>
          </w:p>
        </w:tc>
        <w:tc>
          <w:tcPr>
            <w:tcW w:w="1692" w:type="dxa"/>
            <w:tcBorders>
              <w:top w:val="nil"/>
              <w:left w:val="nil"/>
              <w:bottom w:val="single" w:sz="4" w:space="0" w:color="auto"/>
              <w:right w:val="single" w:sz="4" w:space="0" w:color="auto"/>
            </w:tcBorders>
            <w:shd w:val="clear" w:color="000000" w:fill="C6EFCE"/>
            <w:noWrap/>
            <w:vAlign w:val="center"/>
          </w:tcPr>
          <w:p w14:paraId="663CF89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4C188793" w14:textId="412874C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Super-odpočet pre ekologické</w:t>
            </w:r>
            <w:r w:rsidR="00AB26B3" w:rsidRPr="00AB26B3">
              <w:rPr>
                <w:noProof/>
                <w:spacing w:val="-6"/>
                <w:lang w:val="sk-SK"/>
              </w:rPr>
              <w:t xml:space="preserve"> a </w:t>
            </w:r>
            <w:r w:rsidRPr="00AB26B3">
              <w:rPr>
                <w:noProof/>
                <w:spacing w:val="-6"/>
                <w:lang w:val="sk-SK"/>
              </w:rPr>
              <w:t>digitálne investície MSP</w:t>
            </w:r>
          </w:p>
        </w:tc>
      </w:tr>
      <w:tr w:rsidR="00302FC1" w:rsidRPr="00AB26B3" w14:paraId="700514FC"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3973886B"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198</w:t>
            </w:r>
          </w:p>
        </w:tc>
        <w:tc>
          <w:tcPr>
            <w:tcW w:w="5730" w:type="dxa"/>
            <w:tcBorders>
              <w:top w:val="nil"/>
              <w:left w:val="nil"/>
              <w:bottom w:val="single" w:sz="4" w:space="0" w:color="auto"/>
              <w:right w:val="single" w:sz="4" w:space="0" w:color="auto"/>
            </w:tcBorders>
            <w:shd w:val="clear" w:color="000000" w:fill="C6EFCE"/>
            <w:noWrap/>
            <w:vAlign w:val="center"/>
          </w:tcPr>
          <w:p w14:paraId="20454637" w14:textId="237EF33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16616_Prijatie opatrení</w:t>
            </w:r>
            <w:r w:rsidR="00AB26B3" w:rsidRPr="00AB26B3">
              <w:rPr>
                <w:noProof/>
                <w:spacing w:val="-6"/>
                <w:lang w:val="sk-SK"/>
              </w:rPr>
              <w:t xml:space="preserve"> a </w:t>
            </w:r>
            <w:r w:rsidRPr="00AB26B3">
              <w:rPr>
                <w:noProof/>
                <w:spacing w:val="-6"/>
                <w:lang w:val="sk-SK"/>
              </w:rPr>
              <w:t>stimulov na zvýšenie počtu elektronických transakcií</w:t>
            </w:r>
          </w:p>
        </w:tc>
        <w:tc>
          <w:tcPr>
            <w:tcW w:w="1692" w:type="dxa"/>
            <w:tcBorders>
              <w:top w:val="nil"/>
              <w:left w:val="nil"/>
              <w:bottom w:val="single" w:sz="4" w:space="0" w:color="auto"/>
              <w:right w:val="single" w:sz="4" w:space="0" w:color="auto"/>
            </w:tcBorders>
            <w:shd w:val="clear" w:color="000000" w:fill="C6EFCE"/>
            <w:noWrap/>
            <w:vAlign w:val="center"/>
          </w:tcPr>
          <w:p w14:paraId="1CA3818D"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47ADC25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Právne predpisy na podporu elektronických transakcií</w:t>
            </w:r>
          </w:p>
        </w:tc>
      </w:tr>
      <w:tr w:rsidR="00302FC1" w:rsidRPr="00AB26B3" w14:paraId="0174C539"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0E030D26"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240</w:t>
            </w:r>
          </w:p>
        </w:tc>
        <w:tc>
          <w:tcPr>
            <w:tcW w:w="5730" w:type="dxa"/>
            <w:tcBorders>
              <w:top w:val="nil"/>
              <w:left w:val="nil"/>
              <w:bottom w:val="single" w:sz="4" w:space="0" w:color="auto"/>
              <w:right w:val="single" w:sz="4" w:space="0" w:color="auto"/>
            </w:tcBorders>
            <w:shd w:val="clear" w:color="000000" w:fill="C6EFCE"/>
            <w:noWrap/>
            <w:vAlign w:val="center"/>
          </w:tcPr>
          <w:p w14:paraId="261C1930" w14:textId="47B8530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16581_Posilnený dohľad nad kapitálovým trhom</w:t>
            </w:r>
            <w:r w:rsidR="00AB26B3" w:rsidRPr="00AB26B3">
              <w:rPr>
                <w:noProof/>
                <w:spacing w:val="-6"/>
                <w:lang w:val="sk-SK"/>
              </w:rPr>
              <w:t xml:space="preserve"> a </w:t>
            </w:r>
            <w:r w:rsidRPr="00AB26B3">
              <w:rPr>
                <w:noProof/>
                <w:spacing w:val="-6"/>
                <w:lang w:val="sk-SK"/>
              </w:rPr>
              <w:t>dôveryhodnosť</w:t>
            </w:r>
          </w:p>
        </w:tc>
        <w:tc>
          <w:tcPr>
            <w:tcW w:w="1692" w:type="dxa"/>
            <w:tcBorders>
              <w:top w:val="nil"/>
              <w:left w:val="nil"/>
              <w:bottom w:val="single" w:sz="4" w:space="0" w:color="auto"/>
              <w:right w:val="single" w:sz="4" w:space="0" w:color="auto"/>
            </w:tcBorders>
            <w:shd w:val="clear" w:color="000000" w:fill="C6EFCE"/>
            <w:noWrap/>
            <w:vAlign w:val="center"/>
          </w:tcPr>
          <w:p w14:paraId="1EFF0AA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39475AD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Kapitálové trhy, dohľad, digitalizácia procesov dohľadu, únia kapitálových trhov</w:t>
            </w:r>
          </w:p>
        </w:tc>
      </w:tr>
      <w:tr w:rsidR="00302FC1" w:rsidRPr="00AB26B3" w14:paraId="3C00187D"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77BECA62"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299</w:t>
            </w:r>
          </w:p>
        </w:tc>
        <w:tc>
          <w:tcPr>
            <w:tcW w:w="5730" w:type="dxa"/>
            <w:tcBorders>
              <w:top w:val="nil"/>
              <w:left w:val="nil"/>
              <w:bottom w:val="single" w:sz="4" w:space="0" w:color="auto"/>
              <w:right w:val="single" w:sz="4" w:space="0" w:color="auto"/>
            </w:tcBorders>
            <w:shd w:val="clear" w:color="000000" w:fill="C6EFCE"/>
            <w:noWrap/>
            <w:vAlign w:val="center"/>
          </w:tcPr>
          <w:p w14:paraId="6D671806" w14:textId="5A8FAF9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16593_Zmena právneho rámca pre prilákanie strategických investícií</w:t>
            </w:r>
          </w:p>
        </w:tc>
        <w:tc>
          <w:tcPr>
            <w:tcW w:w="1692" w:type="dxa"/>
            <w:tcBorders>
              <w:top w:val="nil"/>
              <w:left w:val="nil"/>
              <w:bottom w:val="single" w:sz="4" w:space="0" w:color="auto"/>
              <w:right w:val="single" w:sz="4" w:space="0" w:color="auto"/>
            </w:tcBorders>
            <w:shd w:val="clear" w:color="000000" w:fill="C6EFCE"/>
            <w:noWrap/>
            <w:vAlign w:val="center"/>
          </w:tcPr>
          <w:p w14:paraId="27117E5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65279EB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Strategické investície – legislatívna reforma</w:t>
            </w:r>
          </w:p>
        </w:tc>
      </w:tr>
      <w:tr w:rsidR="00302FC1" w:rsidRPr="00AB26B3" w14:paraId="5E220EA9"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6AB8369E"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9</w:t>
            </w:r>
          </w:p>
        </w:tc>
        <w:tc>
          <w:tcPr>
            <w:tcW w:w="5730" w:type="dxa"/>
            <w:tcBorders>
              <w:top w:val="nil"/>
              <w:left w:val="nil"/>
              <w:bottom w:val="single" w:sz="4" w:space="0" w:color="auto"/>
              <w:right w:val="single" w:sz="4" w:space="0" w:color="auto"/>
            </w:tcBorders>
            <w:shd w:val="clear" w:color="000000" w:fill="C6EFCE"/>
            <w:noWrap/>
            <w:vAlign w:val="center"/>
          </w:tcPr>
          <w:p w14:paraId="381448F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Power up – 16871_Revitalizačné opatrenia najviac postihnutých území (územia spravodlivej transformácie)</w:t>
            </w:r>
          </w:p>
        </w:tc>
        <w:tc>
          <w:tcPr>
            <w:tcW w:w="1692" w:type="dxa"/>
            <w:tcBorders>
              <w:top w:val="nil"/>
              <w:left w:val="nil"/>
              <w:bottom w:val="single" w:sz="4" w:space="0" w:color="auto"/>
              <w:right w:val="single" w:sz="4" w:space="0" w:color="auto"/>
            </w:tcBorders>
            <w:shd w:val="clear" w:color="000000" w:fill="C6EFCE"/>
            <w:noWrap/>
            <w:vAlign w:val="center"/>
          </w:tcPr>
          <w:p w14:paraId="7D40892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2FDA209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Rekultivácia pôdy – rámcový zákon</w:t>
            </w:r>
          </w:p>
        </w:tc>
      </w:tr>
      <w:tr w:rsidR="00302FC1" w:rsidRPr="00AB26B3" w14:paraId="7D3B5B29"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5B994B40"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130</w:t>
            </w:r>
          </w:p>
        </w:tc>
        <w:tc>
          <w:tcPr>
            <w:tcW w:w="5730" w:type="dxa"/>
            <w:tcBorders>
              <w:top w:val="nil"/>
              <w:left w:val="nil"/>
              <w:bottom w:val="single" w:sz="4" w:space="0" w:color="auto"/>
              <w:right w:val="single" w:sz="4" w:space="0" w:color="auto"/>
            </w:tcBorders>
            <w:shd w:val="clear" w:color="000000" w:fill="C6EFCE"/>
            <w:noWrap/>
            <w:vAlign w:val="center"/>
          </w:tcPr>
          <w:p w14:paraId="22E8B8A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7 – 2.3. Digitalizácia podnikov – 16706_Digitálna transformácia MSP</w:t>
            </w:r>
          </w:p>
        </w:tc>
        <w:tc>
          <w:tcPr>
            <w:tcW w:w="1692" w:type="dxa"/>
            <w:tcBorders>
              <w:top w:val="nil"/>
              <w:left w:val="nil"/>
              <w:bottom w:val="single" w:sz="4" w:space="0" w:color="auto"/>
              <w:right w:val="single" w:sz="4" w:space="0" w:color="auto"/>
            </w:tcBorders>
            <w:shd w:val="clear" w:color="000000" w:fill="C6EFCE"/>
            <w:noWrap/>
            <w:vAlign w:val="center"/>
          </w:tcPr>
          <w:p w14:paraId="54FFE54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780BF17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Digitálna transformácia MSP – výzvy na predkladanie návrhov</w:t>
            </w:r>
          </w:p>
        </w:tc>
      </w:tr>
      <w:tr w:rsidR="00302FC1" w:rsidRPr="00AB26B3" w14:paraId="21E03EC9"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69253AB0"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174</w:t>
            </w:r>
          </w:p>
        </w:tc>
        <w:tc>
          <w:tcPr>
            <w:tcW w:w="5730" w:type="dxa"/>
            <w:tcBorders>
              <w:top w:val="nil"/>
              <w:left w:val="nil"/>
              <w:bottom w:val="single" w:sz="4" w:space="0" w:color="auto"/>
              <w:right w:val="single" w:sz="4" w:space="0" w:color="auto"/>
            </w:tcBorders>
            <w:shd w:val="clear" w:color="000000" w:fill="C6EFCE"/>
            <w:noWrap/>
            <w:vAlign w:val="center"/>
          </w:tcPr>
          <w:p w14:paraId="54496972" w14:textId="6C0485C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16904_Zdravotné postihnutie</w:t>
            </w:r>
          </w:p>
        </w:tc>
        <w:tc>
          <w:tcPr>
            <w:tcW w:w="1692" w:type="dxa"/>
            <w:tcBorders>
              <w:top w:val="nil"/>
              <w:left w:val="nil"/>
              <w:bottom w:val="single" w:sz="4" w:space="0" w:color="auto"/>
              <w:right w:val="single" w:sz="4" w:space="0" w:color="auto"/>
            </w:tcBorders>
            <w:shd w:val="clear" w:color="000000" w:fill="C6EFCE"/>
            <w:noWrap/>
            <w:vAlign w:val="center"/>
          </w:tcPr>
          <w:p w14:paraId="1F5F2FC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21B7C3D3" w14:textId="4C03EE8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Právne predpisy</w:t>
            </w:r>
            <w:r w:rsidR="00AB26B3" w:rsidRPr="00AB26B3">
              <w:rPr>
                <w:noProof/>
                <w:spacing w:val="-6"/>
                <w:lang w:val="sk-SK"/>
              </w:rPr>
              <w:t xml:space="preserve"> v </w:t>
            </w:r>
            <w:r w:rsidRPr="00AB26B3">
              <w:rPr>
                <w:noProof/>
                <w:spacing w:val="-6"/>
                <w:lang w:val="sk-SK"/>
              </w:rPr>
              <w:t>oblasti zdravotného postihnutia týkajúce sa osobnej asistencie</w:t>
            </w:r>
            <w:r w:rsidR="00AB26B3" w:rsidRPr="00AB26B3">
              <w:rPr>
                <w:noProof/>
                <w:spacing w:val="-6"/>
                <w:lang w:val="sk-SK"/>
              </w:rPr>
              <w:t xml:space="preserve"> a </w:t>
            </w:r>
            <w:r w:rsidRPr="00AB26B3">
              <w:rPr>
                <w:noProof/>
                <w:spacing w:val="-6"/>
                <w:lang w:val="sk-SK"/>
              </w:rPr>
              <w:t>zavedenie pilotnej schémy prvej fázy</w:t>
            </w:r>
          </w:p>
        </w:tc>
      </w:tr>
      <w:tr w:rsidR="00302FC1" w:rsidRPr="00AB26B3" w14:paraId="68F5CC84"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32D56349"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188</w:t>
            </w:r>
          </w:p>
        </w:tc>
        <w:tc>
          <w:tcPr>
            <w:tcW w:w="5730" w:type="dxa"/>
            <w:tcBorders>
              <w:top w:val="nil"/>
              <w:left w:val="nil"/>
              <w:bottom w:val="single" w:sz="4" w:space="0" w:color="auto"/>
              <w:right w:val="single" w:sz="4" w:space="0" w:color="auto"/>
            </w:tcBorders>
            <w:shd w:val="clear" w:color="000000" w:fill="C6EFCE"/>
            <w:noWrap/>
            <w:vAlign w:val="center"/>
          </w:tcPr>
          <w:p w14:paraId="3F4EBF30" w14:textId="6743172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16614_Online registračné pokladnice</w:t>
            </w:r>
            <w:r w:rsidR="00AB26B3" w:rsidRPr="00AB26B3">
              <w:rPr>
                <w:noProof/>
                <w:spacing w:val="-6"/>
                <w:lang w:val="sk-SK"/>
              </w:rPr>
              <w:t xml:space="preserve"> a </w:t>
            </w:r>
            <w:r w:rsidRPr="00AB26B3">
              <w:rPr>
                <w:noProof/>
                <w:spacing w:val="-6"/>
                <w:lang w:val="sk-SK"/>
              </w:rPr>
              <w:t>POS (reforma)</w:t>
            </w:r>
          </w:p>
        </w:tc>
        <w:tc>
          <w:tcPr>
            <w:tcW w:w="1692" w:type="dxa"/>
            <w:tcBorders>
              <w:top w:val="nil"/>
              <w:left w:val="nil"/>
              <w:bottom w:val="single" w:sz="4" w:space="0" w:color="auto"/>
              <w:right w:val="single" w:sz="4" w:space="0" w:color="auto"/>
            </w:tcBorders>
            <w:shd w:val="clear" w:color="000000" w:fill="C6EFCE"/>
            <w:noWrap/>
            <w:vAlign w:val="center"/>
          </w:tcPr>
          <w:p w14:paraId="4B095BD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41154B47" w14:textId="5DB7734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Nezávislý orgán pre verejné príjmy (IAPR): Online registračné pokladnice</w:t>
            </w:r>
            <w:r w:rsidR="00AB26B3" w:rsidRPr="00AB26B3">
              <w:rPr>
                <w:noProof/>
                <w:spacing w:val="-6"/>
                <w:lang w:val="sk-SK"/>
              </w:rPr>
              <w:t xml:space="preserve"> a </w:t>
            </w:r>
            <w:r w:rsidRPr="00AB26B3">
              <w:rPr>
                <w:noProof/>
                <w:spacing w:val="-6"/>
                <w:lang w:val="sk-SK"/>
              </w:rPr>
              <w:t>predajné miesta – nadobudnutie účinnosti právneho rámca</w:t>
            </w:r>
          </w:p>
        </w:tc>
      </w:tr>
      <w:tr w:rsidR="00302FC1" w:rsidRPr="00AB26B3" w14:paraId="4C2DF725"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38B3C91B"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190</w:t>
            </w:r>
          </w:p>
        </w:tc>
        <w:tc>
          <w:tcPr>
            <w:tcW w:w="5730" w:type="dxa"/>
            <w:tcBorders>
              <w:top w:val="nil"/>
              <w:left w:val="nil"/>
              <w:bottom w:val="single" w:sz="4" w:space="0" w:color="auto"/>
              <w:right w:val="single" w:sz="4" w:space="0" w:color="auto"/>
            </w:tcBorders>
            <w:shd w:val="clear" w:color="000000" w:fill="C6EFCE"/>
            <w:noWrap/>
            <w:vAlign w:val="center"/>
          </w:tcPr>
          <w:p w14:paraId="6436F2E3" w14:textId="7B49D17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16656_Nový rámec pre boj proti pašovaniu, najmä</w:t>
            </w:r>
            <w:r w:rsidR="00AB26B3" w:rsidRPr="00AB26B3">
              <w:rPr>
                <w:noProof/>
                <w:spacing w:val="-6"/>
                <w:lang w:val="sk-SK"/>
              </w:rPr>
              <w:t xml:space="preserve"> v </w:t>
            </w:r>
            <w:r w:rsidRPr="00AB26B3">
              <w:rPr>
                <w:noProof/>
                <w:spacing w:val="-6"/>
                <w:lang w:val="sk-SK"/>
              </w:rPr>
              <w:t>prípade výrobkov podliehajúcich spotrebným daniam (tabak, alkohol</w:t>
            </w:r>
            <w:r w:rsidR="00AB26B3" w:rsidRPr="00AB26B3">
              <w:rPr>
                <w:noProof/>
                <w:spacing w:val="-6"/>
                <w:lang w:val="sk-SK"/>
              </w:rPr>
              <w:t xml:space="preserve"> a </w:t>
            </w:r>
            <w:r w:rsidRPr="00AB26B3">
              <w:rPr>
                <w:noProof/>
                <w:spacing w:val="-6"/>
                <w:lang w:val="sk-SK"/>
              </w:rPr>
              <w:t>energia)</w:t>
            </w:r>
          </w:p>
        </w:tc>
        <w:tc>
          <w:tcPr>
            <w:tcW w:w="1692" w:type="dxa"/>
            <w:tcBorders>
              <w:top w:val="nil"/>
              <w:left w:val="nil"/>
              <w:bottom w:val="single" w:sz="4" w:space="0" w:color="auto"/>
              <w:right w:val="single" w:sz="4" w:space="0" w:color="auto"/>
            </w:tcBorders>
            <w:shd w:val="clear" w:color="000000" w:fill="C6EFCE"/>
            <w:noWrap/>
            <w:vAlign w:val="center"/>
          </w:tcPr>
          <w:p w14:paraId="2B10E5C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424AD72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Boj proti prevádzačstvu – plán regulačných rozhodnutí</w:t>
            </w:r>
          </w:p>
        </w:tc>
      </w:tr>
      <w:tr w:rsidR="00302FC1" w:rsidRPr="00AB26B3" w14:paraId="70312495"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1A6F34D0"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201</w:t>
            </w:r>
          </w:p>
        </w:tc>
        <w:tc>
          <w:tcPr>
            <w:tcW w:w="5730" w:type="dxa"/>
            <w:tcBorders>
              <w:top w:val="nil"/>
              <w:left w:val="nil"/>
              <w:bottom w:val="single" w:sz="4" w:space="0" w:color="auto"/>
              <w:right w:val="single" w:sz="4" w:space="0" w:color="auto"/>
            </w:tcBorders>
            <w:shd w:val="clear" w:color="000000" w:fill="C6EFCE"/>
            <w:noWrap/>
            <w:vAlign w:val="center"/>
          </w:tcPr>
          <w:p w14:paraId="3749D865" w14:textId="39E4F865"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18 – 4.7. Zlepšiť konkurencieschopnosť</w:t>
            </w:r>
            <w:r w:rsidR="00AB26B3" w:rsidRPr="00AB26B3">
              <w:rPr>
                <w:noProof/>
                <w:spacing w:val="-6"/>
                <w:lang w:val="sk-SK"/>
              </w:rPr>
              <w:t xml:space="preserve"> a </w:t>
            </w:r>
            <w:r w:rsidRPr="00AB26B3">
              <w:rPr>
                <w:noProof/>
                <w:spacing w:val="-6"/>
                <w:lang w:val="sk-SK"/>
              </w:rPr>
              <w:t>podporiť súkromné investície</w:t>
            </w:r>
            <w:r w:rsidR="00AB26B3" w:rsidRPr="00AB26B3">
              <w:rPr>
                <w:noProof/>
                <w:spacing w:val="-6"/>
                <w:lang w:val="sk-SK"/>
              </w:rPr>
              <w:t xml:space="preserve"> a </w:t>
            </w:r>
            <w:r w:rsidRPr="00AB26B3">
              <w:rPr>
                <w:noProof/>
                <w:spacing w:val="-6"/>
                <w:lang w:val="sk-SK"/>
              </w:rPr>
              <w:t>obchod – 16598_Režim stimulov pre produktivitu</w:t>
            </w:r>
            <w:r w:rsidR="00AB26B3" w:rsidRPr="00AB26B3">
              <w:rPr>
                <w:noProof/>
                <w:spacing w:val="-6"/>
                <w:lang w:val="sk-SK"/>
              </w:rPr>
              <w:t xml:space="preserve"> a </w:t>
            </w:r>
            <w:r w:rsidRPr="00AB26B3">
              <w:rPr>
                <w:noProof/>
                <w:spacing w:val="-6"/>
                <w:lang w:val="sk-SK"/>
              </w:rPr>
              <w:t>extroverziu podnikov (zvýšenie veľkosti podnikov)</w:t>
            </w:r>
          </w:p>
        </w:tc>
        <w:tc>
          <w:tcPr>
            <w:tcW w:w="1692" w:type="dxa"/>
            <w:tcBorders>
              <w:top w:val="nil"/>
              <w:left w:val="nil"/>
              <w:bottom w:val="single" w:sz="4" w:space="0" w:color="auto"/>
              <w:right w:val="single" w:sz="4" w:space="0" w:color="auto"/>
            </w:tcBorders>
            <w:shd w:val="clear" w:color="000000" w:fill="C6EFCE"/>
            <w:noWrap/>
            <w:vAlign w:val="center"/>
          </w:tcPr>
          <w:p w14:paraId="26FF637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2E96F49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Právne predpisy na podporu extroverzie podnikov</w:t>
            </w:r>
          </w:p>
        </w:tc>
      </w:tr>
      <w:tr w:rsidR="00302FC1" w:rsidRPr="00AB26B3" w14:paraId="13EA71D7"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28555407"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224</w:t>
            </w:r>
          </w:p>
        </w:tc>
        <w:tc>
          <w:tcPr>
            <w:tcW w:w="5730" w:type="dxa"/>
            <w:tcBorders>
              <w:top w:val="nil"/>
              <w:left w:val="nil"/>
              <w:bottom w:val="single" w:sz="4" w:space="0" w:color="auto"/>
              <w:right w:val="single" w:sz="4" w:space="0" w:color="auto"/>
            </w:tcBorders>
            <w:shd w:val="clear" w:color="000000" w:fill="C6EFCE"/>
            <w:noWrap/>
            <w:vAlign w:val="center"/>
          </w:tcPr>
          <w:p w14:paraId="6C855998" w14:textId="0E67C92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16733_Zručnosti</w:t>
            </w:r>
            <w:r w:rsidR="00AB26B3" w:rsidRPr="00AB26B3">
              <w:rPr>
                <w:noProof/>
                <w:spacing w:val="-6"/>
                <w:lang w:val="sk-SK"/>
              </w:rPr>
              <w:t xml:space="preserve"> a </w:t>
            </w:r>
            <w:r w:rsidRPr="00AB26B3">
              <w:rPr>
                <w:noProof/>
                <w:spacing w:val="-6"/>
                <w:lang w:val="sk-SK"/>
              </w:rPr>
              <w:t>digitálne zručnosti sudcov</w:t>
            </w:r>
            <w:r w:rsidR="00AB26B3" w:rsidRPr="00AB26B3">
              <w:rPr>
                <w:noProof/>
                <w:spacing w:val="-6"/>
                <w:lang w:val="sk-SK"/>
              </w:rPr>
              <w:t xml:space="preserve"> a </w:t>
            </w:r>
            <w:r w:rsidRPr="00AB26B3">
              <w:rPr>
                <w:noProof/>
                <w:spacing w:val="-6"/>
                <w:lang w:val="sk-SK"/>
              </w:rPr>
              <w:t>justičných zamestnancov</w:t>
            </w:r>
          </w:p>
        </w:tc>
        <w:tc>
          <w:tcPr>
            <w:tcW w:w="1692" w:type="dxa"/>
            <w:tcBorders>
              <w:top w:val="nil"/>
              <w:left w:val="nil"/>
              <w:bottom w:val="single" w:sz="4" w:space="0" w:color="auto"/>
              <w:right w:val="single" w:sz="4" w:space="0" w:color="auto"/>
            </w:tcBorders>
            <w:shd w:val="clear" w:color="000000" w:fill="C6EFCE"/>
            <w:noWrap/>
            <w:vAlign w:val="center"/>
          </w:tcPr>
          <w:p w14:paraId="52CB203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1740" w:type="dxa"/>
            <w:tcBorders>
              <w:top w:val="nil"/>
              <w:left w:val="nil"/>
              <w:bottom w:val="single" w:sz="4" w:space="0" w:color="auto"/>
              <w:right w:val="single" w:sz="4" w:space="0" w:color="auto"/>
            </w:tcBorders>
            <w:shd w:val="clear" w:color="000000" w:fill="C6EFCE"/>
            <w:noWrap/>
            <w:vAlign w:val="center"/>
          </w:tcPr>
          <w:p w14:paraId="55A0C676" w14:textId="7F0B141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Odborná príprava – sudcovia</w:t>
            </w:r>
            <w:r w:rsidR="00AB26B3" w:rsidRPr="00AB26B3">
              <w:rPr>
                <w:noProof/>
                <w:spacing w:val="-6"/>
                <w:lang w:val="sk-SK"/>
              </w:rPr>
              <w:t xml:space="preserve"> a </w:t>
            </w:r>
            <w:r w:rsidRPr="00AB26B3">
              <w:rPr>
                <w:noProof/>
                <w:spacing w:val="-6"/>
                <w:lang w:val="sk-SK"/>
              </w:rPr>
              <w:t>administratívni pracovníci</w:t>
            </w:r>
          </w:p>
        </w:tc>
      </w:tr>
      <w:tr w:rsidR="00302FC1" w:rsidRPr="00AB26B3" w14:paraId="3EA7C9A7"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241DF7D5"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245</w:t>
            </w:r>
          </w:p>
        </w:tc>
        <w:tc>
          <w:tcPr>
            <w:tcW w:w="5730" w:type="dxa"/>
            <w:tcBorders>
              <w:top w:val="nil"/>
              <w:left w:val="nil"/>
              <w:bottom w:val="single" w:sz="4" w:space="0" w:color="auto"/>
              <w:right w:val="single" w:sz="4" w:space="0" w:color="auto"/>
            </w:tcBorders>
            <w:shd w:val="clear" w:color="000000" w:fill="C6EFCE"/>
            <w:noWrap/>
            <w:vAlign w:val="center"/>
          </w:tcPr>
          <w:p w14:paraId="2CB97F18" w14:textId="194029B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16618_Základný</w:t>
            </w:r>
            <w:r w:rsidR="00AB26B3" w:rsidRPr="00AB26B3">
              <w:rPr>
                <w:noProof/>
                <w:spacing w:val="-6"/>
                <w:lang w:val="sk-SK"/>
              </w:rPr>
              <w:t xml:space="preserve"> a </w:t>
            </w:r>
            <w:r w:rsidRPr="00AB26B3">
              <w:rPr>
                <w:noProof/>
                <w:spacing w:val="-6"/>
                <w:lang w:val="sk-SK"/>
              </w:rPr>
              <w:t>aplikovaný výskum</w:t>
            </w:r>
          </w:p>
        </w:tc>
        <w:tc>
          <w:tcPr>
            <w:tcW w:w="1692" w:type="dxa"/>
            <w:tcBorders>
              <w:top w:val="nil"/>
              <w:left w:val="nil"/>
              <w:bottom w:val="single" w:sz="4" w:space="0" w:color="auto"/>
              <w:right w:val="single" w:sz="4" w:space="0" w:color="auto"/>
            </w:tcBorders>
            <w:shd w:val="clear" w:color="000000" w:fill="C6EFCE"/>
            <w:noWrap/>
            <w:vAlign w:val="center"/>
          </w:tcPr>
          <w:p w14:paraId="634D97F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32CB5C7C" w14:textId="151DB79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Právne predpisy</w:t>
            </w:r>
            <w:r w:rsidR="00AB26B3" w:rsidRPr="00AB26B3">
              <w:rPr>
                <w:noProof/>
                <w:spacing w:val="-6"/>
                <w:lang w:val="sk-SK"/>
              </w:rPr>
              <w:t xml:space="preserve"> o </w:t>
            </w:r>
            <w:r w:rsidRPr="00AB26B3">
              <w:rPr>
                <w:noProof/>
                <w:spacing w:val="-6"/>
                <w:lang w:val="sk-SK"/>
              </w:rPr>
              <w:t>základnom</w:t>
            </w:r>
            <w:r w:rsidR="00AB26B3" w:rsidRPr="00AB26B3">
              <w:rPr>
                <w:noProof/>
                <w:spacing w:val="-6"/>
                <w:lang w:val="sk-SK"/>
              </w:rPr>
              <w:t xml:space="preserve"> a </w:t>
            </w:r>
            <w:r w:rsidRPr="00AB26B3">
              <w:rPr>
                <w:noProof/>
                <w:spacing w:val="-6"/>
                <w:lang w:val="sk-SK"/>
              </w:rPr>
              <w:t>aplikovanom výskume</w:t>
            </w:r>
          </w:p>
        </w:tc>
      </w:tr>
      <w:tr w:rsidR="00302FC1" w:rsidRPr="00AB26B3" w14:paraId="00EA30AE"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45EFE5E2"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246</w:t>
            </w:r>
          </w:p>
        </w:tc>
        <w:tc>
          <w:tcPr>
            <w:tcW w:w="5730" w:type="dxa"/>
            <w:tcBorders>
              <w:top w:val="nil"/>
              <w:left w:val="nil"/>
              <w:bottom w:val="single" w:sz="4" w:space="0" w:color="auto"/>
              <w:right w:val="single" w:sz="4" w:space="0" w:color="auto"/>
            </w:tcBorders>
            <w:shd w:val="clear" w:color="000000" w:fill="C6EFCE"/>
            <w:noWrap/>
            <w:vAlign w:val="center"/>
          </w:tcPr>
          <w:p w14:paraId="1F52DD41" w14:textId="29A9B3F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16624_Creation – Expansion – Modernizácia infraštruktúr výskumných centier pod dohľadom Generálneho sekretariátu pre výskum</w:t>
            </w:r>
            <w:r w:rsidR="00AB26B3" w:rsidRPr="00AB26B3">
              <w:rPr>
                <w:noProof/>
                <w:spacing w:val="-6"/>
                <w:lang w:val="sk-SK"/>
              </w:rPr>
              <w:t xml:space="preserve"> a </w:t>
            </w:r>
            <w:r w:rsidRPr="00AB26B3">
              <w:rPr>
                <w:noProof/>
                <w:spacing w:val="-6"/>
                <w:lang w:val="sk-SK"/>
              </w:rPr>
              <w:t>inovácie (GSRI)</w:t>
            </w:r>
          </w:p>
        </w:tc>
        <w:tc>
          <w:tcPr>
            <w:tcW w:w="1692" w:type="dxa"/>
            <w:tcBorders>
              <w:top w:val="nil"/>
              <w:left w:val="nil"/>
              <w:bottom w:val="single" w:sz="4" w:space="0" w:color="auto"/>
              <w:right w:val="single" w:sz="4" w:space="0" w:color="auto"/>
            </w:tcBorders>
            <w:shd w:val="clear" w:color="000000" w:fill="C6EFCE"/>
            <w:noWrap/>
            <w:vAlign w:val="center"/>
          </w:tcPr>
          <w:p w14:paraId="48FECB6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71CDD82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Výzva na predkladanie návrhov pre výskumné centrá</w:t>
            </w:r>
          </w:p>
        </w:tc>
      </w:tr>
      <w:tr w:rsidR="00302FC1" w:rsidRPr="00AB26B3" w14:paraId="072011C0"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335A34E4"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292</w:t>
            </w:r>
          </w:p>
        </w:tc>
        <w:tc>
          <w:tcPr>
            <w:tcW w:w="5730" w:type="dxa"/>
            <w:tcBorders>
              <w:top w:val="nil"/>
              <w:left w:val="nil"/>
              <w:bottom w:val="single" w:sz="4" w:space="0" w:color="auto"/>
              <w:right w:val="single" w:sz="4" w:space="0" w:color="auto"/>
            </w:tcBorders>
            <w:shd w:val="clear" w:color="000000" w:fill="C6EFCE"/>
            <w:noWrap/>
            <w:vAlign w:val="center"/>
          </w:tcPr>
          <w:p w14:paraId="26ABD2B7" w14:textId="592007C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16931_Rozvoj cestovného ruchu</w:t>
            </w:r>
          </w:p>
        </w:tc>
        <w:tc>
          <w:tcPr>
            <w:tcW w:w="1692" w:type="dxa"/>
            <w:tcBorders>
              <w:top w:val="nil"/>
              <w:left w:val="nil"/>
              <w:bottom w:val="single" w:sz="4" w:space="0" w:color="auto"/>
              <w:right w:val="single" w:sz="4" w:space="0" w:color="auto"/>
            </w:tcBorders>
            <w:shd w:val="clear" w:color="000000" w:fill="C6EFCE"/>
            <w:noWrap/>
            <w:vAlign w:val="center"/>
          </w:tcPr>
          <w:p w14:paraId="28BF8B3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574B845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Rozvoj cestovného ruchu: reformy týkajúce sa turistických prístavov</w:t>
            </w:r>
          </w:p>
        </w:tc>
      </w:tr>
      <w:tr w:rsidR="00302FC1" w:rsidRPr="00AB26B3" w14:paraId="3615627A"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7455A759"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300</w:t>
            </w:r>
          </w:p>
        </w:tc>
        <w:tc>
          <w:tcPr>
            <w:tcW w:w="5730" w:type="dxa"/>
            <w:tcBorders>
              <w:top w:val="nil"/>
              <w:left w:val="nil"/>
              <w:bottom w:val="single" w:sz="4" w:space="0" w:color="auto"/>
              <w:right w:val="single" w:sz="4" w:space="0" w:color="auto"/>
            </w:tcBorders>
            <w:shd w:val="clear" w:color="000000" w:fill="C6EFCE"/>
            <w:noWrap/>
            <w:vAlign w:val="center"/>
          </w:tcPr>
          <w:p w14:paraId="1501EECE" w14:textId="588DAF18"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16721_Urýchlenie inteligentnej výroby</w:t>
            </w:r>
          </w:p>
        </w:tc>
        <w:tc>
          <w:tcPr>
            <w:tcW w:w="1692" w:type="dxa"/>
            <w:tcBorders>
              <w:top w:val="nil"/>
              <w:left w:val="nil"/>
              <w:bottom w:val="single" w:sz="4" w:space="0" w:color="auto"/>
              <w:right w:val="single" w:sz="4" w:space="0" w:color="auto"/>
            </w:tcBorders>
            <w:shd w:val="clear" w:color="000000" w:fill="C6EFCE"/>
            <w:noWrap/>
            <w:vAlign w:val="center"/>
          </w:tcPr>
          <w:p w14:paraId="063316D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71005DA4" w14:textId="5189CF28"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Vyhlásenie výziev na predkladanie návrhov</w:t>
            </w:r>
            <w:r w:rsidR="00AB26B3" w:rsidRPr="00AB26B3">
              <w:rPr>
                <w:noProof/>
                <w:spacing w:val="-6"/>
                <w:lang w:val="sk-SK"/>
              </w:rPr>
              <w:t xml:space="preserve"> v </w:t>
            </w:r>
            <w:r w:rsidRPr="00AB26B3">
              <w:rPr>
                <w:noProof/>
                <w:spacing w:val="-6"/>
                <w:lang w:val="sk-SK"/>
              </w:rPr>
              <w:t>oblasti výroby</w:t>
            </w:r>
          </w:p>
        </w:tc>
      </w:tr>
      <w:tr w:rsidR="00302FC1" w:rsidRPr="00AB26B3" w14:paraId="58C22212"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6D6FAC92"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301</w:t>
            </w:r>
          </w:p>
        </w:tc>
        <w:tc>
          <w:tcPr>
            <w:tcW w:w="5730" w:type="dxa"/>
            <w:tcBorders>
              <w:top w:val="nil"/>
              <w:left w:val="nil"/>
              <w:bottom w:val="single" w:sz="4" w:space="0" w:color="auto"/>
              <w:right w:val="single" w:sz="4" w:space="0" w:color="auto"/>
            </w:tcBorders>
            <w:shd w:val="clear" w:color="000000" w:fill="C6EFCE"/>
            <w:noWrap/>
            <w:vAlign w:val="center"/>
          </w:tcPr>
          <w:p w14:paraId="703C5D77" w14:textId="12F4D69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16634_Nové priemyselné parky</w:t>
            </w:r>
          </w:p>
        </w:tc>
        <w:tc>
          <w:tcPr>
            <w:tcW w:w="1692" w:type="dxa"/>
            <w:tcBorders>
              <w:top w:val="nil"/>
              <w:left w:val="nil"/>
              <w:bottom w:val="single" w:sz="4" w:space="0" w:color="auto"/>
              <w:right w:val="single" w:sz="4" w:space="0" w:color="auto"/>
            </w:tcBorders>
            <w:shd w:val="clear" w:color="000000" w:fill="C6EFCE"/>
            <w:noWrap/>
            <w:vAlign w:val="center"/>
          </w:tcPr>
          <w:p w14:paraId="56DA84F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182B860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Vyhlásenie výziev na predkladanie návrhov na vytvorenie priemyselných parkov</w:t>
            </w:r>
          </w:p>
        </w:tc>
      </w:tr>
      <w:tr w:rsidR="00302FC1" w:rsidRPr="00AB26B3" w14:paraId="398683D0"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2AA1F0B8"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310</w:t>
            </w:r>
          </w:p>
        </w:tc>
        <w:tc>
          <w:tcPr>
            <w:tcW w:w="5730" w:type="dxa"/>
            <w:tcBorders>
              <w:top w:val="nil"/>
              <w:left w:val="nil"/>
              <w:bottom w:val="single" w:sz="4" w:space="0" w:color="auto"/>
              <w:right w:val="single" w:sz="4" w:space="0" w:color="auto"/>
            </w:tcBorders>
            <w:shd w:val="clear" w:color="000000" w:fill="C6EFCE"/>
            <w:noWrap/>
            <w:vAlign w:val="center"/>
          </w:tcPr>
          <w:p w14:paraId="219C9711" w14:textId="6C3AA610"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16626_Hospodárska transformácia</w:t>
            </w:r>
            <w:r w:rsidR="00AB26B3" w:rsidRPr="00AB26B3">
              <w:rPr>
                <w:noProof/>
                <w:spacing w:val="-6"/>
                <w:lang w:val="sk-SK"/>
              </w:rPr>
              <w:t xml:space="preserve"> v </w:t>
            </w:r>
            <w:r w:rsidRPr="00AB26B3">
              <w:rPr>
                <w:noProof/>
                <w:spacing w:val="-6"/>
                <w:lang w:val="sk-SK"/>
              </w:rPr>
              <w:t>odvetví poľnohospodárstva</w:t>
            </w:r>
          </w:p>
        </w:tc>
        <w:tc>
          <w:tcPr>
            <w:tcW w:w="1692" w:type="dxa"/>
            <w:tcBorders>
              <w:top w:val="nil"/>
              <w:left w:val="nil"/>
              <w:bottom w:val="single" w:sz="4" w:space="0" w:color="auto"/>
              <w:right w:val="single" w:sz="4" w:space="0" w:color="auto"/>
            </w:tcBorders>
            <w:shd w:val="clear" w:color="000000" w:fill="C6EFCE"/>
            <w:noWrap/>
            <w:vAlign w:val="center"/>
          </w:tcPr>
          <w:p w14:paraId="0F5C20F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5C68BF7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Hospodárska transformácia poľnohospodárstva: Spustenie programu</w:t>
            </w:r>
          </w:p>
        </w:tc>
      </w:tr>
      <w:tr w:rsidR="00302FC1" w:rsidRPr="00AB26B3" w14:paraId="2AA30DB0"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787B89E4"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4</w:t>
            </w:r>
          </w:p>
        </w:tc>
        <w:tc>
          <w:tcPr>
            <w:tcW w:w="5730" w:type="dxa"/>
            <w:tcBorders>
              <w:top w:val="nil"/>
              <w:left w:val="nil"/>
              <w:bottom w:val="single" w:sz="4" w:space="0" w:color="auto"/>
              <w:right w:val="single" w:sz="4" w:space="0" w:color="auto"/>
            </w:tcBorders>
            <w:shd w:val="clear" w:color="000000" w:fill="C6EFCE"/>
            <w:noWrap/>
            <w:vAlign w:val="center"/>
          </w:tcPr>
          <w:p w14:paraId="3665ED09" w14:textId="588F18C5"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Power up – 16865_Reštrukturalizácia</w:t>
            </w:r>
            <w:r w:rsidR="00AB26B3" w:rsidRPr="00AB26B3">
              <w:rPr>
                <w:noProof/>
                <w:spacing w:val="-6"/>
                <w:lang w:val="sk-SK"/>
              </w:rPr>
              <w:t xml:space="preserve"> a </w:t>
            </w:r>
            <w:r w:rsidRPr="00AB26B3">
              <w:rPr>
                <w:noProof/>
                <w:spacing w:val="-6"/>
                <w:lang w:val="sk-SK"/>
              </w:rPr>
              <w:t>zvýšenie príjmov</w:t>
            </w:r>
            <w:r w:rsidR="00AB26B3" w:rsidRPr="00AB26B3">
              <w:rPr>
                <w:noProof/>
                <w:spacing w:val="-6"/>
                <w:lang w:val="sk-SK"/>
              </w:rPr>
              <w:t xml:space="preserve"> z </w:t>
            </w:r>
            <w:r w:rsidRPr="00AB26B3">
              <w:rPr>
                <w:noProof/>
                <w:spacing w:val="-6"/>
                <w:lang w:val="sk-SK"/>
              </w:rPr>
              <w:t>účtu KVET pre OZE</w:t>
            </w:r>
          </w:p>
        </w:tc>
        <w:tc>
          <w:tcPr>
            <w:tcW w:w="1692" w:type="dxa"/>
            <w:tcBorders>
              <w:top w:val="nil"/>
              <w:left w:val="nil"/>
              <w:bottom w:val="single" w:sz="4" w:space="0" w:color="auto"/>
              <w:right w:val="single" w:sz="4" w:space="0" w:color="auto"/>
            </w:tcBorders>
            <w:shd w:val="clear" w:color="000000" w:fill="C6EFCE"/>
            <w:noWrap/>
            <w:vAlign w:val="center"/>
          </w:tcPr>
          <w:p w14:paraId="7F4339D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510E3F66" w14:textId="3D5AB9A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Účet OZE – právne predpisy, ktorými sa mení</w:t>
            </w:r>
            <w:r w:rsidR="00AB26B3" w:rsidRPr="00AB26B3">
              <w:rPr>
                <w:noProof/>
                <w:spacing w:val="-6"/>
                <w:lang w:val="sk-SK"/>
              </w:rPr>
              <w:t xml:space="preserve"> a </w:t>
            </w:r>
            <w:r w:rsidRPr="00AB26B3">
              <w:rPr>
                <w:noProof/>
                <w:spacing w:val="-6"/>
                <w:lang w:val="sk-SK"/>
              </w:rPr>
              <w:t xml:space="preserve">dopĺňa zákon </w:t>
            </w:r>
            <w:r w:rsidR="00AB26B3" w:rsidRPr="00AB26B3">
              <w:rPr>
                <w:noProof/>
                <w:spacing w:val="-6"/>
                <w:lang w:val="sk-SK"/>
              </w:rPr>
              <w:t>č. </w:t>
            </w:r>
            <w:r w:rsidRPr="00AB26B3">
              <w:rPr>
                <w:noProof/>
                <w:spacing w:val="-6"/>
                <w:lang w:val="sk-SK"/>
              </w:rPr>
              <w:t>4001/2011; nadobudnutie účinnosti všetkých príslušných rozhodnutí ministerstiev, národného regulačného orgánu (RAE)</w:t>
            </w:r>
            <w:r w:rsidR="00AB26B3" w:rsidRPr="00AB26B3">
              <w:rPr>
                <w:noProof/>
                <w:spacing w:val="-6"/>
                <w:lang w:val="sk-SK"/>
              </w:rPr>
              <w:t xml:space="preserve"> a </w:t>
            </w:r>
            <w:r w:rsidRPr="00AB26B3">
              <w:rPr>
                <w:noProof/>
                <w:spacing w:val="-6"/>
                <w:lang w:val="sk-SK"/>
              </w:rPr>
              <w:t>správcu obnoviteľných zdrojov energie</w:t>
            </w:r>
            <w:r w:rsidR="00AB26B3" w:rsidRPr="00AB26B3">
              <w:rPr>
                <w:noProof/>
                <w:spacing w:val="-6"/>
                <w:lang w:val="sk-SK"/>
              </w:rPr>
              <w:t xml:space="preserve"> a </w:t>
            </w:r>
            <w:r w:rsidRPr="00AB26B3">
              <w:rPr>
                <w:noProof/>
                <w:spacing w:val="-6"/>
                <w:lang w:val="sk-SK"/>
              </w:rPr>
              <w:t>potvrdení</w:t>
            </w:r>
            <w:r w:rsidR="00AB26B3" w:rsidRPr="00AB26B3">
              <w:rPr>
                <w:noProof/>
                <w:spacing w:val="-6"/>
                <w:lang w:val="sk-SK"/>
              </w:rPr>
              <w:t xml:space="preserve"> o </w:t>
            </w:r>
            <w:r w:rsidRPr="00AB26B3">
              <w:rPr>
                <w:noProof/>
                <w:spacing w:val="-6"/>
                <w:lang w:val="sk-SK"/>
              </w:rPr>
              <w:t>pôvode (DAPEEP) vrátane kódexov.</w:t>
            </w:r>
          </w:p>
        </w:tc>
      </w:tr>
      <w:tr w:rsidR="00302FC1" w:rsidRPr="00AB26B3" w14:paraId="1ECDC45B"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4C50E66A"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5</w:t>
            </w:r>
          </w:p>
        </w:tc>
        <w:tc>
          <w:tcPr>
            <w:tcW w:w="5730" w:type="dxa"/>
            <w:tcBorders>
              <w:top w:val="nil"/>
              <w:left w:val="nil"/>
              <w:bottom w:val="single" w:sz="4" w:space="0" w:color="auto"/>
              <w:right w:val="single" w:sz="4" w:space="0" w:color="auto"/>
            </w:tcBorders>
            <w:shd w:val="clear" w:color="000000" w:fill="C6EFCE"/>
            <w:noWrap/>
            <w:vAlign w:val="center"/>
          </w:tcPr>
          <w:p w14:paraId="56A4434D" w14:textId="5BC81B5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Power up – 16860_Zjednodušiť efektívne fungovanie nového modelu trhu</w:t>
            </w:r>
            <w:r w:rsidR="00AB26B3" w:rsidRPr="00AB26B3">
              <w:rPr>
                <w:noProof/>
                <w:spacing w:val="-6"/>
                <w:lang w:val="sk-SK"/>
              </w:rPr>
              <w:t xml:space="preserve"> s </w:t>
            </w:r>
            <w:r w:rsidRPr="00AB26B3">
              <w:rPr>
                <w:noProof/>
                <w:spacing w:val="-6"/>
                <w:lang w:val="sk-SK"/>
              </w:rPr>
              <w:t>elektrinou</w:t>
            </w:r>
            <w:r w:rsidR="00AB26B3" w:rsidRPr="00AB26B3">
              <w:rPr>
                <w:noProof/>
                <w:spacing w:val="-6"/>
                <w:lang w:val="sk-SK"/>
              </w:rPr>
              <w:t xml:space="preserve"> a </w:t>
            </w:r>
            <w:r w:rsidRPr="00AB26B3">
              <w:rPr>
                <w:noProof/>
                <w:spacing w:val="-6"/>
                <w:lang w:val="sk-SK"/>
              </w:rPr>
              <w:t>rozvoj nových zariadení na výrobu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s </w:t>
            </w:r>
            <w:r w:rsidRPr="00AB26B3">
              <w:rPr>
                <w:noProof/>
                <w:spacing w:val="-6"/>
                <w:lang w:val="sk-SK"/>
              </w:rPr>
              <w:t>cieľom dosiahnuť ciele NEKP prostredníctvom vykonávania monitorovacieho mechanizmu, účasti reakcie na strane spotreby</w:t>
            </w:r>
            <w:r w:rsidR="00AB26B3" w:rsidRPr="00AB26B3">
              <w:rPr>
                <w:noProof/>
                <w:spacing w:val="-6"/>
                <w:lang w:val="sk-SK"/>
              </w:rPr>
              <w:t xml:space="preserve"> a </w:t>
            </w:r>
            <w:r w:rsidRPr="00AB26B3">
              <w:rPr>
                <w:noProof/>
                <w:spacing w:val="-6"/>
                <w:lang w:val="sk-SK"/>
              </w:rPr>
              <w:t>rozsiahlej reformy postupu udeľovania licencií pre nové OZE</w:t>
            </w:r>
          </w:p>
        </w:tc>
        <w:tc>
          <w:tcPr>
            <w:tcW w:w="1692" w:type="dxa"/>
            <w:tcBorders>
              <w:top w:val="nil"/>
              <w:left w:val="nil"/>
              <w:bottom w:val="single" w:sz="4" w:space="0" w:color="auto"/>
              <w:right w:val="single" w:sz="4" w:space="0" w:color="auto"/>
            </w:tcBorders>
            <w:shd w:val="clear" w:color="000000" w:fill="C6EFCE"/>
            <w:noWrap/>
            <w:vAlign w:val="center"/>
          </w:tcPr>
          <w:p w14:paraId="76B6D62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5F42C007" w14:textId="2A7A5DF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Účet OZE – trhové reformy</w:t>
            </w:r>
            <w:r w:rsidR="00AB26B3" w:rsidRPr="00AB26B3">
              <w:rPr>
                <w:noProof/>
                <w:spacing w:val="-6"/>
                <w:lang w:val="sk-SK"/>
              </w:rPr>
              <w:t xml:space="preserve"> a </w:t>
            </w:r>
            <w:r w:rsidRPr="00AB26B3">
              <w:rPr>
                <w:noProof/>
                <w:spacing w:val="-6"/>
                <w:lang w:val="sk-SK"/>
              </w:rPr>
              <w:t>zjednodušenie udeľovania licencií</w:t>
            </w:r>
          </w:p>
        </w:tc>
      </w:tr>
      <w:tr w:rsidR="00302FC1" w:rsidRPr="00AB26B3" w14:paraId="00538063"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56F29B8B"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138</w:t>
            </w:r>
          </w:p>
        </w:tc>
        <w:tc>
          <w:tcPr>
            <w:tcW w:w="5730" w:type="dxa"/>
            <w:tcBorders>
              <w:top w:val="nil"/>
              <w:left w:val="nil"/>
              <w:bottom w:val="single" w:sz="4" w:space="0" w:color="auto"/>
              <w:right w:val="single" w:sz="4" w:space="0" w:color="auto"/>
            </w:tcBorders>
            <w:shd w:val="clear" w:color="000000" w:fill="C6EFCE"/>
            <w:noWrap/>
            <w:vAlign w:val="center"/>
          </w:tcPr>
          <w:p w14:paraId="3445FE16" w14:textId="44E6F54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16913_Nová stratégia pre celoživotné zručnosti: Modernizácia</w:t>
            </w:r>
            <w:r w:rsidR="00AB26B3" w:rsidRPr="00AB26B3">
              <w:rPr>
                <w:noProof/>
                <w:spacing w:val="-6"/>
                <w:lang w:val="sk-SK"/>
              </w:rPr>
              <w:t xml:space="preserve"> a </w:t>
            </w:r>
            <w:r w:rsidRPr="00AB26B3">
              <w:rPr>
                <w:noProof/>
                <w:spacing w:val="-6"/>
                <w:lang w:val="sk-SK"/>
              </w:rPr>
              <w:t>aktualizácia gréckeho systému zvyšovania úrovne zručností</w:t>
            </w:r>
            <w:r w:rsidR="00AB26B3" w:rsidRPr="00AB26B3">
              <w:rPr>
                <w:noProof/>
                <w:spacing w:val="-6"/>
                <w:lang w:val="sk-SK"/>
              </w:rPr>
              <w:t xml:space="preserve"> a </w:t>
            </w:r>
            <w:r w:rsidRPr="00AB26B3">
              <w:rPr>
                <w:noProof/>
                <w:spacing w:val="-6"/>
                <w:lang w:val="sk-SK"/>
              </w:rPr>
              <w:t>rekvalifikácie</w:t>
            </w:r>
          </w:p>
        </w:tc>
        <w:tc>
          <w:tcPr>
            <w:tcW w:w="1692" w:type="dxa"/>
            <w:tcBorders>
              <w:top w:val="nil"/>
              <w:left w:val="nil"/>
              <w:bottom w:val="single" w:sz="4" w:space="0" w:color="auto"/>
              <w:right w:val="single" w:sz="4" w:space="0" w:color="auto"/>
            </w:tcBorders>
            <w:shd w:val="clear" w:color="000000" w:fill="C6EFCE"/>
            <w:noWrap/>
            <w:vAlign w:val="center"/>
          </w:tcPr>
          <w:p w14:paraId="7C315C9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0CBB164F" w14:textId="32243B2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Nadobudnutie účinnosti právnych predpisov</w:t>
            </w:r>
            <w:r w:rsidR="00AB26B3" w:rsidRPr="00AB26B3">
              <w:rPr>
                <w:noProof/>
                <w:spacing w:val="-6"/>
                <w:lang w:val="sk-SK"/>
              </w:rPr>
              <w:t xml:space="preserve"> v </w:t>
            </w:r>
            <w:r w:rsidRPr="00AB26B3">
              <w:rPr>
                <w:noProof/>
                <w:spacing w:val="-6"/>
                <w:lang w:val="sk-SK"/>
              </w:rPr>
              <w:t>súvislosti so stratégiou celoživotného vzdelávania</w:t>
            </w:r>
          </w:p>
        </w:tc>
      </w:tr>
      <w:tr w:rsidR="00302FC1" w:rsidRPr="00AB26B3" w14:paraId="498C4F67"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1E710579"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202</w:t>
            </w:r>
          </w:p>
        </w:tc>
        <w:tc>
          <w:tcPr>
            <w:tcW w:w="5730" w:type="dxa"/>
            <w:tcBorders>
              <w:top w:val="nil"/>
              <w:left w:val="nil"/>
              <w:bottom w:val="single" w:sz="4" w:space="0" w:color="auto"/>
              <w:right w:val="single" w:sz="4" w:space="0" w:color="auto"/>
            </w:tcBorders>
            <w:shd w:val="clear" w:color="000000" w:fill="C6EFCE"/>
            <w:noWrap/>
            <w:vAlign w:val="center"/>
          </w:tcPr>
          <w:p w14:paraId="70EBAC93" w14:textId="10D02DD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xml:space="preserve">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692" w:type="dxa"/>
            <w:tcBorders>
              <w:top w:val="nil"/>
              <w:left w:val="nil"/>
              <w:bottom w:val="single" w:sz="4" w:space="0" w:color="auto"/>
              <w:right w:val="single" w:sz="4" w:space="0" w:color="auto"/>
            </w:tcBorders>
            <w:shd w:val="clear" w:color="000000" w:fill="C6EFCE"/>
            <w:noWrap/>
            <w:vAlign w:val="center"/>
          </w:tcPr>
          <w:p w14:paraId="1C4885C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2540FF3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Zvýšenie kapacity pre daňovú kodifikáciu</w:t>
            </w:r>
          </w:p>
        </w:tc>
      </w:tr>
      <w:tr w:rsidR="00302FC1" w:rsidRPr="00AB26B3" w14:paraId="2DC944C3"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26CEFB82"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205</w:t>
            </w:r>
          </w:p>
        </w:tc>
        <w:tc>
          <w:tcPr>
            <w:tcW w:w="5730" w:type="dxa"/>
            <w:tcBorders>
              <w:top w:val="nil"/>
              <w:left w:val="nil"/>
              <w:bottom w:val="single" w:sz="4" w:space="0" w:color="auto"/>
              <w:right w:val="single" w:sz="4" w:space="0" w:color="auto"/>
            </w:tcBorders>
            <w:shd w:val="clear" w:color="000000" w:fill="C6EFCE"/>
            <w:noWrap/>
            <w:vAlign w:val="center"/>
          </w:tcPr>
          <w:p w14:paraId="6D9382F0" w14:textId="02F7A5C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16972_Reforma verejnej správy</w:t>
            </w:r>
          </w:p>
        </w:tc>
        <w:tc>
          <w:tcPr>
            <w:tcW w:w="1692" w:type="dxa"/>
            <w:tcBorders>
              <w:top w:val="nil"/>
              <w:left w:val="nil"/>
              <w:bottom w:val="single" w:sz="4" w:space="0" w:color="auto"/>
              <w:right w:val="single" w:sz="4" w:space="0" w:color="auto"/>
            </w:tcBorders>
            <w:shd w:val="clear" w:color="000000" w:fill="C6EFCE"/>
            <w:noWrap/>
            <w:vAlign w:val="center"/>
          </w:tcPr>
          <w:p w14:paraId="4F1333C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2EB696F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Verejná správa – spustenie systému odmeňovania podľa výkonnosti</w:t>
            </w:r>
          </w:p>
        </w:tc>
      </w:tr>
      <w:tr w:rsidR="00302FC1" w:rsidRPr="00AB26B3" w14:paraId="55CE542C" w14:textId="77777777">
        <w:trPr>
          <w:trHeight w:val="302"/>
        </w:trPr>
        <w:tc>
          <w:tcPr>
            <w:tcW w:w="675" w:type="dxa"/>
            <w:tcBorders>
              <w:top w:val="nil"/>
              <w:left w:val="single" w:sz="4" w:space="0" w:color="auto"/>
              <w:bottom w:val="single" w:sz="4" w:space="0" w:color="auto"/>
              <w:right w:val="single" w:sz="4" w:space="0" w:color="auto"/>
            </w:tcBorders>
            <w:shd w:val="clear" w:color="000000" w:fill="C6EFCE"/>
            <w:noWrap/>
            <w:vAlign w:val="center"/>
          </w:tcPr>
          <w:p w14:paraId="1D5FC2EF"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254</w:t>
            </w:r>
          </w:p>
        </w:tc>
        <w:tc>
          <w:tcPr>
            <w:tcW w:w="5730" w:type="dxa"/>
            <w:tcBorders>
              <w:top w:val="nil"/>
              <w:left w:val="nil"/>
              <w:bottom w:val="single" w:sz="4" w:space="0" w:color="auto"/>
              <w:right w:val="single" w:sz="4" w:space="0" w:color="auto"/>
            </w:tcBorders>
            <w:shd w:val="clear" w:color="000000" w:fill="C6EFCE"/>
            <w:noWrap/>
            <w:vAlign w:val="center"/>
          </w:tcPr>
          <w:p w14:paraId="7DC61958" w14:textId="23CC35B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16628_Central Greece Highway E-65: Trikala – úsek Egnatia</w:t>
            </w:r>
          </w:p>
        </w:tc>
        <w:tc>
          <w:tcPr>
            <w:tcW w:w="1692" w:type="dxa"/>
            <w:tcBorders>
              <w:top w:val="nil"/>
              <w:left w:val="nil"/>
              <w:bottom w:val="single" w:sz="4" w:space="0" w:color="auto"/>
              <w:right w:val="single" w:sz="4" w:space="0" w:color="auto"/>
            </w:tcBorders>
            <w:shd w:val="clear" w:color="000000" w:fill="C6EFCE"/>
            <w:noWrap/>
            <w:vAlign w:val="center"/>
          </w:tcPr>
          <w:p w14:paraId="33C752F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nil"/>
              <w:left w:val="nil"/>
              <w:bottom w:val="single" w:sz="4" w:space="0" w:color="auto"/>
              <w:right w:val="single" w:sz="4" w:space="0" w:color="auto"/>
            </w:tcBorders>
            <w:shd w:val="clear" w:color="000000" w:fill="C6EFCE"/>
            <w:noWrap/>
            <w:vAlign w:val="center"/>
          </w:tcPr>
          <w:p w14:paraId="00C662F0" w14:textId="38F47B1C"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Začiatok stavebných prác</w:t>
            </w:r>
            <w:r w:rsidR="00AB26B3" w:rsidRPr="00AB26B3">
              <w:rPr>
                <w:noProof/>
                <w:spacing w:val="-6"/>
                <w:lang w:val="sk-SK"/>
              </w:rPr>
              <w:t xml:space="preserve"> v </w:t>
            </w:r>
            <w:r w:rsidRPr="00AB26B3">
              <w:rPr>
                <w:noProof/>
                <w:spacing w:val="-6"/>
                <w:lang w:val="sk-SK"/>
              </w:rPr>
              <w:t>E-65</w:t>
            </w:r>
          </w:p>
        </w:tc>
      </w:tr>
      <w:tr w:rsidR="00302FC1" w:rsidRPr="00AB26B3" w14:paraId="2096670C"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678004A9"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264</w:t>
            </w:r>
          </w:p>
        </w:tc>
        <w:tc>
          <w:tcPr>
            <w:tcW w:w="5730" w:type="dxa"/>
            <w:tcBorders>
              <w:top w:val="single" w:sz="4" w:space="0" w:color="auto"/>
              <w:left w:val="nil"/>
              <w:bottom w:val="single" w:sz="4" w:space="0" w:color="auto"/>
              <w:right w:val="single" w:sz="4" w:space="0" w:color="auto"/>
            </w:tcBorders>
            <w:shd w:val="clear" w:color="000000" w:fill="C6EFCE"/>
            <w:noWrap/>
            <w:vAlign w:val="center"/>
          </w:tcPr>
          <w:p w14:paraId="353FA32F" w14:textId="3BF3DE48"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6564091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49BE3224" w14:textId="6821D2A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Zákon</w:t>
            </w:r>
            <w:r w:rsidR="00AB26B3" w:rsidRPr="00AB26B3">
              <w:rPr>
                <w:noProof/>
                <w:spacing w:val="-6"/>
                <w:lang w:val="sk-SK"/>
              </w:rPr>
              <w:t xml:space="preserve"> o </w:t>
            </w:r>
            <w:r w:rsidRPr="00AB26B3">
              <w:rPr>
                <w:noProof/>
                <w:spacing w:val="-6"/>
                <w:lang w:val="sk-SK"/>
              </w:rPr>
              <w:t>reforme železníc</w:t>
            </w:r>
          </w:p>
        </w:tc>
      </w:tr>
      <w:tr w:rsidR="00302FC1" w:rsidRPr="00AB26B3" w14:paraId="666521E6"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44FBF447"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730"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0D7151F" w14:textId="77777777" w:rsidR="00302FC1" w:rsidRPr="00AB26B3" w:rsidRDefault="00302FC1">
            <w:pPr>
              <w:keepNext/>
              <w:spacing w:before="40" w:after="0" w:line="240" w:lineRule="auto"/>
              <w:jc w:val="both"/>
              <w:rPr>
                <w:rFonts w:ascii="Times New Roman" w:eastAsia="Times New Roman" w:hAnsi="Times New Roman" w:cs="Times New Roman"/>
                <w:bCs/>
                <w:noProof/>
                <w:spacing w:val="-6"/>
                <w:sz w:val="18"/>
                <w:szCs w:val="18"/>
                <w:lang w:val="sk-SK"/>
              </w:rPr>
            </w:pPr>
          </w:p>
        </w:tc>
        <w:tc>
          <w:tcPr>
            <w:tcW w:w="1692"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6520B1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Suma splátky</w:t>
            </w:r>
          </w:p>
        </w:tc>
        <w:tc>
          <w:tcPr>
            <w:tcW w:w="1740"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4817B5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1 974 438 067 EUR</w:t>
            </w:r>
          </w:p>
        </w:tc>
      </w:tr>
    </w:tbl>
    <w:p w14:paraId="2D955C49" w14:textId="77777777" w:rsidR="00302FC1" w:rsidRPr="00AB26B3" w:rsidRDefault="00302FC1">
      <w:pPr>
        <w:keepNext/>
        <w:numPr>
          <w:ilvl w:val="1"/>
          <w:numId w:val="85"/>
        </w:numPr>
        <w:spacing w:before="40" w:after="160" w:line="259" w:lineRule="auto"/>
        <w:ind w:left="0"/>
        <w:contextualSpacing/>
        <w:jc w:val="both"/>
        <w:rPr>
          <w:rFonts w:ascii="Times New Roman" w:hAnsi="Times New Roman"/>
          <w:noProof/>
          <w:spacing w:val="-6"/>
          <w:sz w:val="24"/>
          <w:lang w:val="sk-SK"/>
        </w:rPr>
        <w:sectPr w:rsidR="00302FC1" w:rsidRPr="00AB26B3" w:rsidSect="00315FC0">
          <w:headerReference w:type="even" r:id="rId378"/>
          <w:headerReference w:type="default" r:id="rId379"/>
          <w:footerReference w:type="even" r:id="rId380"/>
          <w:footerReference w:type="default" r:id="rId381"/>
          <w:headerReference w:type="first" r:id="rId382"/>
          <w:footerReference w:type="first" r:id="rId383"/>
          <w:pgSz w:w="11906" w:h="16838"/>
          <w:pgMar w:top="1417" w:right="1417" w:bottom="1417" w:left="1417" w:header="708" w:footer="708" w:gutter="0"/>
          <w:cols w:space="708"/>
          <w:docGrid w:linePitch="360"/>
        </w:sectPr>
      </w:pPr>
    </w:p>
    <w:p w14:paraId="349F6A9B" w14:textId="5EE66D73" w:rsidR="00302FC1" w:rsidRPr="00AB26B3" w:rsidRDefault="00D64F26">
      <w:pPr>
        <w:pStyle w:val="P68B1DB1-Normal5"/>
        <w:keepNext/>
        <w:numPr>
          <w:ilvl w:val="1"/>
          <w:numId w:val="85"/>
        </w:numPr>
        <w:spacing w:before="40" w:after="160" w:line="259" w:lineRule="auto"/>
        <w:ind w:left="0"/>
        <w:contextualSpacing/>
        <w:jc w:val="both"/>
        <w:rPr>
          <w:noProof/>
          <w:spacing w:val="-6"/>
          <w:lang w:val="sk-SK"/>
        </w:rPr>
      </w:pPr>
      <w:r w:rsidRPr="00AB26B3">
        <w:rPr>
          <w:noProof/>
          <w:spacing w:val="-6"/>
          <w:lang w:val="sk-SK"/>
        </w:rPr>
        <w:t xml:space="preserve"> Tretia žiadosť</w:t>
      </w:r>
      <w:r w:rsidR="00AB26B3" w:rsidRPr="00AB26B3">
        <w:rPr>
          <w:noProof/>
          <w:spacing w:val="-6"/>
          <w:lang w:val="sk-SK"/>
        </w:rPr>
        <w:t xml:space="preserve"> o </w:t>
      </w:r>
      <w:r w:rsidRPr="00AB26B3">
        <w:rPr>
          <w:noProof/>
          <w:spacing w:val="-6"/>
          <w:lang w:val="sk-SK"/>
        </w:rPr>
        <w:t>platbu (nenávratná podpora):</w:t>
      </w:r>
    </w:p>
    <w:p w14:paraId="62C99745" w14:textId="77777777" w:rsidR="00302FC1" w:rsidRPr="00AB26B3" w:rsidRDefault="00302FC1">
      <w:pPr>
        <w:keepNext/>
        <w:spacing w:before="40" w:after="160" w:line="259" w:lineRule="auto"/>
        <w:contextualSpacing/>
        <w:jc w:val="both"/>
        <w:rPr>
          <w:rFonts w:ascii="Times New Roman" w:hAnsi="Times New Roman"/>
          <w:noProof/>
          <w:spacing w:val="-6"/>
          <w:sz w:val="24"/>
          <w:lang w:val="sk-SK"/>
        </w:rPr>
      </w:pPr>
    </w:p>
    <w:tbl>
      <w:tblPr>
        <w:tblpPr w:leftFromText="180" w:rightFromText="180" w:vertAnchor="text" w:tblpX="-252" w:tblpY="1"/>
        <w:tblOverlap w:val="never"/>
        <w:tblW w:w="9595" w:type="dxa"/>
        <w:tblLook w:val="04A0" w:firstRow="1" w:lastRow="0" w:firstColumn="1" w:lastColumn="0" w:noHBand="0" w:noVBand="1"/>
      </w:tblPr>
      <w:tblGrid>
        <w:gridCol w:w="542"/>
        <w:gridCol w:w="5581"/>
        <w:gridCol w:w="1680"/>
        <w:gridCol w:w="1800"/>
      </w:tblGrid>
      <w:tr w:rsidR="00302FC1" w:rsidRPr="00AB26B3" w14:paraId="4E14A9BA" w14:textId="77777777">
        <w:trPr>
          <w:trHeight w:val="906"/>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BD1F89" w14:textId="5F75A68B"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5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6FB311"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358D61"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800" w:type="dxa"/>
            <w:vMerge w:val="restart"/>
            <w:tcBorders>
              <w:top w:val="single" w:sz="4" w:space="0" w:color="auto"/>
              <w:left w:val="nil"/>
              <w:bottom w:val="single" w:sz="4" w:space="0" w:color="auto"/>
              <w:right w:val="single" w:sz="4" w:space="0" w:color="auto"/>
            </w:tcBorders>
            <w:shd w:val="clear" w:color="auto" w:fill="BDD7EE"/>
            <w:vAlign w:val="center"/>
            <w:hideMark/>
          </w:tcPr>
          <w:p w14:paraId="2D7DCC55"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1AE52C94" w14:textId="77777777">
        <w:trPr>
          <w:trHeight w:val="269"/>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9C01E0A"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581" w:type="dxa"/>
            <w:vMerge/>
            <w:tcBorders>
              <w:top w:val="single" w:sz="4" w:space="0" w:color="auto"/>
              <w:left w:val="single" w:sz="4" w:space="0" w:color="auto"/>
              <w:bottom w:val="single" w:sz="4" w:space="0" w:color="auto"/>
              <w:right w:val="single" w:sz="4" w:space="0" w:color="auto"/>
            </w:tcBorders>
            <w:vAlign w:val="center"/>
            <w:hideMark/>
          </w:tcPr>
          <w:p w14:paraId="2A4D1477"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6A16E0DC"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ABD4AA4"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4DF387B8" w14:textId="77777777">
        <w:trPr>
          <w:trHeight w:val="302"/>
        </w:trPr>
        <w:tc>
          <w:tcPr>
            <w:tcW w:w="5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EBE9A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21</w:t>
            </w:r>
          </w:p>
        </w:tc>
        <w:tc>
          <w:tcPr>
            <w:tcW w:w="5581" w:type="dxa"/>
            <w:tcBorders>
              <w:top w:val="single" w:sz="4" w:space="0" w:color="auto"/>
              <w:left w:val="nil"/>
              <w:bottom w:val="single" w:sz="4" w:space="0" w:color="auto"/>
              <w:right w:val="single" w:sz="4" w:space="0" w:color="auto"/>
            </w:tcBorders>
            <w:shd w:val="clear" w:color="auto" w:fill="C6EFCE"/>
            <w:noWrap/>
            <w:vAlign w:val="center"/>
          </w:tcPr>
          <w:p w14:paraId="49708FB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16872_Energetická obnova obytných budov</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7E46B26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7936FF7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Renovácia obytných budov – 2. kolo uvádzania na trh vrátane energeticky chudobných domácností</w:t>
            </w:r>
          </w:p>
        </w:tc>
      </w:tr>
      <w:tr w:rsidR="00302FC1" w:rsidRPr="00AB26B3" w14:paraId="16C4200D"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12AA71B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45</w:t>
            </w:r>
          </w:p>
        </w:tc>
        <w:tc>
          <w:tcPr>
            <w:tcW w:w="5581" w:type="dxa"/>
            <w:tcBorders>
              <w:top w:val="nil"/>
              <w:left w:val="nil"/>
              <w:bottom w:val="single" w:sz="4" w:space="0" w:color="auto"/>
              <w:right w:val="single" w:sz="4" w:space="0" w:color="auto"/>
            </w:tcBorders>
            <w:shd w:val="clear" w:color="auto" w:fill="C6EFCE"/>
            <w:noWrap/>
            <w:vAlign w:val="center"/>
          </w:tcPr>
          <w:p w14:paraId="2FD85098" w14:textId="4D32F5C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1680" w:type="dxa"/>
            <w:tcBorders>
              <w:top w:val="nil"/>
              <w:left w:val="nil"/>
              <w:bottom w:val="single" w:sz="4" w:space="0" w:color="auto"/>
              <w:right w:val="single" w:sz="4" w:space="0" w:color="auto"/>
            </w:tcBorders>
            <w:shd w:val="clear" w:color="auto" w:fill="C6EFCE"/>
            <w:noWrap/>
            <w:vAlign w:val="center"/>
          </w:tcPr>
          <w:p w14:paraId="1898A10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26639C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Verejná doprava – vykonávanie novej trhovej regulácie záväzkov vyplývajúcich zo služieb vo verejnom záujme (autobusy)</w:t>
            </w:r>
          </w:p>
        </w:tc>
      </w:tr>
      <w:tr w:rsidR="00302FC1" w:rsidRPr="00AB26B3" w14:paraId="1AC630FC"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7D0E5D7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57</w:t>
            </w:r>
          </w:p>
        </w:tc>
        <w:tc>
          <w:tcPr>
            <w:tcW w:w="5581" w:type="dxa"/>
            <w:tcBorders>
              <w:top w:val="nil"/>
              <w:left w:val="nil"/>
              <w:bottom w:val="single" w:sz="4" w:space="0" w:color="auto"/>
              <w:right w:val="single" w:sz="4" w:space="0" w:color="auto"/>
            </w:tcBorders>
            <w:shd w:val="clear" w:color="auto" w:fill="C6EFCE"/>
            <w:noWrap/>
            <w:vAlign w:val="center"/>
          </w:tcPr>
          <w:p w14:paraId="2B25DBFB" w14:textId="4F90FA3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16772_Právny predpis</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 na vykonávanie udržateľného skládkovania</w:t>
            </w:r>
            <w:r w:rsidR="00AB26B3" w:rsidRPr="00AB26B3">
              <w:rPr>
                <w:noProof/>
                <w:spacing w:val="-6"/>
                <w:lang w:val="sk-SK"/>
              </w:rPr>
              <w:t xml:space="preserve"> a </w:t>
            </w:r>
            <w:r w:rsidRPr="00AB26B3">
              <w:rPr>
                <w:noProof/>
                <w:spacing w:val="-6"/>
                <w:lang w:val="sk-SK"/>
              </w:rPr>
              <w:t>recyklácie</w:t>
            </w:r>
          </w:p>
        </w:tc>
        <w:tc>
          <w:tcPr>
            <w:tcW w:w="1680" w:type="dxa"/>
            <w:tcBorders>
              <w:top w:val="nil"/>
              <w:left w:val="nil"/>
              <w:bottom w:val="single" w:sz="4" w:space="0" w:color="auto"/>
              <w:right w:val="single" w:sz="4" w:space="0" w:color="auto"/>
            </w:tcBorders>
            <w:shd w:val="clear" w:color="auto" w:fill="C6EFCE"/>
            <w:noWrap/>
            <w:vAlign w:val="center"/>
          </w:tcPr>
          <w:p w14:paraId="6674F5F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00DC187" w14:textId="5DD28810"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regulačnom orgáne pre nakladanie</w:t>
            </w:r>
            <w:r w:rsidR="00AB26B3" w:rsidRPr="00AB26B3">
              <w:rPr>
                <w:noProof/>
                <w:spacing w:val="-6"/>
                <w:lang w:val="sk-SK"/>
              </w:rPr>
              <w:t xml:space="preserve"> s </w:t>
            </w:r>
            <w:r w:rsidRPr="00AB26B3">
              <w:rPr>
                <w:noProof/>
                <w:spacing w:val="-6"/>
                <w:lang w:val="sk-SK"/>
              </w:rPr>
              <w:t>odpadom</w:t>
            </w:r>
          </w:p>
        </w:tc>
      </w:tr>
      <w:tr w:rsidR="00302FC1" w:rsidRPr="00AB26B3" w14:paraId="184AF85B"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4051FE5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85</w:t>
            </w:r>
          </w:p>
        </w:tc>
        <w:tc>
          <w:tcPr>
            <w:tcW w:w="5581" w:type="dxa"/>
            <w:tcBorders>
              <w:top w:val="nil"/>
              <w:left w:val="nil"/>
              <w:bottom w:val="single" w:sz="4" w:space="0" w:color="auto"/>
              <w:right w:val="single" w:sz="4" w:space="0" w:color="auto"/>
            </w:tcBorders>
            <w:shd w:val="clear" w:color="auto" w:fill="C6EFCE"/>
            <w:noWrap/>
            <w:vAlign w:val="center"/>
          </w:tcPr>
          <w:p w14:paraId="24969AA2" w14:textId="554B681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 – 2.1. Connect – 16818_Infraštruktúra optických vlákien</w:t>
            </w:r>
            <w:r w:rsidR="00AB26B3" w:rsidRPr="00AB26B3">
              <w:rPr>
                <w:noProof/>
                <w:spacing w:val="-6"/>
                <w:lang w:val="sk-SK"/>
              </w:rPr>
              <w:t xml:space="preserve"> v </w:t>
            </w:r>
            <w:r w:rsidRPr="00AB26B3">
              <w:rPr>
                <w:noProof/>
                <w:spacing w:val="-6"/>
                <w:lang w:val="sk-SK"/>
              </w:rPr>
              <w:t>budovách</w:t>
            </w:r>
          </w:p>
        </w:tc>
        <w:tc>
          <w:tcPr>
            <w:tcW w:w="1680" w:type="dxa"/>
            <w:tcBorders>
              <w:top w:val="nil"/>
              <w:left w:val="nil"/>
              <w:bottom w:val="single" w:sz="4" w:space="0" w:color="auto"/>
              <w:right w:val="single" w:sz="4" w:space="0" w:color="auto"/>
            </w:tcBorders>
            <w:shd w:val="clear" w:color="auto" w:fill="C6EFCE"/>
            <w:noWrap/>
            <w:vAlign w:val="center"/>
          </w:tcPr>
          <w:p w14:paraId="40B7029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7EADDC7" w14:textId="24FA55EE"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(zákaziek) na projekt „Infraštruktúra optických vlákien</w:t>
            </w:r>
            <w:r w:rsidR="00AB26B3" w:rsidRPr="00AB26B3">
              <w:rPr>
                <w:noProof/>
                <w:spacing w:val="-6"/>
                <w:lang w:val="sk-SK"/>
              </w:rPr>
              <w:t xml:space="preserve"> v </w:t>
            </w:r>
            <w:r w:rsidRPr="00AB26B3">
              <w:rPr>
                <w:noProof/>
                <w:spacing w:val="-6"/>
                <w:lang w:val="sk-SK"/>
              </w:rPr>
              <w:t>budovách“</w:t>
            </w:r>
          </w:p>
        </w:tc>
      </w:tr>
      <w:tr w:rsidR="00302FC1" w:rsidRPr="00AB26B3" w14:paraId="4F0F1A75"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0F26857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96</w:t>
            </w:r>
          </w:p>
        </w:tc>
        <w:tc>
          <w:tcPr>
            <w:tcW w:w="5581" w:type="dxa"/>
            <w:tcBorders>
              <w:top w:val="nil"/>
              <w:left w:val="nil"/>
              <w:bottom w:val="single" w:sz="4" w:space="0" w:color="auto"/>
              <w:right w:val="single" w:sz="4" w:space="0" w:color="auto"/>
            </w:tcBorders>
            <w:shd w:val="clear" w:color="auto" w:fill="C6EFCE"/>
            <w:noWrap/>
            <w:vAlign w:val="center"/>
          </w:tcPr>
          <w:p w14:paraId="53DAE7DE" w14:textId="5D50B94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16929_Smerom</w:t>
            </w:r>
            <w:r w:rsidR="00AB26B3" w:rsidRPr="00AB26B3">
              <w:rPr>
                <w:noProof/>
                <w:spacing w:val="-6"/>
                <w:lang w:val="sk-SK"/>
              </w:rPr>
              <w:t xml:space="preserve"> k </w:t>
            </w:r>
            <w:r w:rsidRPr="00AB26B3">
              <w:rPr>
                <w:noProof/>
                <w:spacing w:val="-6"/>
                <w:lang w:val="sk-SK"/>
              </w:rPr>
              <w:t>službám verejnej správy orientovaným na „zákazníkov“ prostredníctvom zjednodušenia</w:t>
            </w:r>
            <w:r w:rsidR="00AB26B3" w:rsidRPr="00AB26B3">
              <w:rPr>
                <w:noProof/>
                <w:spacing w:val="-6"/>
                <w:lang w:val="sk-SK"/>
              </w:rPr>
              <w:t xml:space="preserve"> a </w:t>
            </w:r>
            <w:r w:rsidRPr="00AB26B3">
              <w:rPr>
                <w:noProof/>
                <w:spacing w:val="-6"/>
                <w:lang w:val="sk-SK"/>
              </w:rPr>
              <w:t>zlepšenia procesov, zlepšenia systémov</w:t>
            </w:r>
            <w:r w:rsidR="00AB26B3" w:rsidRPr="00AB26B3">
              <w:rPr>
                <w:noProof/>
                <w:spacing w:val="-6"/>
                <w:lang w:val="sk-SK"/>
              </w:rPr>
              <w:t xml:space="preserve"> a </w:t>
            </w:r>
            <w:r w:rsidRPr="00AB26B3">
              <w:rPr>
                <w:noProof/>
                <w:spacing w:val="-6"/>
                <w:lang w:val="sk-SK"/>
              </w:rPr>
              <w:t>súladu</w:t>
            </w:r>
            <w:r w:rsidR="00AB26B3" w:rsidRPr="00AB26B3">
              <w:rPr>
                <w:noProof/>
                <w:spacing w:val="-6"/>
                <w:lang w:val="sk-SK"/>
              </w:rPr>
              <w:t xml:space="preserve"> s </w:t>
            </w:r>
            <w:r w:rsidRPr="00AB26B3">
              <w:rPr>
                <w:noProof/>
                <w:spacing w:val="-6"/>
                <w:lang w:val="sk-SK"/>
              </w:rPr>
              <w:t>európskymi stratégiami</w:t>
            </w:r>
            <w:r w:rsidR="00AB26B3" w:rsidRPr="00AB26B3">
              <w:rPr>
                <w:noProof/>
                <w:spacing w:val="-6"/>
                <w:lang w:val="sk-SK"/>
              </w:rPr>
              <w:t xml:space="preserve"> a </w:t>
            </w:r>
            <w:r w:rsidRPr="00AB26B3">
              <w:rPr>
                <w:noProof/>
                <w:spacing w:val="-6"/>
                <w:lang w:val="sk-SK"/>
              </w:rPr>
              <w:t>politikami</w:t>
            </w:r>
          </w:p>
        </w:tc>
        <w:tc>
          <w:tcPr>
            <w:tcW w:w="1680" w:type="dxa"/>
            <w:tcBorders>
              <w:top w:val="nil"/>
              <w:left w:val="nil"/>
              <w:bottom w:val="single" w:sz="4" w:space="0" w:color="auto"/>
              <w:right w:val="single" w:sz="4" w:space="0" w:color="auto"/>
            </w:tcBorders>
            <w:shd w:val="clear" w:color="auto" w:fill="C6EFCE"/>
            <w:noWrap/>
            <w:vAlign w:val="center"/>
          </w:tcPr>
          <w:p w14:paraId="0FFE0DF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06B4A53" w14:textId="301DD68A"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Zriadenie národného registra postupov</w:t>
            </w:r>
            <w:r w:rsidR="00AB26B3" w:rsidRPr="00AB26B3">
              <w:rPr>
                <w:noProof/>
                <w:spacing w:val="-6"/>
                <w:lang w:val="sk-SK"/>
              </w:rPr>
              <w:t xml:space="preserve"> a </w:t>
            </w:r>
            <w:r w:rsidRPr="00AB26B3">
              <w:rPr>
                <w:noProof/>
                <w:spacing w:val="-6"/>
                <w:lang w:val="sk-SK"/>
              </w:rPr>
              <w:t>vykonávanie národného plánu na zjednodušenie procesu (prvá fáza)</w:t>
            </w:r>
          </w:p>
        </w:tc>
      </w:tr>
      <w:tr w:rsidR="00302FC1" w:rsidRPr="00AB26B3" w14:paraId="69E10F0B"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1176DF3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142</w:t>
            </w:r>
          </w:p>
        </w:tc>
        <w:tc>
          <w:tcPr>
            <w:tcW w:w="5581" w:type="dxa"/>
            <w:tcBorders>
              <w:top w:val="nil"/>
              <w:left w:val="nil"/>
              <w:bottom w:val="single" w:sz="4" w:space="0" w:color="auto"/>
              <w:right w:val="single" w:sz="4" w:space="0" w:color="auto"/>
            </w:tcBorders>
            <w:shd w:val="clear" w:color="auto" w:fill="C6EFCE"/>
            <w:noWrap/>
            <w:vAlign w:val="center"/>
          </w:tcPr>
          <w:p w14:paraId="185DD2E4" w14:textId="66684F10"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16746_Reforma pasívnych politík trhu práce na podporu prechodu do zamestnania</w:t>
            </w:r>
          </w:p>
        </w:tc>
        <w:tc>
          <w:tcPr>
            <w:tcW w:w="1680" w:type="dxa"/>
            <w:tcBorders>
              <w:top w:val="nil"/>
              <w:left w:val="nil"/>
              <w:bottom w:val="single" w:sz="4" w:space="0" w:color="auto"/>
              <w:right w:val="single" w:sz="4" w:space="0" w:color="auto"/>
            </w:tcBorders>
            <w:shd w:val="clear" w:color="auto" w:fill="C6EFCE"/>
            <w:noWrap/>
            <w:vAlign w:val="center"/>
          </w:tcPr>
          <w:p w14:paraId="6270381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06258EB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Reforma rámca vzájomných záväzkov nadobudnutie účinnosti právnych predpisov </w:t>
            </w:r>
          </w:p>
        </w:tc>
      </w:tr>
      <w:tr w:rsidR="00302FC1" w:rsidRPr="00AB26B3" w14:paraId="690BE85C"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7A0B0FE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191</w:t>
            </w:r>
          </w:p>
        </w:tc>
        <w:tc>
          <w:tcPr>
            <w:tcW w:w="5581" w:type="dxa"/>
            <w:tcBorders>
              <w:top w:val="nil"/>
              <w:left w:val="nil"/>
              <w:bottom w:val="single" w:sz="4" w:space="0" w:color="auto"/>
              <w:right w:val="single" w:sz="4" w:space="0" w:color="auto"/>
            </w:tcBorders>
            <w:shd w:val="clear" w:color="auto" w:fill="C6EFCE"/>
            <w:noWrap/>
            <w:vAlign w:val="center"/>
          </w:tcPr>
          <w:p w14:paraId="156E1B3D" w14:textId="4A3FDA7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16656_Nový rámec pre boj proti pašovaniu, najmä</w:t>
            </w:r>
            <w:r w:rsidR="00AB26B3" w:rsidRPr="00AB26B3">
              <w:rPr>
                <w:noProof/>
                <w:spacing w:val="-6"/>
                <w:lang w:val="sk-SK"/>
              </w:rPr>
              <w:t xml:space="preserve"> v </w:t>
            </w:r>
            <w:r w:rsidRPr="00AB26B3">
              <w:rPr>
                <w:noProof/>
                <w:spacing w:val="-6"/>
                <w:lang w:val="sk-SK"/>
              </w:rPr>
              <w:t>prípade výrobkov podliehajúcich spotrebným daniam (tabak, alkohol</w:t>
            </w:r>
            <w:r w:rsidR="00AB26B3" w:rsidRPr="00AB26B3">
              <w:rPr>
                <w:noProof/>
                <w:spacing w:val="-6"/>
                <w:lang w:val="sk-SK"/>
              </w:rPr>
              <w:t xml:space="preserve"> a </w:t>
            </w:r>
            <w:r w:rsidRPr="00AB26B3">
              <w:rPr>
                <w:noProof/>
                <w:spacing w:val="-6"/>
                <w:lang w:val="sk-SK"/>
              </w:rPr>
              <w:t>energia)</w:t>
            </w:r>
          </w:p>
        </w:tc>
        <w:tc>
          <w:tcPr>
            <w:tcW w:w="1680" w:type="dxa"/>
            <w:tcBorders>
              <w:top w:val="nil"/>
              <w:left w:val="nil"/>
              <w:bottom w:val="single" w:sz="4" w:space="0" w:color="auto"/>
              <w:right w:val="single" w:sz="4" w:space="0" w:color="auto"/>
            </w:tcBorders>
            <w:shd w:val="clear" w:color="auto" w:fill="C6EFCE"/>
            <w:noWrap/>
            <w:vAlign w:val="center"/>
          </w:tcPr>
          <w:p w14:paraId="3C17B2A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42C783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Boj proti prevádzačstvu – prijatie regulačných rozhodnutí</w:t>
            </w:r>
          </w:p>
        </w:tc>
      </w:tr>
      <w:tr w:rsidR="00302FC1" w:rsidRPr="00AB26B3" w14:paraId="713A10D7"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08DDF54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206</w:t>
            </w:r>
          </w:p>
        </w:tc>
        <w:tc>
          <w:tcPr>
            <w:tcW w:w="5581" w:type="dxa"/>
            <w:tcBorders>
              <w:top w:val="nil"/>
              <w:left w:val="nil"/>
              <w:bottom w:val="single" w:sz="4" w:space="0" w:color="auto"/>
              <w:right w:val="single" w:sz="4" w:space="0" w:color="auto"/>
            </w:tcBorders>
            <w:shd w:val="clear" w:color="auto" w:fill="C6EFCE"/>
            <w:noWrap/>
            <w:vAlign w:val="center"/>
          </w:tcPr>
          <w:p w14:paraId="461869AF" w14:textId="40B23EE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16972_Reforma verejnej správy</w:t>
            </w:r>
          </w:p>
        </w:tc>
        <w:tc>
          <w:tcPr>
            <w:tcW w:w="1680" w:type="dxa"/>
            <w:tcBorders>
              <w:top w:val="nil"/>
              <w:left w:val="nil"/>
              <w:bottom w:val="single" w:sz="4" w:space="0" w:color="auto"/>
              <w:right w:val="single" w:sz="4" w:space="0" w:color="auto"/>
            </w:tcBorders>
            <w:shd w:val="clear" w:color="auto" w:fill="C6EFCE"/>
            <w:noWrap/>
            <w:vAlign w:val="center"/>
          </w:tcPr>
          <w:p w14:paraId="319B28D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87A271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Verejná správa – legislatívny rámec na objasnenie mandátov</w:t>
            </w:r>
          </w:p>
        </w:tc>
      </w:tr>
      <w:tr w:rsidR="00302FC1" w:rsidRPr="00AB26B3" w14:paraId="0458041A"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5BA4FB7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209</w:t>
            </w:r>
          </w:p>
        </w:tc>
        <w:tc>
          <w:tcPr>
            <w:tcW w:w="5581" w:type="dxa"/>
            <w:tcBorders>
              <w:top w:val="nil"/>
              <w:left w:val="nil"/>
              <w:bottom w:val="single" w:sz="4" w:space="0" w:color="auto"/>
              <w:right w:val="single" w:sz="4" w:space="0" w:color="auto"/>
            </w:tcBorders>
            <w:shd w:val="clear" w:color="auto" w:fill="C6EFCE"/>
            <w:noWrap/>
            <w:vAlign w:val="center"/>
          </w:tcPr>
          <w:p w14:paraId="6351067C" w14:textId="6C1E26B5"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16978_Účinný boj proti korupcii</w:t>
            </w:r>
          </w:p>
        </w:tc>
        <w:tc>
          <w:tcPr>
            <w:tcW w:w="1680" w:type="dxa"/>
            <w:tcBorders>
              <w:top w:val="nil"/>
              <w:left w:val="nil"/>
              <w:bottom w:val="single" w:sz="4" w:space="0" w:color="auto"/>
              <w:right w:val="single" w:sz="4" w:space="0" w:color="auto"/>
            </w:tcBorders>
            <w:shd w:val="clear" w:color="auto" w:fill="C6EFCE"/>
            <w:noWrap/>
            <w:vAlign w:val="center"/>
          </w:tcPr>
          <w:p w14:paraId="3672AA9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68078A78" w14:textId="69332E8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Majetkové priznania</w:t>
            </w:r>
            <w:r w:rsidR="00AB26B3" w:rsidRPr="00AB26B3">
              <w:rPr>
                <w:noProof/>
                <w:spacing w:val="-6"/>
                <w:lang w:val="sk-SK"/>
              </w:rPr>
              <w:t xml:space="preserve"> a </w:t>
            </w:r>
            <w:r w:rsidRPr="00AB26B3">
              <w:rPr>
                <w:noProof/>
                <w:spacing w:val="-6"/>
                <w:lang w:val="sk-SK"/>
              </w:rPr>
              <w:t>politické strany</w:t>
            </w:r>
          </w:p>
        </w:tc>
      </w:tr>
      <w:tr w:rsidR="00302FC1" w:rsidRPr="00AB26B3" w14:paraId="2475B5F5"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3FA1F92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210</w:t>
            </w:r>
          </w:p>
        </w:tc>
        <w:tc>
          <w:tcPr>
            <w:tcW w:w="5581" w:type="dxa"/>
            <w:tcBorders>
              <w:top w:val="nil"/>
              <w:left w:val="nil"/>
              <w:bottom w:val="single" w:sz="4" w:space="0" w:color="auto"/>
              <w:right w:val="single" w:sz="4" w:space="0" w:color="auto"/>
            </w:tcBorders>
            <w:shd w:val="clear" w:color="auto" w:fill="C6EFCE"/>
            <w:noWrap/>
            <w:vAlign w:val="center"/>
          </w:tcPr>
          <w:p w14:paraId="43DFAD8C" w14:textId="17AA396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16952_Posilnenie národného protikorupčného rámca prostredníctvom cielených intervencií</w:t>
            </w:r>
            <w:r w:rsidR="00AB26B3" w:rsidRPr="00AB26B3">
              <w:rPr>
                <w:noProof/>
                <w:spacing w:val="-6"/>
                <w:lang w:val="sk-SK"/>
              </w:rPr>
              <w:t xml:space="preserve"> v </w:t>
            </w:r>
            <w:r w:rsidRPr="00AB26B3">
              <w:rPr>
                <w:noProof/>
                <w:spacing w:val="-6"/>
                <w:lang w:val="sk-SK"/>
              </w:rPr>
              <w:t>oblasti odhaľovania, prevencie</w:t>
            </w:r>
            <w:r w:rsidR="00AB26B3" w:rsidRPr="00AB26B3">
              <w:rPr>
                <w:noProof/>
                <w:spacing w:val="-6"/>
                <w:lang w:val="sk-SK"/>
              </w:rPr>
              <w:t xml:space="preserve"> a </w:t>
            </w:r>
            <w:r w:rsidRPr="00AB26B3">
              <w:rPr>
                <w:noProof/>
                <w:spacing w:val="-6"/>
                <w:lang w:val="sk-SK"/>
              </w:rPr>
              <w:t>zvyšovania informovanosti</w:t>
            </w:r>
          </w:p>
        </w:tc>
        <w:tc>
          <w:tcPr>
            <w:tcW w:w="1680" w:type="dxa"/>
            <w:tcBorders>
              <w:top w:val="nil"/>
              <w:left w:val="nil"/>
              <w:bottom w:val="single" w:sz="4" w:space="0" w:color="auto"/>
              <w:right w:val="single" w:sz="4" w:space="0" w:color="auto"/>
            </w:tcBorders>
            <w:shd w:val="clear" w:color="auto" w:fill="C6EFCE"/>
            <w:noWrap/>
            <w:vAlign w:val="center"/>
          </w:tcPr>
          <w:p w14:paraId="7711BB0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E4126A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Národný protikorupčný akčný plán</w:t>
            </w:r>
          </w:p>
        </w:tc>
      </w:tr>
      <w:tr w:rsidR="00302FC1" w:rsidRPr="00AB26B3" w14:paraId="4F04BDC5"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52D23C4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223</w:t>
            </w:r>
          </w:p>
        </w:tc>
        <w:tc>
          <w:tcPr>
            <w:tcW w:w="5581" w:type="dxa"/>
            <w:tcBorders>
              <w:top w:val="nil"/>
              <w:left w:val="nil"/>
              <w:bottom w:val="single" w:sz="4" w:space="0" w:color="auto"/>
              <w:right w:val="single" w:sz="4" w:space="0" w:color="auto"/>
            </w:tcBorders>
            <w:shd w:val="clear" w:color="auto" w:fill="C6EFCE"/>
            <w:noWrap/>
            <w:vAlign w:val="center"/>
          </w:tcPr>
          <w:p w14:paraId="665EC26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16575 Urýchlenie výkonu spravodlivosti</w:t>
            </w:r>
          </w:p>
        </w:tc>
        <w:tc>
          <w:tcPr>
            <w:tcW w:w="1680" w:type="dxa"/>
            <w:tcBorders>
              <w:top w:val="nil"/>
              <w:left w:val="nil"/>
              <w:bottom w:val="single" w:sz="4" w:space="0" w:color="auto"/>
              <w:right w:val="single" w:sz="4" w:space="0" w:color="auto"/>
            </w:tcBorders>
            <w:shd w:val="clear" w:color="auto" w:fill="C6EFCE"/>
            <w:noWrap/>
            <w:vAlign w:val="center"/>
          </w:tcPr>
          <w:p w14:paraId="5C5426F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3675A6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Technická podpora – nástroj justičnej výkonnosti</w:t>
            </w:r>
          </w:p>
        </w:tc>
      </w:tr>
      <w:tr w:rsidR="00302FC1" w:rsidRPr="00AB26B3" w14:paraId="266A823A"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03F114E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225</w:t>
            </w:r>
          </w:p>
        </w:tc>
        <w:tc>
          <w:tcPr>
            <w:tcW w:w="5581" w:type="dxa"/>
            <w:tcBorders>
              <w:top w:val="nil"/>
              <w:left w:val="nil"/>
              <w:bottom w:val="single" w:sz="4" w:space="0" w:color="auto"/>
              <w:right w:val="single" w:sz="4" w:space="0" w:color="auto"/>
            </w:tcBorders>
            <w:shd w:val="clear" w:color="auto" w:fill="C6EFCE"/>
            <w:noWrap/>
            <w:vAlign w:val="center"/>
          </w:tcPr>
          <w:p w14:paraId="52BC59D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16575 Urýchlenie výkonu spravodlivosti</w:t>
            </w:r>
          </w:p>
        </w:tc>
        <w:tc>
          <w:tcPr>
            <w:tcW w:w="1680" w:type="dxa"/>
            <w:tcBorders>
              <w:top w:val="nil"/>
              <w:left w:val="nil"/>
              <w:bottom w:val="single" w:sz="4" w:space="0" w:color="auto"/>
              <w:right w:val="single" w:sz="4" w:space="0" w:color="auto"/>
            </w:tcBorders>
            <w:shd w:val="clear" w:color="auto" w:fill="C6EFCE"/>
            <w:noWrap/>
            <w:vAlign w:val="center"/>
          </w:tcPr>
          <w:p w14:paraId="1ED0024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CF3F77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Justičná polícia – sekundárne právne predpisy </w:t>
            </w:r>
          </w:p>
        </w:tc>
      </w:tr>
      <w:tr w:rsidR="00302FC1" w:rsidRPr="00AB26B3" w14:paraId="6EAA72B8"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5F12C2A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278</w:t>
            </w:r>
          </w:p>
        </w:tc>
        <w:tc>
          <w:tcPr>
            <w:tcW w:w="5581" w:type="dxa"/>
            <w:tcBorders>
              <w:top w:val="nil"/>
              <w:left w:val="nil"/>
              <w:bottom w:val="single" w:sz="4" w:space="0" w:color="auto"/>
              <w:right w:val="single" w:sz="4" w:space="0" w:color="auto"/>
            </w:tcBorders>
            <w:shd w:val="clear" w:color="auto" w:fill="C6EFCE"/>
            <w:noWrap/>
            <w:vAlign w:val="center"/>
          </w:tcPr>
          <w:p w14:paraId="6DC2B432" w14:textId="5BDE173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16715_Reforma práce</w:t>
            </w:r>
            <w:r w:rsidR="00AB26B3" w:rsidRPr="00AB26B3">
              <w:rPr>
                <w:noProof/>
                <w:spacing w:val="-6"/>
                <w:lang w:val="sk-SK"/>
              </w:rPr>
              <w:t xml:space="preserve"> v </w:t>
            </w:r>
            <w:r w:rsidRPr="00AB26B3">
              <w:rPr>
                <w:noProof/>
                <w:spacing w:val="-6"/>
                <w:lang w:val="sk-SK"/>
              </w:rPr>
              <w:t>kultúrnom sektore</w:t>
            </w:r>
          </w:p>
        </w:tc>
        <w:tc>
          <w:tcPr>
            <w:tcW w:w="1680" w:type="dxa"/>
            <w:tcBorders>
              <w:top w:val="nil"/>
              <w:left w:val="nil"/>
              <w:bottom w:val="single" w:sz="4" w:space="0" w:color="auto"/>
              <w:right w:val="single" w:sz="4" w:space="0" w:color="auto"/>
            </w:tcBorders>
            <w:shd w:val="clear" w:color="auto" w:fill="C6EFCE"/>
            <w:noWrap/>
            <w:vAlign w:val="center"/>
          </w:tcPr>
          <w:p w14:paraId="6187C41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07AB625" w14:textId="76F32190"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Právne predpisy pre reformu práce</w:t>
            </w:r>
            <w:r w:rsidR="00AB26B3" w:rsidRPr="00AB26B3">
              <w:rPr>
                <w:noProof/>
                <w:spacing w:val="-6"/>
                <w:lang w:val="sk-SK"/>
              </w:rPr>
              <w:t xml:space="preserve"> v </w:t>
            </w:r>
            <w:r w:rsidRPr="00AB26B3">
              <w:rPr>
                <w:noProof/>
                <w:spacing w:val="-6"/>
                <w:lang w:val="sk-SK"/>
              </w:rPr>
              <w:t>kultúrnom sektore</w:t>
            </w:r>
          </w:p>
        </w:tc>
      </w:tr>
      <w:tr w:rsidR="00302FC1" w:rsidRPr="00AB26B3" w14:paraId="0F94EC9E"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1BFFEF6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302</w:t>
            </w:r>
          </w:p>
        </w:tc>
        <w:tc>
          <w:tcPr>
            <w:tcW w:w="5581" w:type="dxa"/>
            <w:tcBorders>
              <w:top w:val="nil"/>
              <w:left w:val="nil"/>
              <w:bottom w:val="single" w:sz="4" w:space="0" w:color="auto"/>
              <w:right w:val="single" w:sz="4" w:space="0" w:color="auto"/>
            </w:tcBorders>
            <w:shd w:val="clear" w:color="auto" w:fill="C6EFCE"/>
            <w:noWrap/>
            <w:vAlign w:val="center"/>
          </w:tcPr>
          <w:p w14:paraId="44905EA5" w14:textId="7F17CA9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16634_Nové priemyselné parky</w:t>
            </w:r>
          </w:p>
        </w:tc>
        <w:tc>
          <w:tcPr>
            <w:tcW w:w="1680" w:type="dxa"/>
            <w:tcBorders>
              <w:top w:val="nil"/>
              <w:left w:val="nil"/>
              <w:bottom w:val="single" w:sz="4" w:space="0" w:color="auto"/>
              <w:right w:val="single" w:sz="4" w:space="0" w:color="auto"/>
            </w:tcBorders>
            <w:shd w:val="clear" w:color="auto" w:fill="C6EFCE"/>
            <w:noWrap/>
            <w:vAlign w:val="center"/>
          </w:tcPr>
          <w:p w14:paraId="718BAF1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16C7F1D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Priemyselné parky – legislatívna reforma (primárne právo)</w:t>
            </w:r>
          </w:p>
        </w:tc>
      </w:tr>
      <w:tr w:rsidR="00302FC1" w:rsidRPr="00AB26B3" w14:paraId="0F5FCDB8"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5F462F6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311</w:t>
            </w:r>
          </w:p>
        </w:tc>
        <w:tc>
          <w:tcPr>
            <w:tcW w:w="5581" w:type="dxa"/>
            <w:tcBorders>
              <w:top w:val="nil"/>
              <w:left w:val="nil"/>
              <w:bottom w:val="single" w:sz="4" w:space="0" w:color="auto"/>
              <w:right w:val="single" w:sz="4" w:space="0" w:color="auto"/>
            </w:tcBorders>
            <w:shd w:val="clear" w:color="auto" w:fill="C6EFCE"/>
            <w:noWrap/>
            <w:vAlign w:val="center"/>
          </w:tcPr>
          <w:p w14:paraId="22948F1B" w14:textId="4DE1C8C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17 – 4.6. Modernizácia</w:t>
            </w:r>
            <w:r w:rsidR="00AB26B3" w:rsidRPr="00AB26B3">
              <w:rPr>
                <w:noProof/>
                <w:spacing w:val="-6"/>
                <w:lang w:val="sk-SK"/>
              </w:rPr>
              <w:t xml:space="preserve"> a </w:t>
            </w:r>
            <w:r w:rsidRPr="00AB26B3">
              <w:rPr>
                <w:noProof/>
                <w:spacing w:val="-6"/>
                <w:lang w:val="sk-SK"/>
              </w:rPr>
              <w:t xml:space="preserve">zlepšenie odolnosti kľúčových hospodárskych odvetví – 16653_Digitálna transformácia agropotravinárskeho sektora </w:t>
            </w:r>
          </w:p>
        </w:tc>
        <w:tc>
          <w:tcPr>
            <w:tcW w:w="1680" w:type="dxa"/>
            <w:tcBorders>
              <w:top w:val="nil"/>
              <w:left w:val="nil"/>
              <w:bottom w:val="single" w:sz="4" w:space="0" w:color="auto"/>
              <w:right w:val="single" w:sz="4" w:space="0" w:color="auto"/>
            </w:tcBorders>
            <w:shd w:val="clear" w:color="auto" w:fill="C6EFCE"/>
            <w:noWrap/>
            <w:vAlign w:val="center"/>
          </w:tcPr>
          <w:p w14:paraId="3842C3BE" w14:textId="0DB2132E"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45C2E0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Vyhlásenie výzvy na digitálnu transformáciu agropotravinárskeho sektora </w:t>
            </w:r>
          </w:p>
        </w:tc>
      </w:tr>
      <w:tr w:rsidR="00302FC1" w:rsidRPr="00AB26B3" w14:paraId="40736637"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6963BE6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22</w:t>
            </w:r>
          </w:p>
        </w:tc>
        <w:tc>
          <w:tcPr>
            <w:tcW w:w="5581" w:type="dxa"/>
            <w:tcBorders>
              <w:top w:val="nil"/>
              <w:left w:val="nil"/>
              <w:bottom w:val="single" w:sz="4" w:space="0" w:color="auto"/>
              <w:right w:val="single" w:sz="4" w:space="0" w:color="auto"/>
            </w:tcBorders>
            <w:shd w:val="clear" w:color="auto" w:fill="C6EFCE"/>
            <w:noWrap/>
            <w:vAlign w:val="center"/>
          </w:tcPr>
          <w:p w14:paraId="328D000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16872_Energetická obnova obytných budov</w:t>
            </w:r>
          </w:p>
        </w:tc>
        <w:tc>
          <w:tcPr>
            <w:tcW w:w="1680" w:type="dxa"/>
            <w:tcBorders>
              <w:top w:val="nil"/>
              <w:left w:val="nil"/>
              <w:bottom w:val="single" w:sz="4" w:space="0" w:color="auto"/>
              <w:right w:val="single" w:sz="4" w:space="0" w:color="auto"/>
            </w:tcBorders>
            <w:shd w:val="clear" w:color="auto" w:fill="C6EFCE"/>
            <w:noWrap/>
            <w:vAlign w:val="center"/>
          </w:tcPr>
          <w:p w14:paraId="6646579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39A45C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Renovácia obytných budov – spustenie 3. kola vrátane energeticky chudobných domácností</w:t>
            </w:r>
          </w:p>
        </w:tc>
      </w:tr>
      <w:tr w:rsidR="00302FC1" w:rsidRPr="00AB26B3" w14:paraId="2723DA03"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2625290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27</w:t>
            </w:r>
          </w:p>
        </w:tc>
        <w:tc>
          <w:tcPr>
            <w:tcW w:w="5581" w:type="dxa"/>
            <w:tcBorders>
              <w:top w:val="nil"/>
              <w:left w:val="nil"/>
              <w:bottom w:val="single" w:sz="4" w:space="0" w:color="auto"/>
              <w:right w:val="single" w:sz="4" w:space="0" w:color="auto"/>
            </w:tcBorders>
            <w:shd w:val="clear" w:color="auto" w:fill="C6EFCE"/>
            <w:noWrap/>
            <w:vAlign w:val="center"/>
          </w:tcPr>
          <w:p w14:paraId="7AA4556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Renovate – 16879_Príprava mestských plánov pri vykonávaní reformy mestskej politiky</w:t>
            </w:r>
          </w:p>
        </w:tc>
        <w:tc>
          <w:tcPr>
            <w:tcW w:w="1680" w:type="dxa"/>
            <w:tcBorders>
              <w:top w:val="nil"/>
              <w:left w:val="nil"/>
              <w:bottom w:val="single" w:sz="4" w:space="0" w:color="auto"/>
              <w:right w:val="single" w:sz="4" w:space="0" w:color="auto"/>
            </w:tcBorders>
            <w:shd w:val="clear" w:color="auto" w:fill="C6EFCE"/>
            <w:noWrap/>
            <w:vAlign w:val="center"/>
          </w:tcPr>
          <w:p w14:paraId="0D6D120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C5A816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Ocenenie za mestské plány</w:t>
            </w:r>
          </w:p>
        </w:tc>
      </w:tr>
      <w:tr w:rsidR="00302FC1" w:rsidRPr="00AB26B3" w14:paraId="2227D4A9"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256F6D6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43</w:t>
            </w:r>
          </w:p>
        </w:tc>
        <w:tc>
          <w:tcPr>
            <w:tcW w:w="5581" w:type="dxa"/>
            <w:tcBorders>
              <w:top w:val="nil"/>
              <w:left w:val="nil"/>
              <w:bottom w:val="single" w:sz="4" w:space="0" w:color="auto"/>
              <w:right w:val="single" w:sz="4" w:space="0" w:color="auto"/>
            </w:tcBorders>
            <w:shd w:val="clear" w:color="auto" w:fill="C6EFCE"/>
            <w:noWrap/>
            <w:vAlign w:val="center"/>
          </w:tcPr>
          <w:p w14:paraId="3EC4A065" w14:textId="603AC8D6"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Dobíjanie</w:t>
            </w:r>
            <w:r w:rsidR="00AB26B3" w:rsidRPr="00AB26B3">
              <w:rPr>
                <w:noProof/>
                <w:spacing w:val="-6"/>
                <w:lang w:val="sk-SK"/>
              </w:rPr>
              <w:t xml:space="preserve"> a </w:t>
            </w:r>
            <w:r w:rsidRPr="00AB26B3">
              <w:rPr>
                <w:noProof/>
                <w:spacing w:val="-6"/>
                <w:lang w:val="sk-SK"/>
              </w:rPr>
              <w:t>dopĺňanie paliva – 16281_Rámec pre inštaláciu</w:t>
            </w:r>
            <w:r w:rsidR="00AB26B3" w:rsidRPr="00AB26B3">
              <w:rPr>
                <w:noProof/>
                <w:spacing w:val="-6"/>
                <w:lang w:val="sk-SK"/>
              </w:rPr>
              <w:t xml:space="preserve"> a </w:t>
            </w:r>
            <w:r w:rsidRPr="00AB26B3">
              <w:rPr>
                <w:noProof/>
                <w:spacing w:val="-6"/>
                <w:lang w:val="sk-SK"/>
              </w:rPr>
              <w:t>prevádzku nabíjacej infraštruktúry pre elektrické vozidlá</w:t>
            </w:r>
          </w:p>
        </w:tc>
        <w:tc>
          <w:tcPr>
            <w:tcW w:w="1680" w:type="dxa"/>
            <w:tcBorders>
              <w:top w:val="nil"/>
              <w:left w:val="nil"/>
              <w:bottom w:val="single" w:sz="4" w:space="0" w:color="auto"/>
              <w:right w:val="single" w:sz="4" w:space="0" w:color="auto"/>
            </w:tcBorders>
            <w:shd w:val="clear" w:color="auto" w:fill="C6EFCE"/>
            <w:noWrap/>
            <w:vAlign w:val="center"/>
          </w:tcPr>
          <w:p w14:paraId="184A215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800" w:type="dxa"/>
            <w:tcBorders>
              <w:top w:val="nil"/>
              <w:left w:val="nil"/>
              <w:bottom w:val="single" w:sz="4" w:space="0" w:color="auto"/>
              <w:right w:val="single" w:sz="4" w:space="0" w:color="auto"/>
            </w:tcBorders>
            <w:shd w:val="clear" w:color="auto" w:fill="C6EFCE"/>
            <w:noWrap/>
            <w:vAlign w:val="center"/>
          </w:tcPr>
          <w:p w14:paraId="6EED56C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Nabíjacie stanice pre elektrické vozidlá – schválené miestne plány</w:t>
            </w:r>
          </w:p>
        </w:tc>
      </w:tr>
      <w:tr w:rsidR="00302FC1" w:rsidRPr="00AB26B3" w14:paraId="0D5E8F03"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6D16174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46</w:t>
            </w:r>
          </w:p>
        </w:tc>
        <w:tc>
          <w:tcPr>
            <w:tcW w:w="5581" w:type="dxa"/>
            <w:tcBorders>
              <w:top w:val="nil"/>
              <w:left w:val="nil"/>
              <w:bottom w:val="single" w:sz="4" w:space="0" w:color="auto"/>
              <w:right w:val="single" w:sz="4" w:space="0" w:color="auto"/>
            </w:tcBorders>
            <w:shd w:val="clear" w:color="auto" w:fill="C6EFCE"/>
            <w:noWrap/>
            <w:vAlign w:val="center"/>
          </w:tcPr>
          <w:p w14:paraId="03890938" w14:textId="531C962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 xml:space="preserve">dopĺňanie paliva – 16831_Produc- E Green </w:t>
            </w:r>
          </w:p>
        </w:tc>
        <w:tc>
          <w:tcPr>
            <w:tcW w:w="1680" w:type="dxa"/>
            <w:tcBorders>
              <w:top w:val="nil"/>
              <w:left w:val="nil"/>
              <w:bottom w:val="single" w:sz="4" w:space="0" w:color="auto"/>
              <w:right w:val="single" w:sz="4" w:space="0" w:color="auto"/>
            </w:tcBorders>
            <w:shd w:val="clear" w:color="auto" w:fill="C6EFCE"/>
            <w:noWrap/>
            <w:vAlign w:val="center"/>
          </w:tcPr>
          <w:p w14:paraId="3B3362D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D62AB9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Priemyselné jednotky – spustenie programu</w:t>
            </w:r>
          </w:p>
        </w:tc>
      </w:tr>
      <w:tr w:rsidR="00302FC1" w:rsidRPr="00AB26B3" w14:paraId="7CF80C85"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7FA12BE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w:t>
            </w:r>
          </w:p>
        </w:tc>
        <w:tc>
          <w:tcPr>
            <w:tcW w:w="5581" w:type="dxa"/>
            <w:tcBorders>
              <w:top w:val="nil"/>
              <w:left w:val="nil"/>
              <w:bottom w:val="single" w:sz="4" w:space="0" w:color="auto"/>
              <w:right w:val="single" w:sz="4" w:space="0" w:color="auto"/>
            </w:tcBorders>
            <w:shd w:val="clear" w:color="auto" w:fill="C6EFCE"/>
            <w:noWrap/>
            <w:vAlign w:val="center"/>
          </w:tcPr>
          <w:p w14:paraId="651EE1A9" w14:textId="158958F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1680" w:type="dxa"/>
            <w:tcBorders>
              <w:top w:val="nil"/>
              <w:left w:val="nil"/>
              <w:bottom w:val="single" w:sz="4" w:space="0" w:color="auto"/>
              <w:right w:val="single" w:sz="4" w:space="0" w:color="auto"/>
            </w:tcBorders>
            <w:shd w:val="clear" w:color="auto" w:fill="C6EFCE"/>
            <w:noWrap/>
            <w:vAlign w:val="center"/>
          </w:tcPr>
          <w:p w14:paraId="6CC4040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6DAA4F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 Nabíjacie stanice pre elektrické vozidlá – spustenie programov</w:t>
            </w:r>
          </w:p>
        </w:tc>
      </w:tr>
      <w:tr w:rsidR="00302FC1" w:rsidRPr="00AB26B3" w14:paraId="69C06C17"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5305344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48</w:t>
            </w:r>
          </w:p>
        </w:tc>
        <w:tc>
          <w:tcPr>
            <w:tcW w:w="5581" w:type="dxa"/>
            <w:tcBorders>
              <w:top w:val="nil"/>
              <w:left w:val="nil"/>
              <w:bottom w:val="single" w:sz="4" w:space="0" w:color="auto"/>
              <w:right w:val="single" w:sz="4" w:space="0" w:color="auto"/>
            </w:tcBorders>
            <w:shd w:val="clear" w:color="auto" w:fill="C6EFCE"/>
            <w:noWrap/>
            <w:vAlign w:val="center"/>
          </w:tcPr>
          <w:p w14:paraId="09B2E88D" w14:textId="055EBE9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1680" w:type="dxa"/>
            <w:tcBorders>
              <w:top w:val="nil"/>
              <w:left w:val="nil"/>
              <w:bottom w:val="single" w:sz="4" w:space="0" w:color="auto"/>
              <w:right w:val="single" w:sz="4" w:space="0" w:color="auto"/>
            </w:tcBorders>
            <w:shd w:val="clear" w:color="auto" w:fill="C6EFCE"/>
            <w:noWrap/>
            <w:vAlign w:val="center"/>
          </w:tcPr>
          <w:p w14:paraId="2F90268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8225FC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Udržateľná doprava – štúdia uskutočniteľnosti</w:t>
            </w:r>
          </w:p>
        </w:tc>
      </w:tr>
      <w:tr w:rsidR="00302FC1" w:rsidRPr="00AB26B3" w14:paraId="27234205"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15FFADA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58</w:t>
            </w:r>
          </w:p>
        </w:tc>
        <w:tc>
          <w:tcPr>
            <w:tcW w:w="5581" w:type="dxa"/>
            <w:tcBorders>
              <w:top w:val="nil"/>
              <w:left w:val="nil"/>
              <w:bottom w:val="single" w:sz="4" w:space="0" w:color="auto"/>
              <w:right w:val="single" w:sz="4" w:space="0" w:color="auto"/>
            </w:tcBorders>
            <w:shd w:val="clear" w:color="auto" w:fill="C6EFCE"/>
            <w:noWrap/>
            <w:vAlign w:val="center"/>
          </w:tcPr>
          <w:p w14:paraId="0CB5F72D" w14:textId="2249A3A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16979_Zriadenie nového regulačného orgánu pre vodu</w:t>
            </w:r>
            <w:r w:rsidR="00AB26B3" w:rsidRPr="00AB26B3">
              <w:rPr>
                <w:noProof/>
                <w:spacing w:val="-6"/>
                <w:lang w:val="sk-SK"/>
              </w:rPr>
              <w:t xml:space="preserve"> a </w:t>
            </w:r>
            <w:r w:rsidRPr="00AB26B3">
              <w:rPr>
                <w:noProof/>
                <w:spacing w:val="-6"/>
                <w:lang w:val="sk-SK"/>
              </w:rPr>
              <w:t>odpadové vody</w:t>
            </w:r>
          </w:p>
        </w:tc>
        <w:tc>
          <w:tcPr>
            <w:tcW w:w="1680" w:type="dxa"/>
            <w:tcBorders>
              <w:top w:val="nil"/>
              <w:left w:val="nil"/>
              <w:bottom w:val="single" w:sz="4" w:space="0" w:color="auto"/>
              <w:right w:val="single" w:sz="4" w:space="0" w:color="auto"/>
            </w:tcBorders>
            <w:shd w:val="clear" w:color="auto" w:fill="C6EFCE"/>
            <w:noWrap/>
            <w:vAlign w:val="center"/>
          </w:tcPr>
          <w:p w14:paraId="3BD8377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0D499F5" w14:textId="750E338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Nadobudnutie účinnosti zákona</w:t>
            </w:r>
            <w:r w:rsidR="00AB26B3" w:rsidRPr="00AB26B3">
              <w:rPr>
                <w:noProof/>
                <w:spacing w:val="-6"/>
                <w:lang w:val="sk-SK"/>
              </w:rPr>
              <w:t xml:space="preserve"> o </w:t>
            </w:r>
            <w:r w:rsidRPr="00AB26B3">
              <w:rPr>
                <w:noProof/>
                <w:spacing w:val="-6"/>
                <w:lang w:val="sk-SK"/>
              </w:rPr>
              <w:t>regulácii vodného hospodárstva</w:t>
            </w:r>
          </w:p>
        </w:tc>
      </w:tr>
      <w:tr w:rsidR="00302FC1" w:rsidRPr="00AB26B3" w14:paraId="56569A09"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0EA8709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78</w:t>
            </w:r>
          </w:p>
        </w:tc>
        <w:tc>
          <w:tcPr>
            <w:tcW w:w="5581" w:type="dxa"/>
            <w:tcBorders>
              <w:top w:val="nil"/>
              <w:left w:val="nil"/>
              <w:bottom w:val="single" w:sz="4" w:space="0" w:color="auto"/>
              <w:right w:val="single" w:sz="4" w:space="0" w:color="auto"/>
            </w:tcBorders>
            <w:shd w:val="clear" w:color="auto" w:fill="C6EFCE"/>
            <w:noWrap/>
            <w:vAlign w:val="center"/>
          </w:tcPr>
          <w:p w14:paraId="6EF4223A" w14:textId="20EE3135"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16910_Systém monitorovania</w:t>
            </w:r>
            <w:r w:rsidR="00AB26B3" w:rsidRPr="00AB26B3">
              <w:rPr>
                <w:noProof/>
                <w:spacing w:val="-6"/>
                <w:lang w:val="sk-SK"/>
              </w:rPr>
              <w:t xml:space="preserve"> a </w:t>
            </w:r>
            <w:r w:rsidRPr="00AB26B3">
              <w:rPr>
                <w:noProof/>
                <w:spacing w:val="-6"/>
                <w:lang w:val="sk-SK"/>
              </w:rPr>
              <w:t>riadenia</w:t>
            </w:r>
          </w:p>
        </w:tc>
        <w:tc>
          <w:tcPr>
            <w:tcW w:w="1680" w:type="dxa"/>
            <w:tcBorders>
              <w:top w:val="nil"/>
              <w:left w:val="nil"/>
              <w:bottom w:val="single" w:sz="4" w:space="0" w:color="auto"/>
              <w:right w:val="single" w:sz="4" w:space="0" w:color="auto"/>
            </w:tcBorders>
            <w:shd w:val="clear" w:color="auto" w:fill="C6EFCE"/>
            <w:noWrap/>
            <w:vAlign w:val="center"/>
          </w:tcPr>
          <w:p w14:paraId="26D1EEF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5EC8BF0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Zmluva na GPS</w:t>
            </w:r>
          </w:p>
        </w:tc>
      </w:tr>
      <w:tr w:rsidR="00302FC1" w:rsidRPr="00AB26B3" w14:paraId="59951F5E"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5360213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93</w:t>
            </w:r>
          </w:p>
        </w:tc>
        <w:tc>
          <w:tcPr>
            <w:tcW w:w="5581" w:type="dxa"/>
            <w:tcBorders>
              <w:top w:val="nil"/>
              <w:left w:val="nil"/>
              <w:bottom w:val="single" w:sz="4" w:space="0" w:color="auto"/>
              <w:right w:val="single" w:sz="4" w:space="0" w:color="auto"/>
            </w:tcBorders>
            <w:shd w:val="clear" w:color="auto" w:fill="C6EFCE"/>
            <w:noWrap/>
            <w:vAlign w:val="center"/>
          </w:tcPr>
          <w:p w14:paraId="29E6FB92" w14:textId="4654630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Modernizácia – 16778_Digitalizácia archívov</w:t>
            </w:r>
            <w:r w:rsidR="00AB26B3" w:rsidRPr="00AB26B3">
              <w:rPr>
                <w:noProof/>
                <w:spacing w:val="-6"/>
                <w:lang w:val="sk-SK"/>
              </w:rPr>
              <w:t xml:space="preserve"> a </w:t>
            </w:r>
            <w:r w:rsidRPr="00AB26B3">
              <w:rPr>
                <w:noProof/>
                <w:spacing w:val="-6"/>
                <w:lang w:val="sk-SK"/>
              </w:rPr>
              <w:t>súvisiacich služieb</w:t>
            </w:r>
          </w:p>
        </w:tc>
        <w:tc>
          <w:tcPr>
            <w:tcW w:w="1680" w:type="dxa"/>
            <w:tcBorders>
              <w:top w:val="nil"/>
              <w:left w:val="nil"/>
              <w:bottom w:val="single" w:sz="4" w:space="0" w:color="auto"/>
              <w:right w:val="single" w:sz="4" w:space="0" w:color="auto"/>
            </w:tcBorders>
            <w:shd w:val="clear" w:color="auto" w:fill="C6EFCE"/>
            <w:noWrap/>
            <w:vAlign w:val="center"/>
          </w:tcPr>
          <w:p w14:paraId="1D4DD98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E9F8A9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(zákaziek) na digitalizáciu archívov</w:t>
            </w:r>
          </w:p>
        </w:tc>
      </w:tr>
      <w:tr w:rsidR="00302FC1" w:rsidRPr="00AB26B3" w14:paraId="5AA78AA0"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48E148C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100</w:t>
            </w:r>
          </w:p>
        </w:tc>
        <w:tc>
          <w:tcPr>
            <w:tcW w:w="5581" w:type="dxa"/>
            <w:tcBorders>
              <w:top w:val="nil"/>
              <w:left w:val="nil"/>
              <w:bottom w:val="single" w:sz="4" w:space="0" w:color="auto"/>
              <w:right w:val="single" w:sz="4" w:space="0" w:color="auto"/>
            </w:tcBorders>
            <w:shd w:val="clear" w:color="auto" w:fill="C6EFCE"/>
            <w:noWrap/>
            <w:vAlign w:val="center"/>
          </w:tcPr>
          <w:p w14:paraId="05B25FF4" w14:textId="082E0E6E"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6 – 2.2. Modernizujme – 16779__Interoperabilita</w:t>
            </w:r>
            <w:r w:rsidR="00AB26B3" w:rsidRPr="00AB26B3">
              <w:rPr>
                <w:noProof/>
                <w:spacing w:val="-6"/>
                <w:lang w:val="sk-SK"/>
              </w:rPr>
              <w:t xml:space="preserve"> a </w:t>
            </w:r>
            <w:r w:rsidRPr="00AB26B3">
              <w:rPr>
                <w:noProof/>
                <w:spacing w:val="-6"/>
                <w:lang w:val="sk-SK"/>
              </w:rPr>
              <w:t>rozvoj webových služieb</w:t>
            </w:r>
          </w:p>
        </w:tc>
        <w:tc>
          <w:tcPr>
            <w:tcW w:w="1680" w:type="dxa"/>
            <w:tcBorders>
              <w:top w:val="nil"/>
              <w:left w:val="nil"/>
              <w:bottom w:val="single" w:sz="4" w:space="0" w:color="auto"/>
              <w:right w:val="single" w:sz="4" w:space="0" w:color="auto"/>
            </w:tcBorders>
            <w:shd w:val="clear" w:color="auto" w:fill="C6EFCE"/>
            <w:noWrap/>
            <w:vAlign w:val="center"/>
          </w:tcPr>
          <w:p w14:paraId="2717BCB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54AF0D8C" w14:textId="2A025669"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na projekt interoperability</w:t>
            </w:r>
            <w:r w:rsidR="00AB26B3" w:rsidRPr="00AB26B3">
              <w:rPr>
                <w:noProof/>
                <w:spacing w:val="-6"/>
                <w:lang w:val="sk-SK"/>
              </w:rPr>
              <w:t xml:space="preserve"> a </w:t>
            </w:r>
            <w:r w:rsidRPr="00AB26B3">
              <w:rPr>
                <w:noProof/>
                <w:spacing w:val="-6"/>
                <w:lang w:val="sk-SK"/>
              </w:rPr>
              <w:t>rozvoja webových služieb</w:t>
            </w:r>
          </w:p>
        </w:tc>
      </w:tr>
      <w:tr w:rsidR="00302FC1" w:rsidRPr="00AB26B3" w14:paraId="00D2E08F"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687E030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101</w:t>
            </w:r>
          </w:p>
        </w:tc>
        <w:tc>
          <w:tcPr>
            <w:tcW w:w="5581" w:type="dxa"/>
            <w:tcBorders>
              <w:top w:val="nil"/>
              <w:left w:val="nil"/>
              <w:bottom w:val="single" w:sz="4" w:space="0" w:color="auto"/>
              <w:right w:val="single" w:sz="4" w:space="0" w:color="auto"/>
            </w:tcBorders>
            <w:shd w:val="clear" w:color="auto" w:fill="C6EFCE"/>
            <w:noWrap/>
            <w:vAlign w:val="center"/>
          </w:tcPr>
          <w:p w14:paraId="4545FFE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16810_CRM pre verejnú správu</w:t>
            </w:r>
          </w:p>
        </w:tc>
        <w:tc>
          <w:tcPr>
            <w:tcW w:w="1680" w:type="dxa"/>
            <w:tcBorders>
              <w:top w:val="nil"/>
              <w:left w:val="nil"/>
              <w:bottom w:val="single" w:sz="4" w:space="0" w:color="auto"/>
              <w:right w:val="single" w:sz="4" w:space="0" w:color="auto"/>
            </w:tcBorders>
            <w:shd w:val="clear" w:color="auto" w:fill="C6EFCE"/>
            <w:noWrap/>
            <w:vAlign w:val="center"/>
          </w:tcPr>
          <w:p w14:paraId="2976FFC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553F84B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Zadanie zákazky na kapacitný mechanizmus pre verejnú správu </w:t>
            </w:r>
          </w:p>
        </w:tc>
      </w:tr>
      <w:tr w:rsidR="00302FC1" w:rsidRPr="00AB26B3" w14:paraId="0625FF29"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34FD886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102</w:t>
            </w:r>
          </w:p>
        </w:tc>
        <w:tc>
          <w:tcPr>
            <w:tcW w:w="5581" w:type="dxa"/>
            <w:tcBorders>
              <w:top w:val="nil"/>
              <w:left w:val="nil"/>
              <w:bottom w:val="single" w:sz="4" w:space="0" w:color="auto"/>
              <w:right w:val="single" w:sz="4" w:space="0" w:color="auto"/>
            </w:tcBorders>
            <w:shd w:val="clear" w:color="auto" w:fill="C6EFCE"/>
            <w:noWrap/>
            <w:vAlign w:val="center"/>
          </w:tcPr>
          <w:p w14:paraId="7D66583D" w14:textId="77777777"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6 – 2.2. Modernizácia – 16780_ Modernizácia jednotných kontaktných miest verejnej správy</w:t>
            </w:r>
          </w:p>
        </w:tc>
        <w:tc>
          <w:tcPr>
            <w:tcW w:w="1680" w:type="dxa"/>
            <w:tcBorders>
              <w:top w:val="nil"/>
              <w:left w:val="nil"/>
              <w:bottom w:val="single" w:sz="4" w:space="0" w:color="auto"/>
              <w:right w:val="single" w:sz="4" w:space="0" w:color="auto"/>
            </w:tcBorders>
            <w:shd w:val="clear" w:color="auto" w:fill="C6EFCE"/>
            <w:noWrap/>
            <w:vAlign w:val="center"/>
          </w:tcPr>
          <w:p w14:paraId="5A5427C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698749C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na ďalšiu modernizáciu jednotných kontaktných miest verejnej správy</w:t>
            </w:r>
          </w:p>
        </w:tc>
      </w:tr>
      <w:tr w:rsidR="00302FC1" w:rsidRPr="00AB26B3" w14:paraId="5C04EAAA"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7ABA6D4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103</w:t>
            </w:r>
          </w:p>
        </w:tc>
        <w:tc>
          <w:tcPr>
            <w:tcW w:w="5581" w:type="dxa"/>
            <w:tcBorders>
              <w:top w:val="nil"/>
              <w:left w:val="nil"/>
              <w:bottom w:val="single" w:sz="4" w:space="0" w:color="auto"/>
              <w:right w:val="single" w:sz="4" w:space="0" w:color="auto"/>
            </w:tcBorders>
            <w:shd w:val="clear" w:color="auto" w:fill="C6EFCE"/>
            <w:noWrap/>
            <w:vAlign w:val="center"/>
          </w:tcPr>
          <w:p w14:paraId="5CFF557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16736_Nový systém verejného obstarávania</w:t>
            </w:r>
          </w:p>
        </w:tc>
        <w:tc>
          <w:tcPr>
            <w:tcW w:w="1680" w:type="dxa"/>
            <w:tcBorders>
              <w:top w:val="nil"/>
              <w:left w:val="nil"/>
              <w:bottom w:val="single" w:sz="4" w:space="0" w:color="auto"/>
              <w:right w:val="single" w:sz="4" w:space="0" w:color="auto"/>
            </w:tcBorders>
            <w:shd w:val="clear" w:color="auto" w:fill="C6EFCE"/>
            <w:noWrap/>
            <w:vAlign w:val="center"/>
          </w:tcPr>
          <w:p w14:paraId="4A7FCA2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37BB61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na nový systém verejného obstarávania</w:t>
            </w:r>
          </w:p>
        </w:tc>
      </w:tr>
      <w:tr w:rsidR="00302FC1" w:rsidRPr="00AB26B3" w14:paraId="10772A89"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43AB6DF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104</w:t>
            </w:r>
          </w:p>
        </w:tc>
        <w:tc>
          <w:tcPr>
            <w:tcW w:w="5581" w:type="dxa"/>
            <w:tcBorders>
              <w:top w:val="nil"/>
              <w:left w:val="nil"/>
              <w:bottom w:val="single" w:sz="4" w:space="0" w:color="auto"/>
              <w:right w:val="single" w:sz="4" w:space="0" w:color="auto"/>
            </w:tcBorders>
            <w:shd w:val="clear" w:color="auto" w:fill="C6EFCE"/>
            <w:noWrap/>
            <w:vAlign w:val="center"/>
          </w:tcPr>
          <w:p w14:paraId="22A5D63A" w14:textId="62ECD489"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6 – 2.2. Modernizujme – 16823_ Stratégia</w:t>
            </w:r>
            <w:r w:rsidR="00AB26B3" w:rsidRPr="00AB26B3">
              <w:rPr>
                <w:noProof/>
                <w:spacing w:val="-6"/>
                <w:lang w:val="sk-SK"/>
              </w:rPr>
              <w:t xml:space="preserve"> a </w:t>
            </w:r>
            <w:r w:rsidRPr="00AB26B3">
              <w:rPr>
                <w:noProof/>
                <w:spacing w:val="-6"/>
                <w:lang w:val="sk-SK"/>
              </w:rPr>
              <w:t>politiky kybernetickej bezpečnosti pre verejný sektor</w:t>
            </w:r>
            <w:r w:rsidR="00AB26B3" w:rsidRPr="00AB26B3">
              <w:rPr>
                <w:noProof/>
                <w:spacing w:val="-6"/>
                <w:lang w:val="sk-SK"/>
              </w:rPr>
              <w:t xml:space="preserve"> a </w:t>
            </w:r>
            <w:r w:rsidRPr="00AB26B3">
              <w:rPr>
                <w:noProof/>
                <w:spacing w:val="-6"/>
                <w:lang w:val="sk-SK"/>
              </w:rPr>
              <w:t>pokročilé bezpečnostné služby pre vnútroštátne kritické infraštruktúry</w:t>
            </w:r>
          </w:p>
        </w:tc>
        <w:tc>
          <w:tcPr>
            <w:tcW w:w="1680" w:type="dxa"/>
            <w:tcBorders>
              <w:top w:val="nil"/>
              <w:left w:val="nil"/>
              <w:bottom w:val="single" w:sz="4" w:space="0" w:color="auto"/>
              <w:right w:val="single" w:sz="4" w:space="0" w:color="auto"/>
            </w:tcBorders>
            <w:shd w:val="clear" w:color="auto" w:fill="C6EFCE"/>
            <w:noWrap/>
            <w:vAlign w:val="center"/>
          </w:tcPr>
          <w:p w14:paraId="4F18257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6C62417C" w14:textId="1B5D6D1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w:t>
            </w:r>
            <w:r w:rsidR="00AB26B3" w:rsidRPr="00AB26B3">
              <w:rPr>
                <w:noProof/>
                <w:spacing w:val="-6"/>
                <w:lang w:val="sk-SK"/>
              </w:rPr>
              <w:t xml:space="preserve"> v </w:t>
            </w:r>
            <w:r w:rsidRPr="00AB26B3">
              <w:rPr>
                <w:noProof/>
                <w:spacing w:val="-6"/>
                <w:lang w:val="sk-SK"/>
              </w:rPr>
              <w:t>súvislosti so stratégiou kybernetickej bezpečnosti</w:t>
            </w:r>
          </w:p>
        </w:tc>
      </w:tr>
      <w:tr w:rsidR="00302FC1" w:rsidRPr="00AB26B3" w14:paraId="6AF78EE4"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46A7803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105</w:t>
            </w:r>
          </w:p>
        </w:tc>
        <w:tc>
          <w:tcPr>
            <w:tcW w:w="5581" w:type="dxa"/>
            <w:tcBorders>
              <w:top w:val="nil"/>
              <w:left w:val="nil"/>
              <w:bottom w:val="single" w:sz="4" w:space="0" w:color="auto"/>
              <w:right w:val="single" w:sz="4" w:space="0" w:color="auto"/>
            </w:tcBorders>
            <w:shd w:val="clear" w:color="auto" w:fill="C6EFCE"/>
            <w:noWrap/>
            <w:vAlign w:val="center"/>
          </w:tcPr>
          <w:p w14:paraId="22EFA66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16826_Programy modernizácie digitálnych zručností pre brancov</w:t>
            </w:r>
          </w:p>
        </w:tc>
        <w:tc>
          <w:tcPr>
            <w:tcW w:w="1680" w:type="dxa"/>
            <w:tcBorders>
              <w:top w:val="nil"/>
              <w:left w:val="nil"/>
              <w:bottom w:val="single" w:sz="4" w:space="0" w:color="auto"/>
              <w:right w:val="single" w:sz="4" w:space="0" w:color="auto"/>
            </w:tcBorders>
            <w:shd w:val="clear" w:color="auto" w:fill="C6EFCE"/>
            <w:noWrap/>
            <w:vAlign w:val="center"/>
          </w:tcPr>
          <w:p w14:paraId="5ECEF1F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4256DF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na programy modernizácie digitálnych zručností pre brancov</w:t>
            </w:r>
          </w:p>
        </w:tc>
      </w:tr>
      <w:tr w:rsidR="00302FC1" w:rsidRPr="00AB26B3" w14:paraId="192977DD"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3631A09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106</w:t>
            </w:r>
          </w:p>
        </w:tc>
        <w:tc>
          <w:tcPr>
            <w:tcW w:w="5581" w:type="dxa"/>
            <w:tcBorders>
              <w:top w:val="nil"/>
              <w:left w:val="nil"/>
              <w:bottom w:val="single" w:sz="4" w:space="0" w:color="auto"/>
              <w:right w:val="single" w:sz="4" w:space="0" w:color="auto"/>
            </w:tcBorders>
            <w:shd w:val="clear" w:color="auto" w:fill="C6EFCE"/>
            <w:noWrap/>
            <w:vAlign w:val="center"/>
          </w:tcPr>
          <w:p w14:paraId="28EA79B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16742_Digitálna transformácia ministerstva zahraničných vecí</w:t>
            </w:r>
          </w:p>
        </w:tc>
        <w:tc>
          <w:tcPr>
            <w:tcW w:w="1680" w:type="dxa"/>
            <w:tcBorders>
              <w:top w:val="nil"/>
              <w:left w:val="nil"/>
              <w:bottom w:val="single" w:sz="4" w:space="0" w:color="auto"/>
              <w:right w:val="single" w:sz="4" w:space="0" w:color="auto"/>
            </w:tcBorders>
            <w:shd w:val="clear" w:color="auto" w:fill="C6EFCE"/>
            <w:noWrap/>
            <w:vAlign w:val="center"/>
          </w:tcPr>
          <w:p w14:paraId="464CA93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06056CB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na digitálnu transformáciu ministerstva zahraničných vecí</w:t>
            </w:r>
          </w:p>
        </w:tc>
      </w:tr>
      <w:tr w:rsidR="00302FC1" w:rsidRPr="00AB26B3" w14:paraId="12562746"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66E80DA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107</w:t>
            </w:r>
          </w:p>
        </w:tc>
        <w:tc>
          <w:tcPr>
            <w:tcW w:w="5581" w:type="dxa"/>
            <w:tcBorders>
              <w:top w:val="nil"/>
              <w:left w:val="nil"/>
              <w:bottom w:val="single" w:sz="4" w:space="0" w:color="auto"/>
              <w:right w:val="single" w:sz="4" w:space="0" w:color="auto"/>
            </w:tcBorders>
            <w:shd w:val="clear" w:color="auto" w:fill="C6EFCE"/>
            <w:noWrap/>
            <w:vAlign w:val="center"/>
          </w:tcPr>
          <w:p w14:paraId="6F60E4F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Modernizácia – 16824_ERegistries</w:t>
            </w:r>
          </w:p>
        </w:tc>
        <w:tc>
          <w:tcPr>
            <w:tcW w:w="1680" w:type="dxa"/>
            <w:tcBorders>
              <w:top w:val="nil"/>
              <w:left w:val="nil"/>
              <w:bottom w:val="single" w:sz="4" w:space="0" w:color="auto"/>
              <w:right w:val="single" w:sz="4" w:space="0" w:color="auto"/>
            </w:tcBorders>
            <w:shd w:val="clear" w:color="auto" w:fill="C6EFCE"/>
            <w:noWrap/>
            <w:vAlign w:val="center"/>
          </w:tcPr>
          <w:p w14:paraId="733C7FA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2FA95E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Zadávanie zákaziek pre elektronické registre</w:t>
            </w:r>
          </w:p>
        </w:tc>
      </w:tr>
      <w:tr w:rsidR="00302FC1" w:rsidRPr="00AB26B3" w14:paraId="370DA7E6"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0E2D664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121</w:t>
            </w:r>
          </w:p>
        </w:tc>
        <w:tc>
          <w:tcPr>
            <w:tcW w:w="5581" w:type="dxa"/>
            <w:tcBorders>
              <w:top w:val="nil"/>
              <w:left w:val="nil"/>
              <w:bottom w:val="single" w:sz="4" w:space="0" w:color="auto"/>
              <w:right w:val="single" w:sz="4" w:space="0" w:color="auto"/>
            </w:tcBorders>
            <w:shd w:val="clear" w:color="auto" w:fill="C6EFCE"/>
            <w:noWrap/>
            <w:vAlign w:val="center"/>
          </w:tcPr>
          <w:p w14:paraId="7EB8531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Modernizujte – 16842_Central BI – Data Analytics (centrálna základná infraštruktúra – analýza údajov)</w:t>
            </w:r>
          </w:p>
        </w:tc>
        <w:tc>
          <w:tcPr>
            <w:tcW w:w="1680" w:type="dxa"/>
            <w:tcBorders>
              <w:top w:val="nil"/>
              <w:left w:val="nil"/>
              <w:bottom w:val="single" w:sz="4" w:space="0" w:color="auto"/>
              <w:right w:val="single" w:sz="4" w:space="0" w:color="auto"/>
            </w:tcBorders>
            <w:shd w:val="clear" w:color="auto" w:fill="C6EFCE"/>
            <w:noWrap/>
            <w:vAlign w:val="center"/>
          </w:tcPr>
          <w:p w14:paraId="005912F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438832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Zadanie zákazky – ústredná podniková spravodajská služba (BI) </w:t>
            </w:r>
          </w:p>
        </w:tc>
      </w:tr>
      <w:tr w:rsidR="00302FC1" w:rsidRPr="00AB26B3" w14:paraId="5A007590"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21EEF42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134</w:t>
            </w:r>
          </w:p>
        </w:tc>
        <w:tc>
          <w:tcPr>
            <w:tcW w:w="5581" w:type="dxa"/>
            <w:tcBorders>
              <w:top w:val="nil"/>
              <w:left w:val="nil"/>
              <w:bottom w:val="single" w:sz="4" w:space="0" w:color="auto"/>
              <w:right w:val="single" w:sz="4" w:space="0" w:color="auto"/>
            </w:tcBorders>
            <w:shd w:val="clear" w:color="auto" w:fill="C6EFCE"/>
            <w:noWrap/>
            <w:vAlign w:val="center"/>
          </w:tcPr>
          <w:p w14:paraId="67194E96" w14:textId="1BAADD2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16750_Digitálna transformácia systémov práce</w:t>
            </w:r>
          </w:p>
        </w:tc>
        <w:tc>
          <w:tcPr>
            <w:tcW w:w="1680" w:type="dxa"/>
            <w:tcBorders>
              <w:top w:val="nil"/>
              <w:left w:val="nil"/>
              <w:bottom w:val="single" w:sz="4" w:space="0" w:color="auto"/>
              <w:right w:val="single" w:sz="4" w:space="0" w:color="auto"/>
            </w:tcBorders>
            <w:shd w:val="clear" w:color="auto" w:fill="C6EFCE"/>
            <w:noWrap/>
            <w:vAlign w:val="center"/>
          </w:tcPr>
          <w:p w14:paraId="50E8C93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0D7B9B46" w14:textId="4ED1022F"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Zadávanie zákaziek na pracovné IT systémy</w:t>
            </w:r>
          </w:p>
        </w:tc>
      </w:tr>
      <w:tr w:rsidR="00302FC1" w:rsidRPr="00AB26B3" w14:paraId="5E50ADB2"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5EAB0AC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139</w:t>
            </w:r>
          </w:p>
        </w:tc>
        <w:tc>
          <w:tcPr>
            <w:tcW w:w="5581" w:type="dxa"/>
            <w:tcBorders>
              <w:top w:val="nil"/>
              <w:left w:val="nil"/>
              <w:bottom w:val="single" w:sz="4" w:space="0" w:color="auto"/>
              <w:right w:val="single" w:sz="4" w:space="0" w:color="auto"/>
            </w:tcBorders>
            <w:shd w:val="clear" w:color="auto" w:fill="C6EFCE"/>
            <w:noWrap/>
            <w:vAlign w:val="center"/>
          </w:tcPr>
          <w:p w14:paraId="62CA2D1E" w14:textId="5BA8E8B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16913_Nová stratégia pre celoživotné zručnosti: Modernizácia</w:t>
            </w:r>
            <w:r w:rsidR="00AB26B3" w:rsidRPr="00AB26B3">
              <w:rPr>
                <w:noProof/>
                <w:spacing w:val="-6"/>
                <w:lang w:val="sk-SK"/>
              </w:rPr>
              <w:t xml:space="preserve"> a </w:t>
            </w:r>
            <w:r w:rsidRPr="00AB26B3">
              <w:rPr>
                <w:noProof/>
                <w:spacing w:val="-6"/>
                <w:lang w:val="sk-SK"/>
              </w:rPr>
              <w:t>aktualizácia gréckeho systému zvyšovania úrovne zručností</w:t>
            </w:r>
            <w:r w:rsidR="00AB26B3" w:rsidRPr="00AB26B3">
              <w:rPr>
                <w:noProof/>
                <w:spacing w:val="-6"/>
                <w:lang w:val="sk-SK"/>
              </w:rPr>
              <w:t xml:space="preserve"> a </w:t>
            </w:r>
            <w:r w:rsidRPr="00AB26B3">
              <w:rPr>
                <w:noProof/>
                <w:spacing w:val="-6"/>
                <w:lang w:val="sk-SK"/>
              </w:rPr>
              <w:t>rekvalifikácie</w:t>
            </w:r>
          </w:p>
        </w:tc>
        <w:tc>
          <w:tcPr>
            <w:tcW w:w="1680" w:type="dxa"/>
            <w:tcBorders>
              <w:top w:val="nil"/>
              <w:left w:val="nil"/>
              <w:bottom w:val="single" w:sz="4" w:space="0" w:color="auto"/>
              <w:right w:val="single" w:sz="4" w:space="0" w:color="auto"/>
            </w:tcBorders>
            <w:shd w:val="clear" w:color="auto" w:fill="C6EFCE"/>
            <w:noWrap/>
            <w:vAlign w:val="center"/>
          </w:tcPr>
          <w:p w14:paraId="0131BF2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800" w:type="dxa"/>
            <w:tcBorders>
              <w:top w:val="nil"/>
              <w:left w:val="nil"/>
              <w:bottom w:val="single" w:sz="4" w:space="0" w:color="auto"/>
              <w:right w:val="single" w:sz="4" w:space="0" w:color="auto"/>
            </w:tcBorders>
            <w:shd w:val="clear" w:color="auto" w:fill="C6EFCE"/>
            <w:noWrap/>
            <w:vAlign w:val="center"/>
          </w:tcPr>
          <w:p w14:paraId="6C7EFA2E" w14:textId="4463AD06"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Validácia dokončenia stratégie celoživotného vzdelávania</w:t>
            </w:r>
            <w:r w:rsidR="00AB26B3" w:rsidRPr="00AB26B3">
              <w:rPr>
                <w:noProof/>
                <w:spacing w:val="-6"/>
                <w:lang w:val="sk-SK"/>
              </w:rPr>
              <w:t xml:space="preserve"> v </w:t>
            </w:r>
            <w:r w:rsidRPr="00AB26B3">
              <w:rPr>
                <w:noProof/>
                <w:spacing w:val="-6"/>
                <w:lang w:val="sk-SK"/>
              </w:rPr>
              <w:t>rámci programov odbornej prípravy</w:t>
            </w:r>
          </w:p>
        </w:tc>
      </w:tr>
      <w:tr w:rsidR="00302FC1" w:rsidRPr="00AB26B3" w14:paraId="65148CF8"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58247C2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159</w:t>
            </w:r>
          </w:p>
        </w:tc>
        <w:tc>
          <w:tcPr>
            <w:tcW w:w="5581" w:type="dxa"/>
            <w:tcBorders>
              <w:top w:val="nil"/>
              <w:left w:val="nil"/>
              <w:bottom w:val="single" w:sz="4" w:space="0" w:color="auto"/>
              <w:right w:val="single" w:sz="4" w:space="0" w:color="auto"/>
            </w:tcBorders>
            <w:shd w:val="clear" w:color="auto" w:fill="C6EFCE"/>
            <w:noWrap/>
            <w:vAlign w:val="center"/>
          </w:tcPr>
          <w:p w14:paraId="0ABAB823" w14:textId="5E6E000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16755_Reforma systému primárnej zdravotnej starostlivosti</w:t>
            </w:r>
          </w:p>
        </w:tc>
        <w:tc>
          <w:tcPr>
            <w:tcW w:w="1680" w:type="dxa"/>
            <w:tcBorders>
              <w:top w:val="nil"/>
              <w:left w:val="nil"/>
              <w:bottom w:val="single" w:sz="4" w:space="0" w:color="auto"/>
              <w:right w:val="single" w:sz="4" w:space="0" w:color="auto"/>
            </w:tcBorders>
            <w:shd w:val="clear" w:color="auto" w:fill="C6EFCE"/>
            <w:noWrap/>
            <w:vAlign w:val="center"/>
          </w:tcPr>
          <w:p w14:paraId="3836C86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8B28E94" w14:textId="56657C8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Aktivácia učebných plánov rodinnej medicíny</w:t>
            </w:r>
            <w:r w:rsidR="00AB26B3" w:rsidRPr="00AB26B3">
              <w:rPr>
                <w:noProof/>
                <w:spacing w:val="-6"/>
                <w:lang w:val="sk-SK"/>
              </w:rPr>
              <w:t xml:space="preserve"> v </w:t>
            </w:r>
            <w:r w:rsidRPr="00AB26B3">
              <w:rPr>
                <w:noProof/>
                <w:spacing w:val="-6"/>
                <w:lang w:val="sk-SK"/>
              </w:rPr>
              <w:t xml:space="preserve">oblasti primárnej zdravotnej starostlivosti </w:t>
            </w:r>
          </w:p>
        </w:tc>
      </w:tr>
      <w:tr w:rsidR="00302FC1" w:rsidRPr="00AB26B3" w14:paraId="46DBAC45"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6070F1B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160</w:t>
            </w:r>
          </w:p>
        </w:tc>
        <w:tc>
          <w:tcPr>
            <w:tcW w:w="5581" w:type="dxa"/>
            <w:tcBorders>
              <w:top w:val="nil"/>
              <w:left w:val="nil"/>
              <w:bottom w:val="single" w:sz="4" w:space="0" w:color="auto"/>
              <w:right w:val="single" w:sz="4" w:space="0" w:color="auto"/>
            </w:tcBorders>
            <w:shd w:val="clear" w:color="auto" w:fill="C6EFCE"/>
            <w:noWrap/>
            <w:vAlign w:val="center"/>
          </w:tcPr>
          <w:p w14:paraId="67F4E6D8" w14:textId="43F6DB6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16820_Reforma</w:t>
            </w:r>
            <w:r w:rsidR="00AB26B3" w:rsidRPr="00AB26B3">
              <w:rPr>
                <w:noProof/>
                <w:spacing w:val="-6"/>
                <w:lang w:val="sk-SK"/>
              </w:rPr>
              <w:t xml:space="preserve"> v </w:t>
            </w:r>
            <w:r w:rsidRPr="00AB26B3">
              <w:rPr>
                <w:noProof/>
                <w:spacing w:val="-6"/>
                <w:lang w:val="sk-SK"/>
              </w:rPr>
              <w:t>oblasti duševného zdravia</w:t>
            </w:r>
            <w:r w:rsidR="00AB26B3" w:rsidRPr="00AB26B3">
              <w:rPr>
                <w:noProof/>
                <w:spacing w:val="-6"/>
                <w:lang w:val="sk-SK"/>
              </w:rPr>
              <w:t xml:space="preserve"> a </w:t>
            </w:r>
            <w:r w:rsidRPr="00AB26B3">
              <w:rPr>
                <w:noProof/>
                <w:spacing w:val="-6"/>
                <w:lang w:val="sk-SK"/>
              </w:rPr>
              <w:t>závislostí</w:t>
            </w:r>
          </w:p>
        </w:tc>
        <w:tc>
          <w:tcPr>
            <w:tcW w:w="1680" w:type="dxa"/>
            <w:tcBorders>
              <w:top w:val="nil"/>
              <w:left w:val="nil"/>
              <w:bottom w:val="single" w:sz="4" w:space="0" w:color="auto"/>
              <w:right w:val="single" w:sz="4" w:space="0" w:color="auto"/>
            </w:tcBorders>
            <w:shd w:val="clear" w:color="auto" w:fill="C6EFCE"/>
            <w:noWrap/>
            <w:vAlign w:val="center"/>
          </w:tcPr>
          <w:p w14:paraId="3948DA9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800" w:type="dxa"/>
            <w:tcBorders>
              <w:top w:val="nil"/>
              <w:left w:val="nil"/>
              <w:bottom w:val="single" w:sz="4" w:space="0" w:color="auto"/>
              <w:right w:val="single" w:sz="4" w:space="0" w:color="auto"/>
            </w:tcBorders>
            <w:shd w:val="clear" w:color="auto" w:fill="C6EFCE"/>
            <w:noWrap/>
            <w:vAlign w:val="center"/>
          </w:tcPr>
          <w:p w14:paraId="3AF79353" w14:textId="1FAB5A48"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Duševné zdravie – 50 otvorených jednotiek – krok 1</w:t>
            </w:r>
            <w:r w:rsidR="00AB26B3" w:rsidRPr="00AB26B3">
              <w:rPr>
                <w:noProof/>
                <w:spacing w:val="-6"/>
                <w:lang w:val="sk-SK"/>
              </w:rPr>
              <w:t xml:space="preserve"> z </w:t>
            </w:r>
            <w:r w:rsidRPr="00AB26B3">
              <w:rPr>
                <w:noProof/>
                <w:spacing w:val="-6"/>
                <w:lang w:val="sk-SK"/>
              </w:rPr>
              <w:t>2</w:t>
            </w:r>
          </w:p>
        </w:tc>
      </w:tr>
      <w:tr w:rsidR="00302FC1" w:rsidRPr="00AB26B3" w14:paraId="22BFB4D5"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746CBA1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211</w:t>
            </w:r>
          </w:p>
        </w:tc>
        <w:tc>
          <w:tcPr>
            <w:tcW w:w="5581" w:type="dxa"/>
            <w:tcBorders>
              <w:top w:val="nil"/>
              <w:left w:val="nil"/>
              <w:bottom w:val="single" w:sz="4" w:space="0" w:color="auto"/>
              <w:right w:val="single" w:sz="4" w:space="0" w:color="auto"/>
            </w:tcBorders>
            <w:shd w:val="clear" w:color="auto" w:fill="C6EFCE"/>
            <w:noWrap/>
            <w:vAlign w:val="center"/>
          </w:tcPr>
          <w:p w14:paraId="0A2BFB32" w14:textId="514C1C9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16952_Posilnenie národného protikorupčného rámca prostredníctvom cielených intervencií</w:t>
            </w:r>
            <w:r w:rsidR="00AB26B3" w:rsidRPr="00AB26B3">
              <w:rPr>
                <w:noProof/>
                <w:spacing w:val="-6"/>
                <w:lang w:val="sk-SK"/>
              </w:rPr>
              <w:t xml:space="preserve"> v </w:t>
            </w:r>
            <w:r w:rsidRPr="00AB26B3">
              <w:rPr>
                <w:noProof/>
                <w:spacing w:val="-6"/>
                <w:lang w:val="sk-SK"/>
              </w:rPr>
              <w:t>oblasti odhaľovania, prevencie</w:t>
            </w:r>
            <w:r w:rsidR="00AB26B3" w:rsidRPr="00AB26B3">
              <w:rPr>
                <w:noProof/>
                <w:spacing w:val="-6"/>
                <w:lang w:val="sk-SK"/>
              </w:rPr>
              <w:t xml:space="preserve"> a </w:t>
            </w:r>
            <w:r w:rsidRPr="00AB26B3">
              <w:rPr>
                <w:noProof/>
                <w:spacing w:val="-6"/>
                <w:lang w:val="sk-SK"/>
              </w:rPr>
              <w:t>zvyšovania informovanosti</w:t>
            </w:r>
          </w:p>
        </w:tc>
        <w:tc>
          <w:tcPr>
            <w:tcW w:w="1680" w:type="dxa"/>
            <w:tcBorders>
              <w:top w:val="nil"/>
              <w:left w:val="nil"/>
              <w:bottom w:val="single" w:sz="4" w:space="0" w:color="auto"/>
              <w:right w:val="single" w:sz="4" w:space="0" w:color="auto"/>
            </w:tcBorders>
            <w:shd w:val="clear" w:color="auto" w:fill="C6EFCE"/>
            <w:noWrap/>
            <w:vAlign w:val="center"/>
          </w:tcPr>
          <w:p w14:paraId="545063F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B16BF90" w14:textId="74425CD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Vykonávanie právnych predpisov</w:t>
            </w:r>
            <w:r w:rsidR="00AB26B3" w:rsidRPr="00AB26B3">
              <w:rPr>
                <w:noProof/>
                <w:spacing w:val="-6"/>
                <w:lang w:val="sk-SK"/>
              </w:rPr>
              <w:t xml:space="preserve"> o </w:t>
            </w:r>
            <w:r w:rsidRPr="00AB26B3">
              <w:rPr>
                <w:noProof/>
                <w:spacing w:val="-6"/>
                <w:lang w:val="sk-SK"/>
              </w:rPr>
              <w:t>vnútornej kontrole</w:t>
            </w:r>
          </w:p>
        </w:tc>
      </w:tr>
      <w:tr w:rsidR="00302FC1" w:rsidRPr="00AB26B3" w14:paraId="0F0C6F7B"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2F8907B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214</w:t>
            </w:r>
          </w:p>
        </w:tc>
        <w:tc>
          <w:tcPr>
            <w:tcW w:w="5581" w:type="dxa"/>
            <w:tcBorders>
              <w:top w:val="nil"/>
              <w:left w:val="nil"/>
              <w:bottom w:val="single" w:sz="4" w:space="0" w:color="auto"/>
              <w:right w:val="single" w:sz="4" w:space="0" w:color="auto"/>
            </w:tcBorders>
            <w:shd w:val="clear" w:color="auto" w:fill="C6EFCE"/>
            <w:noWrap/>
            <w:vAlign w:val="center"/>
          </w:tcPr>
          <w:p w14:paraId="36FA34D3" w14:textId="2541F15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16701_Posilnenie siete štátnej pomoci</w:t>
            </w:r>
          </w:p>
        </w:tc>
        <w:tc>
          <w:tcPr>
            <w:tcW w:w="1680" w:type="dxa"/>
            <w:tcBorders>
              <w:top w:val="nil"/>
              <w:left w:val="nil"/>
              <w:bottom w:val="single" w:sz="4" w:space="0" w:color="auto"/>
              <w:right w:val="single" w:sz="4" w:space="0" w:color="auto"/>
            </w:tcBorders>
            <w:shd w:val="clear" w:color="auto" w:fill="C6EFCE"/>
            <w:noWrap/>
            <w:vAlign w:val="center"/>
          </w:tcPr>
          <w:p w14:paraId="37C95CB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2F6BF0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Posilnená sieť štátnej pomoci</w:t>
            </w:r>
          </w:p>
        </w:tc>
      </w:tr>
      <w:tr w:rsidR="00302FC1" w:rsidRPr="00AB26B3" w14:paraId="3BBB804B"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6B1D6AA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215</w:t>
            </w:r>
          </w:p>
        </w:tc>
        <w:tc>
          <w:tcPr>
            <w:tcW w:w="5581" w:type="dxa"/>
            <w:tcBorders>
              <w:top w:val="nil"/>
              <w:left w:val="nil"/>
              <w:bottom w:val="single" w:sz="4" w:space="0" w:color="auto"/>
              <w:right w:val="single" w:sz="4" w:space="0" w:color="auto"/>
            </w:tcBorders>
            <w:shd w:val="clear" w:color="auto" w:fill="C6EFCE"/>
            <w:noWrap/>
            <w:vAlign w:val="center"/>
          </w:tcPr>
          <w:p w14:paraId="629209AC" w14:textId="7B35F59C"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16981_Zlepšenie plánovania</w:t>
            </w:r>
            <w:r w:rsidR="00AB26B3" w:rsidRPr="00AB26B3">
              <w:rPr>
                <w:noProof/>
                <w:spacing w:val="-6"/>
                <w:lang w:val="sk-SK"/>
              </w:rPr>
              <w:t xml:space="preserve"> a </w:t>
            </w:r>
            <w:r w:rsidRPr="00AB26B3">
              <w:rPr>
                <w:noProof/>
                <w:spacing w:val="-6"/>
                <w:lang w:val="sk-SK"/>
              </w:rPr>
              <w:t>koordinácie politík</w:t>
            </w:r>
          </w:p>
        </w:tc>
        <w:tc>
          <w:tcPr>
            <w:tcW w:w="1680" w:type="dxa"/>
            <w:tcBorders>
              <w:top w:val="nil"/>
              <w:left w:val="nil"/>
              <w:bottom w:val="single" w:sz="4" w:space="0" w:color="auto"/>
              <w:right w:val="single" w:sz="4" w:space="0" w:color="auto"/>
            </w:tcBorders>
            <w:shd w:val="clear" w:color="auto" w:fill="C6EFCE"/>
            <w:noWrap/>
            <w:vAlign w:val="center"/>
          </w:tcPr>
          <w:p w14:paraId="1789E68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05D70C2" w14:textId="3A683132"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Plánovanie</w:t>
            </w:r>
            <w:r w:rsidR="00AB26B3" w:rsidRPr="00AB26B3">
              <w:rPr>
                <w:noProof/>
                <w:spacing w:val="-6"/>
                <w:lang w:val="sk-SK"/>
              </w:rPr>
              <w:t xml:space="preserve"> a </w:t>
            </w:r>
            <w:r w:rsidRPr="00AB26B3">
              <w:rPr>
                <w:noProof/>
                <w:spacing w:val="-6"/>
                <w:lang w:val="sk-SK"/>
              </w:rPr>
              <w:t>koordinácia politík – posúdenie vplyvu</w:t>
            </w:r>
          </w:p>
        </w:tc>
      </w:tr>
      <w:tr w:rsidR="00302FC1" w:rsidRPr="00AB26B3" w14:paraId="7B7F68FB"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2335917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226</w:t>
            </w:r>
          </w:p>
        </w:tc>
        <w:tc>
          <w:tcPr>
            <w:tcW w:w="5581" w:type="dxa"/>
            <w:tcBorders>
              <w:top w:val="nil"/>
              <w:left w:val="nil"/>
              <w:bottom w:val="single" w:sz="4" w:space="0" w:color="auto"/>
              <w:right w:val="single" w:sz="4" w:space="0" w:color="auto"/>
            </w:tcBorders>
            <w:shd w:val="clear" w:color="auto" w:fill="C6EFCE"/>
            <w:noWrap/>
            <w:vAlign w:val="center"/>
          </w:tcPr>
          <w:p w14:paraId="591A625D"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16575 Urýchlenie výkonu spravodlivosti</w:t>
            </w:r>
          </w:p>
        </w:tc>
        <w:tc>
          <w:tcPr>
            <w:tcW w:w="1680" w:type="dxa"/>
            <w:tcBorders>
              <w:top w:val="nil"/>
              <w:left w:val="nil"/>
              <w:bottom w:val="single" w:sz="4" w:space="0" w:color="auto"/>
              <w:right w:val="single" w:sz="4" w:space="0" w:color="auto"/>
            </w:tcBorders>
            <w:shd w:val="clear" w:color="auto" w:fill="C6EFCE"/>
            <w:noWrap/>
            <w:vAlign w:val="center"/>
          </w:tcPr>
          <w:p w14:paraId="643C655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C08DFD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Justičná mapa – primárne právne predpisy – administratívne</w:t>
            </w:r>
          </w:p>
        </w:tc>
      </w:tr>
      <w:tr w:rsidR="00302FC1" w:rsidRPr="00AB26B3" w14:paraId="675792F7" w14:textId="77777777">
        <w:trPr>
          <w:trHeight w:val="302"/>
        </w:trPr>
        <w:tc>
          <w:tcPr>
            <w:tcW w:w="534" w:type="dxa"/>
            <w:tcBorders>
              <w:top w:val="nil"/>
              <w:left w:val="single" w:sz="4" w:space="0" w:color="auto"/>
              <w:bottom w:val="single" w:sz="4" w:space="0" w:color="auto"/>
              <w:right w:val="single" w:sz="4" w:space="0" w:color="auto"/>
            </w:tcBorders>
            <w:shd w:val="clear" w:color="auto" w:fill="C6EFCE"/>
            <w:noWrap/>
            <w:vAlign w:val="center"/>
          </w:tcPr>
          <w:p w14:paraId="61EB626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227</w:t>
            </w:r>
          </w:p>
        </w:tc>
        <w:tc>
          <w:tcPr>
            <w:tcW w:w="5581" w:type="dxa"/>
            <w:tcBorders>
              <w:top w:val="nil"/>
              <w:left w:val="nil"/>
              <w:bottom w:val="single" w:sz="4" w:space="0" w:color="auto"/>
              <w:right w:val="single" w:sz="4" w:space="0" w:color="auto"/>
            </w:tcBorders>
            <w:shd w:val="clear" w:color="auto" w:fill="C6EFCE"/>
            <w:noWrap/>
            <w:vAlign w:val="center"/>
          </w:tcPr>
          <w:p w14:paraId="1E2A5DE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16292_Nové justičné budovy</w:t>
            </w:r>
          </w:p>
        </w:tc>
        <w:tc>
          <w:tcPr>
            <w:tcW w:w="1680" w:type="dxa"/>
            <w:tcBorders>
              <w:top w:val="nil"/>
              <w:left w:val="nil"/>
              <w:bottom w:val="single" w:sz="4" w:space="0" w:color="auto"/>
              <w:right w:val="single" w:sz="4" w:space="0" w:color="auto"/>
            </w:tcBorders>
            <w:shd w:val="clear" w:color="auto" w:fill="C6EFCE"/>
            <w:noWrap/>
            <w:vAlign w:val="center"/>
          </w:tcPr>
          <w:p w14:paraId="5A6092D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5EE7050" w14:textId="49BF341A"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Výstavba</w:t>
            </w:r>
            <w:r w:rsidR="00AB26B3" w:rsidRPr="00AB26B3">
              <w:rPr>
                <w:noProof/>
                <w:spacing w:val="-6"/>
                <w:lang w:val="sk-SK"/>
              </w:rPr>
              <w:t xml:space="preserve"> a </w:t>
            </w:r>
            <w:r w:rsidRPr="00AB26B3">
              <w:rPr>
                <w:noProof/>
                <w:spacing w:val="-6"/>
                <w:lang w:val="sk-SK"/>
              </w:rPr>
              <w:t>renovácia súdnych budov – úprava zoznamu – začatie verejných súťaží</w:t>
            </w:r>
          </w:p>
        </w:tc>
      </w:tr>
      <w:tr w:rsidR="00302FC1" w:rsidRPr="00AB26B3" w14:paraId="30C790CC" w14:textId="77777777">
        <w:trPr>
          <w:trHeight w:val="302"/>
        </w:trPr>
        <w:tc>
          <w:tcPr>
            <w:tcW w:w="53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5ADE8C5" w14:textId="77777777" w:rsidR="00302FC1" w:rsidRPr="00AB26B3" w:rsidRDefault="00302FC1">
            <w:pPr>
              <w:keepNext/>
              <w:spacing w:before="40" w:after="0" w:line="240" w:lineRule="auto"/>
              <w:jc w:val="both"/>
              <w:rPr>
                <w:rFonts w:ascii="Times New Roman" w:eastAsia="Times New Roman" w:hAnsi="Times New Roman" w:cs="Times New Roman"/>
                <w:bCs/>
                <w:noProof/>
                <w:spacing w:val="-6"/>
                <w:sz w:val="18"/>
                <w:szCs w:val="18"/>
                <w:lang w:val="sk-SK"/>
              </w:rPr>
            </w:pPr>
          </w:p>
        </w:tc>
        <w:tc>
          <w:tcPr>
            <w:tcW w:w="5581" w:type="dxa"/>
            <w:tcBorders>
              <w:top w:val="single" w:sz="4" w:space="0" w:color="auto"/>
              <w:left w:val="nil"/>
              <w:bottom w:val="single" w:sz="4" w:space="0" w:color="auto"/>
              <w:right w:val="single" w:sz="4" w:space="0" w:color="auto"/>
            </w:tcBorders>
            <w:shd w:val="clear" w:color="auto" w:fill="C6EFCE"/>
            <w:noWrap/>
            <w:vAlign w:val="bottom"/>
          </w:tcPr>
          <w:p w14:paraId="1BC79BA5" w14:textId="77777777" w:rsidR="00302FC1" w:rsidRPr="00AB26B3" w:rsidRDefault="00302FC1">
            <w:pPr>
              <w:keepNext/>
              <w:spacing w:before="40" w:after="0" w:line="240" w:lineRule="auto"/>
              <w:jc w:val="both"/>
              <w:rPr>
                <w:rFonts w:ascii="Times New Roman" w:eastAsia="Times New Roman" w:hAnsi="Times New Roman" w:cs="Times New Roman"/>
                <w:bCs/>
                <w:noProof/>
                <w:spacing w:val="-6"/>
                <w:sz w:val="18"/>
                <w:szCs w:val="18"/>
                <w:lang w:val="sk-SK"/>
              </w:rPr>
            </w:pPr>
          </w:p>
        </w:tc>
        <w:tc>
          <w:tcPr>
            <w:tcW w:w="1680" w:type="dxa"/>
            <w:tcBorders>
              <w:top w:val="single" w:sz="4" w:space="0" w:color="auto"/>
              <w:left w:val="nil"/>
              <w:bottom w:val="single" w:sz="4" w:space="0" w:color="auto"/>
              <w:right w:val="single" w:sz="4" w:space="0" w:color="auto"/>
            </w:tcBorders>
            <w:shd w:val="clear" w:color="auto" w:fill="C6EFCE"/>
            <w:noWrap/>
            <w:vAlign w:val="bottom"/>
          </w:tcPr>
          <w:p w14:paraId="53AAC6C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Suma splátky</w:t>
            </w:r>
          </w:p>
        </w:tc>
        <w:tc>
          <w:tcPr>
            <w:tcW w:w="1800" w:type="dxa"/>
            <w:tcBorders>
              <w:top w:val="single" w:sz="4" w:space="0" w:color="auto"/>
              <w:left w:val="nil"/>
              <w:bottom w:val="single" w:sz="4" w:space="0" w:color="auto"/>
              <w:right w:val="single" w:sz="4" w:space="0" w:color="auto"/>
            </w:tcBorders>
            <w:shd w:val="clear" w:color="auto" w:fill="C6EFCE"/>
            <w:noWrap/>
            <w:vAlign w:val="bottom"/>
          </w:tcPr>
          <w:p w14:paraId="5997D4B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1 974 438 067 EUR</w:t>
            </w:r>
          </w:p>
        </w:tc>
      </w:tr>
    </w:tbl>
    <w:p w14:paraId="730ABDAB"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p w14:paraId="366552C3" w14:textId="77777777" w:rsidR="00302FC1" w:rsidRPr="00AB26B3" w:rsidRDefault="00302FC1">
      <w:pPr>
        <w:keepNext/>
        <w:numPr>
          <w:ilvl w:val="1"/>
          <w:numId w:val="85"/>
        </w:numPr>
        <w:spacing w:before="40" w:after="0" w:line="259" w:lineRule="auto"/>
        <w:ind w:left="0"/>
        <w:contextualSpacing/>
        <w:jc w:val="both"/>
        <w:rPr>
          <w:rFonts w:ascii="Times New Roman" w:hAnsi="Times New Roman"/>
          <w:noProof/>
          <w:spacing w:val="-6"/>
          <w:sz w:val="24"/>
          <w:lang w:val="sk-SK"/>
        </w:rPr>
        <w:sectPr w:rsidR="00302FC1" w:rsidRPr="00AB26B3" w:rsidSect="00315FC0">
          <w:headerReference w:type="default" r:id="rId384"/>
          <w:footerReference w:type="default" r:id="rId385"/>
          <w:pgSz w:w="11906" w:h="16838"/>
          <w:pgMar w:top="1417" w:right="1417" w:bottom="1417" w:left="1417" w:header="708" w:footer="708" w:gutter="0"/>
          <w:cols w:space="708"/>
          <w:docGrid w:linePitch="360"/>
        </w:sectPr>
      </w:pPr>
    </w:p>
    <w:p w14:paraId="605BE2B8" w14:textId="3D40D065" w:rsidR="00AB26B3" w:rsidRPr="00AB26B3" w:rsidRDefault="00D64F26">
      <w:pPr>
        <w:pStyle w:val="P68B1DB1-Normal5"/>
        <w:keepNext/>
        <w:numPr>
          <w:ilvl w:val="1"/>
          <w:numId w:val="85"/>
        </w:numPr>
        <w:spacing w:before="40" w:after="0" w:line="259" w:lineRule="auto"/>
        <w:ind w:left="0"/>
        <w:contextualSpacing/>
        <w:jc w:val="both"/>
        <w:rPr>
          <w:noProof/>
          <w:spacing w:val="-6"/>
          <w:lang w:val="sk-SK"/>
        </w:rPr>
      </w:pPr>
      <w:r w:rsidRPr="00AB26B3">
        <w:rPr>
          <w:noProof/>
          <w:spacing w:val="-6"/>
          <w:lang w:val="sk-SK"/>
        </w:rPr>
        <w:t xml:space="preserve"> Štvrtá žiadosť</w:t>
      </w:r>
      <w:r w:rsidR="00AB26B3" w:rsidRPr="00AB26B3">
        <w:rPr>
          <w:noProof/>
          <w:spacing w:val="-6"/>
          <w:lang w:val="sk-SK"/>
        </w:rPr>
        <w:t xml:space="preserve"> o </w:t>
      </w:r>
      <w:r w:rsidRPr="00AB26B3">
        <w:rPr>
          <w:noProof/>
          <w:spacing w:val="-6"/>
          <w:lang w:val="sk-SK"/>
        </w:rPr>
        <w:t>platbu (nenávratná podpora)</w:t>
      </w:r>
      <w:r w:rsidR="00AB26B3" w:rsidRPr="00AB26B3">
        <w:rPr>
          <w:noProof/>
          <w:spacing w:val="-6"/>
          <w:lang w:val="sk-SK"/>
        </w:rPr>
        <w:t>:</w:t>
      </w:r>
    </w:p>
    <w:p w14:paraId="77A50939" w14:textId="595D037E" w:rsidR="00302FC1" w:rsidRPr="00AB26B3" w:rsidRDefault="00302FC1">
      <w:pPr>
        <w:keepNext/>
        <w:spacing w:before="40" w:after="0" w:line="259" w:lineRule="auto"/>
        <w:contextualSpacing/>
        <w:jc w:val="both"/>
        <w:rPr>
          <w:rFonts w:ascii="Times New Roman" w:eastAsia="Times New Roman" w:hAnsi="Times New Roman" w:cs="Times New Roman"/>
          <w:i/>
          <w:noProof/>
          <w:color w:val="4F81BD"/>
          <w:spacing w:val="-6"/>
          <w:sz w:val="24"/>
          <w:lang w:val="sk-SK"/>
        </w:rPr>
      </w:pPr>
    </w:p>
    <w:tbl>
      <w:tblPr>
        <w:tblpPr w:leftFromText="180" w:rightFromText="180" w:vertAnchor="text" w:tblpX="-252" w:tblpY="1"/>
        <w:tblOverlap w:val="never"/>
        <w:tblW w:w="9595" w:type="dxa"/>
        <w:tblLayout w:type="fixed"/>
        <w:tblLook w:val="04A0" w:firstRow="1" w:lastRow="0" w:firstColumn="1" w:lastColumn="0" w:noHBand="0" w:noVBand="1"/>
      </w:tblPr>
      <w:tblGrid>
        <w:gridCol w:w="675"/>
        <w:gridCol w:w="5440"/>
        <w:gridCol w:w="1680"/>
        <w:gridCol w:w="1800"/>
      </w:tblGrid>
      <w:tr w:rsidR="00302FC1" w:rsidRPr="00AB26B3" w14:paraId="0F0D890D" w14:textId="77777777">
        <w:trPr>
          <w:trHeight w:val="906"/>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5FD3F5" w14:textId="1D68D79C"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4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4532869"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54205C9"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E4A7FD"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0217E7A8" w14:textId="77777777">
        <w:trPr>
          <w:trHeight w:val="269"/>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54F802E"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440" w:type="dxa"/>
            <w:vMerge/>
            <w:tcBorders>
              <w:left w:val="single" w:sz="4" w:space="0" w:color="auto"/>
              <w:right w:val="single" w:sz="4" w:space="0" w:color="auto"/>
            </w:tcBorders>
            <w:vAlign w:val="center"/>
            <w:hideMark/>
          </w:tcPr>
          <w:p w14:paraId="25F530FD"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4A65304D"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26FAE45F"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10D59648"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1ED505"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7</w:t>
            </w:r>
          </w:p>
        </w:tc>
        <w:tc>
          <w:tcPr>
            <w:tcW w:w="5440" w:type="dxa"/>
            <w:tcBorders>
              <w:top w:val="single" w:sz="4" w:space="0" w:color="auto"/>
              <w:left w:val="nil"/>
              <w:bottom w:val="single" w:sz="4" w:space="0" w:color="auto"/>
              <w:right w:val="single" w:sz="4" w:space="0" w:color="auto"/>
            </w:tcBorders>
            <w:shd w:val="clear" w:color="auto" w:fill="C6EFCE"/>
            <w:noWrap/>
            <w:vAlign w:val="center"/>
          </w:tcPr>
          <w:p w14:paraId="3BDF1B7A" w14:textId="47A96919"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 – 1.1. Power up – 16865_Reštrukturalizácia</w:t>
            </w:r>
            <w:r w:rsidR="00AB26B3" w:rsidRPr="00AB26B3">
              <w:rPr>
                <w:noProof/>
                <w:spacing w:val="-6"/>
                <w:lang w:val="sk-SK"/>
              </w:rPr>
              <w:t xml:space="preserve"> a </w:t>
            </w:r>
            <w:r w:rsidRPr="00AB26B3">
              <w:rPr>
                <w:noProof/>
                <w:spacing w:val="-6"/>
                <w:lang w:val="sk-SK"/>
              </w:rPr>
              <w:t>zvýšenie príjmov</w:t>
            </w:r>
            <w:r w:rsidR="00AB26B3" w:rsidRPr="00AB26B3">
              <w:rPr>
                <w:noProof/>
                <w:spacing w:val="-6"/>
                <w:lang w:val="sk-SK"/>
              </w:rPr>
              <w:t xml:space="preserve"> z </w:t>
            </w:r>
            <w:r w:rsidRPr="00AB26B3">
              <w:rPr>
                <w:noProof/>
                <w:spacing w:val="-6"/>
                <w:lang w:val="sk-SK"/>
              </w:rPr>
              <w:t>účtu KVET pre OZE</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792DEF0F"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7239072F"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Účet OZE – cieľ zvýšenia kapacity 2</w:t>
            </w:r>
          </w:p>
        </w:tc>
      </w:tr>
      <w:tr w:rsidR="00302FC1" w:rsidRPr="00AB26B3" w14:paraId="5BE3E3E2"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CF2F38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37</w:t>
            </w:r>
          </w:p>
        </w:tc>
        <w:tc>
          <w:tcPr>
            <w:tcW w:w="5440" w:type="dxa"/>
            <w:tcBorders>
              <w:top w:val="single" w:sz="4" w:space="0" w:color="auto"/>
              <w:left w:val="nil"/>
              <w:bottom w:val="single" w:sz="4" w:space="0" w:color="auto"/>
              <w:right w:val="single" w:sz="4" w:space="0" w:color="auto"/>
            </w:tcBorders>
            <w:shd w:val="clear" w:color="auto" w:fill="C6EFCE"/>
            <w:noWrap/>
            <w:vAlign w:val="center"/>
          </w:tcPr>
          <w:p w14:paraId="3F75D57E" w14:textId="753148E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16932_olympijské atletické centrum</w:t>
            </w:r>
            <w:r w:rsidR="00AB26B3" w:rsidRPr="00AB26B3">
              <w:rPr>
                <w:noProof/>
                <w:spacing w:val="-6"/>
                <w:lang w:val="sk-SK"/>
              </w:rPr>
              <w:t xml:space="preserve"> v </w:t>
            </w:r>
            <w:r w:rsidRPr="00AB26B3">
              <w:rPr>
                <w:noProof/>
                <w:spacing w:val="-6"/>
                <w:lang w:val="sk-SK"/>
              </w:rPr>
              <w:t>Aténach</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268C0D0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65DC9F9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OAKA – zadanie zákazky</w:t>
            </w:r>
          </w:p>
        </w:tc>
      </w:tr>
      <w:tr w:rsidR="00302FC1" w:rsidRPr="00AB26B3" w14:paraId="3706795B"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hideMark/>
          </w:tcPr>
          <w:p w14:paraId="50AA487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228</w:t>
            </w:r>
          </w:p>
        </w:tc>
        <w:tc>
          <w:tcPr>
            <w:tcW w:w="5440" w:type="dxa"/>
            <w:tcBorders>
              <w:top w:val="nil"/>
              <w:left w:val="nil"/>
              <w:bottom w:val="single" w:sz="4" w:space="0" w:color="auto"/>
              <w:right w:val="single" w:sz="4" w:space="0" w:color="auto"/>
            </w:tcBorders>
            <w:shd w:val="clear" w:color="auto" w:fill="C6EFCE"/>
            <w:noWrap/>
            <w:vAlign w:val="center"/>
          </w:tcPr>
          <w:p w14:paraId="2FABD920" w14:textId="0DBE961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16733_Zručnosti</w:t>
            </w:r>
            <w:r w:rsidR="00AB26B3" w:rsidRPr="00AB26B3">
              <w:rPr>
                <w:noProof/>
                <w:spacing w:val="-6"/>
                <w:lang w:val="sk-SK"/>
              </w:rPr>
              <w:t xml:space="preserve"> a </w:t>
            </w:r>
            <w:r w:rsidRPr="00AB26B3">
              <w:rPr>
                <w:noProof/>
                <w:spacing w:val="-6"/>
                <w:lang w:val="sk-SK"/>
              </w:rPr>
              <w:t>digitálne zručnosti sudcov</w:t>
            </w:r>
            <w:r w:rsidR="00AB26B3" w:rsidRPr="00AB26B3">
              <w:rPr>
                <w:noProof/>
                <w:spacing w:val="-6"/>
                <w:lang w:val="sk-SK"/>
              </w:rPr>
              <w:t xml:space="preserve"> a </w:t>
            </w:r>
            <w:r w:rsidRPr="00AB26B3">
              <w:rPr>
                <w:noProof/>
                <w:spacing w:val="-6"/>
                <w:lang w:val="sk-SK"/>
              </w:rPr>
              <w:t>justičných zamestnancov</w:t>
            </w:r>
          </w:p>
        </w:tc>
        <w:tc>
          <w:tcPr>
            <w:tcW w:w="1680" w:type="dxa"/>
            <w:tcBorders>
              <w:top w:val="nil"/>
              <w:left w:val="nil"/>
              <w:bottom w:val="single" w:sz="4" w:space="0" w:color="auto"/>
              <w:right w:val="single" w:sz="4" w:space="0" w:color="auto"/>
            </w:tcBorders>
            <w:shd w:val="clear" w:color="auto" w:fill="C6EFCE"/>
            <w:noWrap/>
            <w:vAlign w:val="center"/>
          </w:tcPr>
          <w:p w14:paraId="6EB561C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1800" w:type="dxa"/>
            <w:tcBorders>
              <w:top w:val="nil"/>
              <w:left w:val="nil"/>
              <w:bottom w:val="single" w:sz="4" w:space="0" w:color="auto"/>
              <w:right w:val="single" w:sz="4" w:space="0" w:color="auto"/>
            </w:tcBorders>
            <w:shd w:val="clear" w:color="auto" w:fill="C6EFCE"/>
            <w:noWrap/>
            <w:vAlign w:val="center"/>
          </w:tcPr>
          <w:p w14:paraId="3F764373" w14:textId="4B6F03D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Odborná príprava – sudcovia</w:t>
            </w:r>
            <w:r w:rsidR="00AB26B3" w:rsidRPr="00AB26B3">
              <w:rPr>
                <w:noProof/>
                <w:spacing w:val="-6"/>
                <w:lang w:val="sk-SK"/>
              </w:rPr>
              <w:t xml:space="preserve"> a </w:t>
            </w:r>
            <w:r w:rsidRPr="00AB26B3">
              <w:rPr>
                <w:noProof/>
                <w:spacing w:val="-6"/>
                <w:lang w:val="sk-SK"/>
              </w:rPr>
              <w:t>administratívni pracovníci</w:t>
            </w:r>
          </w:p>
        </w:tc>
      </w:tr>
      <w:tr w:rsidR="00302FC1" w:rsidRPr="00AB26B3" w14:paraId="0B5EF960"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0E6A651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w:t>
            </w:r>
          </w:p>
        </w:tc>
        <w:tc>
          <w:tcPr>
            <w:tcW w:w="5440" w:type="dxa"/>
            <w:tcBorders>
              <w:top w:val="nil"/>
              <w:left w:val="nil"/>
              <w:bottom w:val="single" w:sz="4" w:space="0" w:color="auto"/>
              <w:right w:val="single" w:sz="4" w:space="0" w:color="auto"/>
            </w:tcBorders>
            <w:shd w:val="clear" w:color="auto" w:fill="C6EFCE"/>
            <w:noWrap/>
            <w:vAlign w:val="center"/>
          </w:tcPr>
          <w:p w14:paraId="22B4CC58" w14:textId="29EF28D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Power up – 16870_Intervencie na prepojenie elektrických sietí ostrovov</w:t>
            </w:r>
            <w:r w:rsidR="00AB26B3" w:rsidRPr="00AB26B3">
              <w:rPr>
                <w:noProof/>
                <w:spacing w:val="-6"/>
                <w:lang w:val="sk-SK"/>
              </w:rPr>
              <w:t xml:space="preserve"> a </w:t>
            </w:r>
            <w:r w:rsidRPr="00AB26B3">
              <w:rPr>
                <w:noProof/>
                <w:spacing w:val="-6"/>
                <w:lang w:val="sk-SK"/>
              </w:rPr>
              <w:t>modernizáciu elektrickej siete</w:t>
            </w:r>
          </w:p>
        </w:tc>
        <w:tc>
          <w:tcPr>
            <w:tcW w:w="1680" w:type="dxa"/>
            <w:tcBorders>
              <w:top w:val="nil"/>
              <w:left w:val="nil"/>
              <w:bottom w:val="single" w:sz="4" w:space="0" w:color="auto"/>
              <w:right w:val="single" w:sz="4" w:space="0" w:color="auto"/>
            </w:tcBorders>
            <w:shd w:val="clear" w:color="auto" w:fill="C6EFCE"/>
            <w:noWrap/>
            <w:vAlign w:val="center"/>
          </w:tcPr>
          <w:p w14:paraId="0D100D2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BD5926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Prepojenie ostrovov – zadávanie zákaziek</w:t>
            </w:r>
          </w:p>
        </w:tc>
      </w:tr>
      <w:tr w:rsidR="00302FC1" w:rsidRPr="00AB26B3" w14:paraId="7F48ECAF"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55919DE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w:t>
            </w:r>
          </w:p>
        </w:tc>
        <w:tc>
          <w:tcPr>
            <w:tcW w:w="5440" w:type="dxa"/>
            <w:tcBorders>
              <w:top w:val="nil"/>
              <w:left w:val="nil"/>
              <w:bottom w:val="single" w:sz="4" w:space="0" w:color="auto"/>
              <w:right w:val="single" w:sz="4" w:space="0" w:color="auto"/>
            </w:tcBorders>
            <w:shd w:val="clear" w:color="auto" w:fill="C6EFCE"/>
            <w:noWrap/>
            <w:vAlign w:val="center"/>
          </w:tcPr>
          <w:p w14:paraId="4E64AD4B" w14:textId="07C255C0"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Power up – 16865_Reštrukturalizácia</w:t>
            </w:r>
            <w:r w:rsidR="00AB26B3" w:rsidRPr="00AB26B3">
              <w:rPr>
                <w:noProof/>
                <w:spacing w:val="-6"/>
                <w:lang w:val="sk-SK"/>
              </w:rPr>
              <w:t xml:space="preserve"> a </w:t>
            </w:r>
            <w:r w:rsidRPr="00AB26B3">
              <w:rPr>
                <w:noProof/>
                <w:spacing w:val="-6"/>
                <w:lang w:val="sk-SK"/>
              </w:rPr>
              <w:t>zvýšenie príjmov</w:t>
            </w:r>
            <w:r w:rsidR="00AB26B3" w:rsidRPr="00AB26B3">
              <w:rPr>
                <w:noProof/>
                <w:spacing w:val="-6"/>
                <w:lang w:val="sk-SK"/>
              </w:rPr>
              <w:t xml:space="preserve"> z </w:t>
            </w:r>
            <w:r w:rsidRPr="00AB26B3">
              <w:rPr>
                <w:noProof/>
                <w:spacing w:val="-6"/>
                <w:lang w:val="sk-SK"/>
              </w:rPr>
              <w:t>účtu KVET pre OZE</w:t>
            </w:r>
          </w:p>
        </w:tc>
        <w:tc>
          <w:tcPr>
            <w:tcW w:w="1680" w:type="dxa"/>
            <w:tcBorders>
              <w:top w:val="nil"/>
              <w:left w:val="nil"/>
              <w:bottom w:val="single" w:sz="4" w:space="0" w:color="auto"/>
              <w:right w:val="single" w:sz="4" w:space="0" w:color="auto"/>
            </w:tcBorders>
            <w:shd w:val="clear" w:color="auto" w:fill="C6EFCE"/>
            <w:noWrap/>
            <w:vAlign w:val="center"/>
          </w:tcPr>
          <w:p w14:paraId="0758FD6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800" w:type="dxa"/>
            <w:tcBorders>
              <w:top w:val="nil"/>
              <w:left w:val="nil"/>
              <w:bottom w:val="single" w:sz="4" w:space="0" w:color="auto"/>
              <w:right w:val="single" w:sz="4" w:space="0" w:color="auto"/>
            </w:tcBorders>
            <w:shd w:val="clear" w:color="auto" w:fill="C6EFCE"/>
            <w:noWrap/>
            <w:vAlign w:val="center"/>
          </w:tcPr>
          <w:p w14:paraId="7BFEF6A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Účet OZE – cieľ zvýšenia kapacity 1</w:t>
            </w:r>
          </w:p>
        </w:tc>
      </w:tr>
      <w:tr w:rsidR="00302FC1" w:rsidRPr="00AB26B3" w14:paraId="32260D19"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2BACE03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w:t>
            </w:r>
          </w:p>
        </w:tc>
        <w:tc>
          <w:tcPr>
            <w:tcW w:w="5440" w:type="dxa"/>
            <w:tcBorders>
              <w:top w:val="nil"/>
              <w:left w:val="nil"/>
              <w:bottom w:val="single" w:sz="4" w:space="0" w:color="auto"/>
              <w:right w:val="single" w:sz="4" w:space="0" w:color="auto"/>
            </w:tcBorders>
            <w:shd w:val="clear" w:color="auto" w:fill="C6EFCE"/>
            <w:noWrap/>
            <w:vAlign w:val="center"/>
          </w:tcPr>
          <w:p w14:paraId="2221CA4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Napájanie – 16926_Podpora inštalácie zásobníkových systémov na zvýšenie prieniku OZE</w:t>
            </w:r>
          </w:p>
        </w:tc>
        <w:tc>
          <w:tcPr>
            <w:tcW w:w="1680" w:type="dxa"/>
            <w:tcBorders>
              <w:top w:val="nil"/>
              <w:left w:val="nil"/>
              <w:bottom w:val="single" w:sz="4" w:space="0" w:color="auto"/>
              <w:right w:val="single" w:sz="4" w:space="0" w:color="auto"/>
            </w:tcBorders>
            <w:shd w:val="clear" w:color="auto" w:fill="C6EFCE"/>
            <w:noWrap/>
            <w:vAlign w:val="center"/>
          </w:tcPr>
          <w:p w14:paraId="055A307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002AFF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Skladovanie – zmluvy</w:t>
            </w:r>
          </w:p>
        </w:tc>
      </w:tr>
      <w:tr w:rsidR="00302FC1" w:rsidRPr="00AB26B3" w14:paraId="04F12F82"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78D1348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34</w:t>
            </w:r>
          </w:p>
        </w:tc>
        <w:tc>
          <w:tcPr>
            <w:tcW w:w="5440" w:type="dxa"/>
            <w:tcBorders>
              <w:top w:val="nil"/>
              <w:left w:val="nil"/>
              <w:bottom w:val="single" w:sz="4" w:space="0" w:color="auto"/>
              <w:right w:val="single" w:sz="4" w:space="0" w:color="auto"/>
            </w:tcBorders>
            <w:shd w:val="clear" w:color="auto" w:fill="C6EFCE"/>
            <w:noWrap/>
            <w:vAlign w:val="center"/>
          </w:tcPr>
          <w:p w14:paraId="0CD9CF1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xml:space="preserve">2 – 1.2. Renovujme – 16876_Energetická modernizácia budov verejného sektora </w:t>
            </w:r>
          </w:p>
        </w:tc>
        <w:tc>
          <w:tcPr>
            <w:tcW w:w="1680" w:type="dxa"/>
            <w:tcBorders>
              <w:top w:val="nil"/>
              <w:left w:val="nil"/>
              <w:bottom w:val="single" w:sz="4" w:space="0" w:color="auto"/>
              <w:right w:val="single" w:sz="4" w:space="0" w:color="auto"/>
            </w:tcBorders>
            <w:shd w:val="clear" w:color="auto" w:fill="C6EFCE"/>
            <w:noWrap/>
            <w:vAlign w:val="center"/>
          </w:tcPr>
          <w:p w14:paraId="1AEAF62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2F3257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Energetická efektívnosť verejných budov – schválené žiadosti</w:t>
            </w:r>
          </w:p>
        </w:tc>
      </w:tr>
      <w:tr w:rsidR="00302FC1" w:rsidRPr="00AB26B3" w14:paraId="24A9B466"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3B8499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61</w:t>
            </w:r>
          </w:p>
        </w:tc>
        <w:tc>
          <w:tcPr>
            <w:tcW w:w="5440" w:type="dxa"/>
            <w:tcBorders>
              <w:top w:val="nil"/>
              <w:left w:val="nil"/>
              <w:bottom w:val="single" w:sz="4" w:space="0" w:color="auto"/>
              <w:right w:val="single" w:sz="4" w:space="0" w:color="auto"/>
            </w:tcBorders>
            <w:shd w:val="clear" w:color="auto" w:fill="C6EFCE"/>
            <w:noWrap/>
            <w:vAlign w:val="center"/>
          </w:tcPr>
          <w:p w14:paraId="3FEB3A7C" w14:textId="218559A2" w:rsidR="00302FC1" w:rsidRPr="00AB26B3" w:rsidRDefault="00D64F26">
            <w:pPr>
              <w:keepNext/>
              <w:spacing w:before="40" w:after="0" w:line="240" w:lineRule="auto"/>
              <w:jc w:val="both"/>
              <w:rPr>
                <w:rFonts w:ascii="Times New Roman" w:eastAsia="Times New Roman" w:hAnsi="Times New Roman" w:cs="Times New Roman"/>
                <w:bCs/>
                <w:noProof/>
                <w:spacing w:val="-6"/>
                <w:sz w:val="18"/>
                <w:szCs w:val="18"/>
                <w:lang w:val="sk-SK"/>
              </w:rPr>
            </w:pPr>
            <w:r w:rsidRPr="00AB26B3">
              <w:rPr>
                <w:rFonts w:ascii="Times New Roman" w:hAnsi="Times New Roman"/>
                <w:noProof/>
                <w:spacing w:val="-6"/>
                <w:sz w:val="18"/>
                <w:lang w:val="sk-SK"/>
              </w:rPr>
              <w:t>4 – 1.4. Udržateľné využívanie zdrojov, odolnosť proti zmene klímy</w:t>
            </w:r>
            <w:r w:rsidR="00AB26B3" w:rsidRPr="00AB26B3">
              <w:rPr>
                <w:rFonts w:ascii="Times New Roman" w:hAnsi="Times New Roman"/>
                <w:noProof/>
                <w:spacing w:val="-6"/>
                <w:sz w:val="18"/>
                <w:lang w:val="sk-SK"/>
              </w:rPr>
              <w:t xml:space="preserve"> a </w:t>
            </w:r>
            <w:r w:rsidRPr="00AB26B3">
              <w:rPr>
                <w:rFonts w:ascii="Times New Roman" w:hAnsi="Times New Roman"/>
                <w:noProof/>
                <w:spacing w:val="-6"/>
                <w:sz w:val="18"/>
                <w:lang w:val="sk-SK"/>
              </w:rPr>
              <w:t>ochrana životného prostredia – 16849_Národný plán zalesňovania,</w:t>
            </w:r>
            <w:r w:rsidRPr="00AB26B3">
              <w:rPr>
                <w:rFonts w:ascii="Times New Roman" w:hAnsi="Times New Roman"/>
                <w:noProof/>
                <w:spacing w:val="-6"/>
                <w:lang w:val="sk-SK"/>
              </w:rPr>
              <w:t xml:space="preserve"> </w:t>
            </w:r>
            <w:r w:rsidRPr="00AB26B3">
              <w:rPr>
                <w:rFonts w:ascii="Times New Roman" w:hAnsi="Times New Roman"/>
                <w:noProof/>
                <w:spacing w:val="-6"/>
                <w:sz w:val="18"/>
                <w:lang w:val="sk-SK"/>
              </w:rPr>
              <w:t>obnova</w:t>
            </w:r>
            <w:r w:rsidR="00AB26B3" w:rsidRPr="00AB26B3">
              <w:rPr>
                <w:rFonts w:ascii="Times New Roman" w:hAnsi="Times New Roman"/>
                <w:noProof/>
                <w:spacing w:val="-6"/>
                <w:sz w:val="18"/>
                <w:lang w:val="sk-SK"/>
              </w:rPr>
              <w:t xml:space="preserve"> a </w:t>
            </w:r>
            <w:r w:rsidRPr="00AB26B3">
              <w:rPr>
                <w:rFonts w:ascii="Times New Roman" w:hAnsi="Times New Roman"/>
                <w:noProof/>
                <w:spacing w:val="-6"/>
                <w:sz w:val="18"/>
                <w:lang w:val="sk-SK"/>
              </w:rPr>
              <w:t>prevencia („antiNERO“), opatrenia proti erózii</w:t>
            </w:r>
            <w:r w:rsidR="00AB26B3" w:rsidRPr="00AB26B3">
              <w:rPr>
                <w:rFonts w:ascii="Times New Roman" w:hAnsi="Times New Roman"/>
                <w:noProof/>
                <w:spacing w:val="-6"/>
                <w:sz w:val="18"/>
                <w:lang w:val="sk-SK"/>
              </w:rPr>
              <w:t xml:space="preserve"> a </w:t>
            </w:r>
            <w:r w:rsidRPr="00AB26B3">
              <w:rPr>
                <w:rFonts w:ascii="Times New Roman" w:hAnsi="Times New Roman"/>
                <w:noProof/>
                <w:spacing w:val="-6"/>
                <w:sz w:val="18"/>
                <w:lang w:val="sk-SK"/>
              </w:rPr>
              <w:t>protipovodňová ochrana</w:t>
            </w:r>
          </w:p>
        </w:tc>
        <w:tc>
          <w:tcPr>
            <w:tcW w:w="1680" w:type="dxa"/>
            <w:tcBorders>
              <w:top w:val="nil"/>
              <w:left w:val="nil"/>
              <w:bottom w:val="single" w:sz="4" w:space="0" w:color="auto"/>
              <w:right w:val="single" w:sz="4" w:space="0" w:color="auto"/>
            </w:tcBorders>
            <w:shd w:val="clear" w:color="auto" w:fill="C6EFCE"/>
            <w:noWrap/>
            <w:vAlign w:val="center"/>
          </w:tcPr>
          <w:p w14:paraId="3E2F75B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DC40968" w14:textId="20D83202"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Opätovné zalesňovanie, obnova</w:t>
            </w:r>
            <w:r w:rsidR="00AB26B3" w:rsidRPr="00AB26B3">
              <w:rPr>
                <w:noProof/>
                <w:spacing w:val="-6"/>
                <w:lang w:val="sk-SK"/>
              </w:rPr>
              <w:t xml:space="preserve"> a </w:t>
            </w:r>
            <w:r w:rsidRPr="00AB26B3">
              <w:rPr>
                <w:noProof/>
                <w:spacing w:val="-6"/>
                <w:lang w:val="sk-SK"/>
              </w:rPr>
              <w:t>prevencia – zmluvy 1</w:t>
            </w:r>
          </w:p>
        </w:tc>
      </w:tr>
      <w:tr w:rsidR="00302FC1" w:rsidRPr="00AB26B3" w14:paraId="38FF076E"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1D7A69D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66</w:t>
            </w:r>
          </w:p>
        </w:tc>
        <w:tc>
          <w:tcPr>
            <w:tcW w:w="5440" w:type="dxa"/>
            <w:tcBorders>
              <w:top w:val="nil"/>
              <w:left w:val="nil"/>
              <w:bottom w:val="single" w:sz="4" w:space="0" w:color="auto"/>
              <w:right w:val="single" w:sz="4" w:space="0" w:color="auto"/>
            </w:tcBorders>
            <w:shd w:val="clear" w:color="auto" w:fill="C6EFCE"/>
            <w:noWrap/>
            <w:vAlign w:val="center"/>
          </w:tcPr>
          <w:p w14:paraId="7C3A830A" w14:textId="0F37A42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16850_Infraštruktúra zásobovania pitnou vodou</w:t>
            </w:r>
            <w:r w:rsidR="00AB26B3" w:rsidRPr="00AB26B3">
              <w:rPr>
                <w:noProof/>
                <w:spacing w:val="-6"/>
                <w:lang w:val="sk-SK"/>
              </w:rPr>
              <w:t xml:space="preserve"> a </w:t>
            </w:r>
            <w:r w:rsidRPr="00AB26B3">
              <w:rPr>
                <w:noProof/>
                <w:spacing w:val="-6"/>
                <w:lang w:val="sk-SK"/>
              </w:rPr>
              <w:t>úspora vody</w:t>
            </w:r>
          </w:p>
        </w:tc>
        <w:tc>
          <w:tcPr>
            <w:tcW w:w="1680" w:type="dxa"/>
            <w:tcBorders>
              <w:top w:val="nil"/>
              <w:left w:val="nil"/>
              <w:bottom w:val="single" w:sz="4" w:space="0" w:color="auto"/>
              <w:right w:val="single" w:sz="4" w:space="0" w:color="auto"/>
            </w:tcBorders>
            <w:shd w:val="clear" w:color="auto" w:fill="C6EFCE"/>
            <w:noWrap/>
            <w:vAlign w:val="center"/>
          </w:tcPr>
          <w:p w14:paraId="6BC20A1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0E0A377A" w14:textId="3EFB9A00"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Schvaľovanie žiadostí</w:t>
            </w:r>
            <w:r w:rsidR="00AB26B3" w:rsidRPr="00AB26B3">
              <w:rPr>
                <w:noProof/>
                <w:spacing w:val="-6"/>
                <w:lang w:val="sk-SK"/>
              </w:rPr>
              <w:t xml:space="preserve"> o </w:t>
            </w:r>
            <w:r w:rsidRPr="00AB26B3">
              <w:rPr>
                <w:noProof/>
                <w:spacing w:val="-6"/>
                <w:lang w:val="sk-SK"/>
              </w:rPr>
              <w:t>vodohospodárske infraštruktúry</w:t>
            </w:r>
          </w:p>
        </w:tc>
      </w:tr>
      <w:tr w:rsidR="00302FC1" w:rsidRPr="00AB26B3" w14:paraId="31FA452C"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2ACCE51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87</w:t>
            </w:r>
          </w:p>
        </w:tc>
        <w:tc>
          <w:tcPr>
            <w:tcW w:w="5440" w:type="dxa"/>
            <w:tcBorders>
              <w:top w:val="nil"/>
              <w:left w:val="nil"/>
              <w:bottom w:val="single" w:sz="4" w:space="0" w:color="auto"/>
              <w:right w:val="single" w:sz="4" w:space="0" w:color="auto"/>
            </w:tcBorders>
            <w:shd w:val="clear" w:color="auto" w:fill="C6EFCE"/>
            <w:noWrap/>
            <w:vAlign w:val="center"/>
          </w:tcPr>
          <w:p w14:paraId="117CC2C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 – 2.1. Connect – 16855_malé satelity</w:t>
            </w:r>
          </w:p>
        </w:tc>
        <w:tc>
          <w:tcPr>
            <w:tcW w:w="1680" w:type="dxa"/>
            <w:tcBorders>
              <w:top w:val="nil"/>
              <w:left w:val="nil"/>
              <w:bottom w:val="single" w:sz="4" w:space="0" w:color="auto"/>
              <w:right w:val="single" w:sz="4" w:space="0" w:color="auto"/>
            </w:tcBorders>
            <w:shd w:val="clear" w:color="auto" w:fill="C6EFCE"/>
            <w:noWrap/>
            <w:vAlign w:val="center"/>
          </w:tcPr>
          <w:p w14:paraId="7A48FA9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5CC2A32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(zákaziek) na projekt Malé satelity</w:t>
            </w:r>
          </w:p>
        </w:tc>
      </w:tr>
      <w:tr w:rsidR="00302FC1" w:rsidRPr="00AB26B3" w14:paraId="65879AC7"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693C6453"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135</w:t>
            </w:r>
          </w:p>
        </w:tc>
        <w:tc>
          <w:tcPr>
            <w:tcW w:w="5440" w:type="dxa"/>
            <w:tcBorders>
              <w:top w:val="nil"/>
              <w:left w:val="nil"/>
              <w:bottom w:val="single" w:sz="4" w:space="0" w:color="auto"/>
              <w:right w:val="single" w:sz="4" w:space="0" w:color="auto"/>
            </w:tcBorders>
            <w:shd w:val="clear" w:color="auto" w:fill="C6EFCE"/>
            <w:noWrap/>
            <w:vAlign w:val="center"/>
          </w:tcPr>
          <w:p w14:paraId="4CE1BEF6" w14:textId="758690D5"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16942_Digitálna transformácia verejných služieb zamestnanosti (DYPA)</w:t>
            </w:r>
          </w:p>
        </w:tc>
        <w:tc>
          <w:tcPr>
            <w:tcW w:w="1680" w:type="dxa"/>
            <w:tcBorders>
              <w:top w:val="nil"/>
              <w:left w:val="nil"/>
              <w:bottom w:val="single" w:sz="4" w:space="0" w:color="auto"/>
              <w:right w:val="single" w:sz="4" w:space="0" w:color="auto"/>
            </w:tcBorders>
            <w:shd w:val="clear" w:color="auto" w:fill="C6EFCE"/>
            <w:noWrap/>
            <w:vAlign w:val="center"/>
          </w:tcPr>
          <w:p w14:paraId="0B67B20C" w14:textId="77777777"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4261F33" w14:textId="358CA699"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DYPA Digitalizácia, uchovávanie</w:t>
            </w:r>
            <w:r w:rsidR="00AB26B3" w:rsidRPr="00AB26B3">
              <w:rPr>
                <w:noProof/>
                <w:spacing w:val="-6"/>
                <w:lang w:val="sk-SK"/>
              </w:rPr>
              <w:t xml:space="preserve"> a </w:t>
            </w:r>
            <w:r w:rsidRPr="00AB26B3">
              <w:rPr>
                <w:noProof/>
                <w:spacing w:val="-6"/>
                <w:lang w:val="sk-SK"/>
              </w:rPr>
              <w:t>archivácia archívov</w:t>
            </w:r>
          </w:p>
        </w:tc>
      </w:tr>
      <w:tr w:rsidR="00302FC1" w:rsidRPr="00AB26B3" w14:paraId="34366836"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1E49A76D"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143</w:t>
            </w:r>
          </w:p>
        </w:tc>
        <w:tc>
          <w:tcPr>
            <w:tcW w:w="5440" w:type="dxa"/>
            <w:tcBorders>
              <w:top w:val="nil"/>
              <w:left w:val="nil"/>
              <w:bottom w:val="single" w:sz="4" w:space="0" w:color="auto"/>
              <w:right w:val="single" w:sz="4" w:space="0" w:color="auto"/>
            </w:tcBorders>
            <w:shd w:val="clear" w:color="auto" w:fill="C6EFCE"/>
            <w:noWrap/>
            <w:vAlign w:val="center"/>
          </w:tcPr>
          <w:p w14:paraId="0AA8BFFE" w14:textId="1950C34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16792_Zručnosti, rekvalifikácia</w:t>
            </w:r>
            <w:r w:rsidR="00AB26B3" w:rsidRPr="00AB26B3">
              <w:rPr>
                <w:noProof/>
                <w:spacing w:val="-6"/>
                <w:lang w:val="sk-SK"/>
              </w:rPr>
              <w:t xml:space="preserve"> a </w:t>
            </w:r>
            <w:r w:rsidRPr="00AB26B3">
              <w:rPr>
                <w:noProof/>
                <w:spacing w:val="-6"/>
                <w:lang w:val="sk-SK"/>
              </w:rPr>
              <w:t>zvyšovanie úrovne zručností pracovnej sily prostredníctvom reformovaného modelu odbornej prípravy (Reforma odborného vzdelávania</w:t>
            </w:r>
            <w:r w:rsidR="00AB26B3" w:rsidRPr="00AB26B3">
              <w:rPr>
                <w:noProof/>
                <w:spacing w:val="-6"/>
                <w:lang w:val="sk-SK"/>
              </w:rPr>
              <w:t xml:space="preserve"> a </w:t>
            </w:r>
            <w:r w:rsidRPr="00AB26B3">
              <w:rPr>
                <w:noProof/>
                <w:spacing w:val="-6"/>
                <w:lang w:val="sk-SK"/>
              </w:rPr>
              <w:t>prípravy)</w:t>
            </w:r>
          </w:p>
        </w:tc>
        <w:tc>
          <w:tcPr>
            <w:tcW w:w="1680" w:type="dxa"/>
            <w:tcBorders>
              <w:top w:val="nil"/>
              <w:left w:val="nil"/>
              <w:bottom w:val="single" w:sz="4" w:space="0" w:color="auto"/>
              <w:right w:val="single" w:sz="4" w:space="0" w:color="auto"/>
            </w:tcBorders>
            <w:shd w:val="clear" w:color="auto" w:fill="C6EFCE"/>
            <w:noWrap/>
            <w:vAlign w:val="center"/>
          </w:tcPr>
          <w:p w14:paraId="06DA1A0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824BB6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na systém kontroly kvality OVP</w:t>
            </w:r>
          </w:p>
        </w:tc>
      </w:tr>
      <w:tr w:rsidR="00302FC1" w:rsidRPr="00AB26B3" w14:paraId="0A029D9A"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2648BAF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154</w:t>
            </w:r>
          </w:p>
        </w:tc>
        <w:tc>
          <w:tcPr>
            <w:tcW w:w="5440" w:type="dxa"/>
            <w:tcBorders>
              <w:top w:val="nil"/>
              <w:left w:val="nil"/>
              <w:bottom w:val="single" w:sz="4" w:space="0" w:color="auto"/>
              <w:right w:val="single" w:sz="4" w:space="0" w:color="auto"/>
            </w:tcBorders>
            <w:shd w:val="clear" w:color="auto" w:fill="C6EFCE"/>
            <w:noWrap/>
            <w:vAlign w:val="center"/>
          </w:tcPr>
          <w:p w14:paraId="4F390C97" w14:textId="7C7FDD9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680" w:type="dxa"/>
            <w:tcBorders>
              <w:top w:val="nil"/>
              <w:left w:val="nil"/>
              <w:bottom w:val="single" w:sz="4" w:space="0" w:color="auto"/>
              <w:right w:val="single" w:sz="4" w:space="0" w:color="auto"/>
            </w:tcBorders>
            <w:shd w:val="clear" w:color="auto" w:fill="C6EFCE"/>
            <w:noWrap/>
            <w:vAlign w:val="center"/>
          </w:tcPr>
          <w:p w14:paraId="5AA4D08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800" w:type="dxa"/>
            <w:tcBorders>
              <w:top w:val="nil"/>
              <w:left w:val="nil"/>
              <w:bottom w:val="single" w:sz="4" w:space="0" w:color="auto"/>
              <w:right w:val="single" w:sz="4" w:space="0" w:color="auto"/>
            </w:tcBorders>
            <w:shd w:val="clear" w:color="auto" w:fill="C6EFCE"/>
            <w:noWrap/>
            <w:vAlign w:val="center"/>
          </w:tcPr>
          <w:p w14:paraId="7FE186F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Zníženie spätne získaných prostriedkov 50000000 – krok 1</w:t>
            </w:r>
          </w:p>
        </w:tc>
      </w:tr>
      <w:tr w:rsidR="00302FC1" w:rsidRPr="00AB26B3" w14:paraId="7E522BAE"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2164CC8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203</w:t>
            </w:r>
          </w:p>
        </w:tc>
        <w:tc>
          <w:tcPr>
            <w:tcW w:w="5440" w:type="dxa"/>
            <w:tcBorders>
              <w:top w:val="nil"/>
              <w:left w:val="nil"/>
              <w:bottom w:val="single" w:sz="4" w:space="0" w:color="auto"/>
              <w:right w:val="single" w:sz="4" w:space="0" w:color="auto"/>
            </w:tcBorders>
            <w:shd w:val="clear" w:color="auto" w:fill="C6EFCE"/>
            <w:noWrap/>
            <w:vAlign w:val="center"/>
          </w:tcPr>
          <w:p w14:paraId="330717A2" w14:textId="11E3377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680" w:type="dxa"/>
            <w:tcBorders>
              <w:top w:val="nil"/>
              <w:left w:val="nil"/>
              <w:bottom w:val="single" w:sz="4" w:space="0" w:color="auto"/>
              <w:right w:val="single" w:sz="4" w:space="0" w:color="auto"/>
            </w:tcBorders>
            <w:shd w:val="clear" w:color="auto" w:fill="C6EFCE"/>
            <w:noWrap/>
            <w:vAlign w:val="center"/>
          </w:tcPr>
          <w:p w14:paraId="32226B5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6D7D632A" w14:textId="649B4BAA"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Upravovanie kódov pre daň</w:t>
            </w:r>
            <w:r w:rsidR="00AB26B3" w:rsidRPr="00AB26B3">
              <w:rPr>
                <w:noProof/>
                <w:spacing w:val="-6"/>
                <w:lang w:val="sk-SK"/>
              </w:rPr>
              <w:t xml:space="preserve"> z </w:t>
            </w:r>
            <w:r w:rsidRPr="00AB26B3">
              <w:rPr>
                <w:noProof/>
                <w:spacing w:val="-6"/>
                <w:lang w:val="sk-SK"/>
              </w:rPr>
              <w:t>príjmu</w:t>
            </w:r>
            <w:r w:rsidR="00AB26B3" w:rsidRPr="00AB26B3">
              <w:rPr>
                <w:noProof/>
                <w:spacing w:val="-6"/>
                <w:lang w:val="sk-SK"/>
              </w:rPr>
              <w:t xml:space="preserve"> a </w:t>
            </w:r>
            <w:r w:rsidRPr="00AB26B3">
              <w:rPr>
                <w:noProof/>
                <w:spacing w:val="-6"/>
                <w:lang w:val="sk-SK"/>
              </w:rPr>
              <w:t>daňové režimy</w:t>
            </w:r>
          </w:p>
        </w:tc>
      </w:tr>
      <w:tr w:rsidR="00302FC1" w:rsidRPr="00AB26B3" w14:paraId="6B03D842"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162A1E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229</w:t>
            </w:r>
          </w:p>
        </w:tc>
        <w:tc>
          <w:tcPr>
            <w:tcW w:w="5440" w:type="dxa"/>
            <w:tcBorders>
              <w:top w:val="nil"/>
              <w:left w:val="nil"/>
              <w:bottom w:val="single" w:sz="4" w:space="0" w:color="auto"/>
              <w:right w:val="single" w:sz="4" w:space="0" w:color="auto"/>
            </w:tcBorders>
            <w:shd w:val="clear" w:color="auto" w:fill="C6EFCE"/>
            <w:noWrap/>
            <w:vAlign w:val="center"/>
          </w:tcPr>
          <w:p w14:paraId="2FEAFAB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14 – 4.3. Zlepšiť efektívnosť justičného systému – 16727 Digitálna transformácia justície (elektronická justícia)</w:t>
            </w:r>
          </w:p>
        </w:tc>
        <w:tc>
          <w:tcPr>
            <w:tcW w:w="1680" w:type="dxa"/>
            <w:tcBorders>
              <w:top w:val="nil"/>
              <w:left w:val="nil"/>
              <w:bottom w:val="single" w:sz="4" w:space="0" w:color="auto"/>
              <w:right w:val="single" w:sz="4" w:space="0" w:color="auto"/>
            </w:tcBorders>
            <w:shd w:val="clear" w:color="auto" w:fill="C6EFCE"/>
            <w:noWrap/>
            <w:vAlign w:val="center"/>
          </w:tcPr>
          <w:p w14:paraId="64A0C40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068D04F5" w14:textId="453E0042"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Modernizácia záznamových systémov</w:t>
            </w:r>
            <w:r w:rsidR="00AB26B3" w:rsidRPr="00AB26B3">
              <w:rPr>
                <w:noProof/>
                <w:spacing w:val="-6"/>
                <w:lang w:val="sk-SK"/>
              </w:rPr>
              <w:t xml:space="preserve"> a </w:t>
            </w:r>
            <w:r w:rsidRPr="00AB26B3">
              <w:rPr>
                <w:noProof/>
                <w:spacing w:val="-6"/>
                <w:lang w:val="sk-SK"/>
              </w:rPr>
              <w:t>IT justičných systémov</w:t>
            </w:r>
          </w:p>
        </w:tc>
      </w:tr>
      <w:tr w:rsidR="00302FC1" w:rsidRPr="00AB26B3" w14:paraId="4411DFD8"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0D8C511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230</w:t>
            </w:r>
          </w:p>
        </w:tc>
        <w:tc>
          <w:tcPr>
            <w:tcW w:w="5440" w:type="dxa"/>
            <w:tcBorders>
              <w:top w:val="nil"/>
              <w:left w:val="nil"/>
              <w:bottom w:val="single" w:sz="4" w:space="0" w:color="auto"/>
              <w:right w:val="single" w:sz="4" w:space="0" w:color="auto"/>
            </w:tcBorders>
            <w:shd w:val="clear" w:color="auto" w:fill="C6EFCE"/>
            <w:noWrap/>
            <w:vAlign w:val="center"/>
          </w:tcPr>
          <w:p w14:paraId="5B0FB59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14 – 4.3. Zlepšiť efektívnosť justičného systému – 16575 Urýchlenie výkonu spravodlivosti</w:t>
            </w:r>
          </w:p>
        </w:tc>
        <w:tc>
          <w:tcPr>
            <w:tcW w:w="1680" w:type="dxa"/>
            <w:tcBorders>
              <w:top w:val="nil"/>
              <w:left w:val="nil"/>
              <w:bottom w:val="single" w:sz="4" w:space="0" w:color="auto"/>
              <w:right w:val="single" w:sz="4" w:space="0" w:color="auto"/>
            </w:tcBorders>
            <w:shd w:val="clear" w:color="auto" w:fill="C6EFCE"/>
            <w:noWrap/>
            <w:vAlign w:val="center"/>
          </w:tcPr>
          <w:p w14:paraId="04B68B0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6A01046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Nadobudnutie účinnosti – nástroj na vykonávanie úloh súdnych úradníkov</w:t>
            </w:r>
          </w:p>
        </w:tc>
      </w:tr>
      <w:tr w:rsidR="00302FC1" w:rsidRPr="00AB26B3" w14:paraId="32B42A5B"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7CC53CC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231</w:t>
            </w:r>
          </w:p>
        </w:tc>
        <w:tc>
          <w:tcPr>
            <w:tcW w:w="5440" w:type="dxa"/>
            <w:tcBorders>
              <w:top w:val="nil"/>
              <w:left w:val="nil"/>
              <w:bottom w:val="single" w:sz="4" w:space="0" w:color="auto"/>
              <w:right w:val="single" w:sz="4" w:space="0" w:color="auto"/>
            </w:tcBorders>
            <w:shd w:val="clear" w:color="auto" w:fill="C6EFCE"/>
            <w:noWrap/>
            <w:vAlign w:val="center"/>
          </w:tcPr>
          <w:p w14:paraId="35BA94C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14 – 4.3. Zlepšiť efektívnosť justičného systému – 16292_Nové justičné budovy</w:t>
            </w:r>
          </w:p>
        </w:tc>
        <w:tc>
          <w:tcPr>
            <w:tcW w:w="1680" w:type="dxa"/>
            <w:tcBorders>
              <w:top w:val="nil"/>
              <w:left w:val="nil"/>
              <w:bottom w:val="single" w:sz="4" w:space="0" w:color="auto"/>
              <w:right w:val="single" w:sz="4" w:space="0" w:color="auto"/>
            </w:tcBorders>
            <w:shd w:val="clear" w:color="auto" w:fill="C6EFCE"/>
            <w:noWrap/>
            <w:vAlign w:val="center"/>
          </w:tcPr>
          <w:p w14:paraId="51EAB6D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4761FF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Zmluvy </w:t>
            </w:r>
          </w:p>
        </w:tc>
      </w:tr>
      <w:tr w:rsidR="00302FC1" w:rsidRPr="00AB26B3" w14:paraId="3793859B"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44C9BBAD"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257</w:t>
            </w:r>
          </w:p>
        </w:tc>
        <w:tc>
          <w:tcPr>
            <w:tcW w:w="5440" w:type="dxa"/>
            <w:tcBorders>
              <w:top w:val="single" w:sz="4" w:space="0" w:color="auto"/>
              <w:left w:val="nil"/>
              <w:bottom w:val="single" w:sz="4" w:space="0" w:color="auto"/>
              <w:right w:val="single" w:sz="4" w:space="0" w:color="auto"/>
            </w:tcBorders>
            <w:shd w:val="clear" w:color="auto" w:fill="C6EFCE"/>
            <w:noWrap/>
            <w:vAlign w:val="center"/>
          </w:tcPr>
          <w:p w14:paraId="0A31B4CB" w14:textId="75CBF0D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16631_Zlepšenie bezpečnosti cestnej premávky</w:t>
            </w:r>
          </w:p>
        </w:tc>
        <w:tc>
          <w:tcPr>
            <w:tcW w:w="1680" w:type="dxa"/>
            <w:tcBorders>
              <w:top w:val="nil"/>
              <w:left w:val="nil"/>
              <w:bottom w:val="single" w:sz="4" w:space="0" w:color="auto"/>
              <w:right w:val="single" w:sz="4" w:space="0" w:color="auto"/>
            </w:tcBorders>
            <w:shd w:val="clear" w:color="auto" w:fill="C6EFCE"/>
            <w:noWrap/>
            <w:vAlign w:val="center"/>
          </w:tcPr>
          <w:p w14:paraId="2FF1742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5D022D5F" w14:textId="1A0484BA"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w:t>
            </w:r>
            <w:r w:rsidR="00AB26B3" w:rsidRPr="00AB26B3">
              <w:rPr>
                <w:noProof/>
                <w:spacing w:val="-6"/>
                <w:lang w:val="sk-SK"/>
              </w:rPr>
              <w:t xml:space="preserve"> v </w:t>
            </w:r>
            <w:r w:rsidRPr="00AB26B3">
              <w:rPr>
                <w:noProof/>
                <w:spacing w:val="-6"/>
                <w:lang w:val="sk-SK"/>
              </w:rPr>
              <w:t>oblasti bezpečnosti cestnej premávky – prvý súbor zákaziek</w:t>
            </w:r>
          </w:p>
        </w:tc>
      </w:tr>
      <w:tr w:rsidR="00302FC1" w:rsidRPr="00AB26B3" w14:paraId="1E6FC28A"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1795AF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260</w:t>
            </w:r>
          </w:p>
        </w:tc>
        <w:tc>
          <w:tcPr>
            <w:tcW w:w="5440" w:type="dxa"/>
            <w:tcBorders>
              <w:top w:val="nil"/>
              <w:left w:val="nil"/>
              <w:bottom w:val="single" w:sz="4" w:space="0" w:color="auto"/>
              <w:right w:val="single" w:sz="4" w:space="0" w:color="auto"/>
            </w:tcBorders>
            <w:shd w:val="clear" w:color="auto" w:fill="C6EFCE"/>
            <w:noWrap/>
            <w:vAlign w:val="center"/>
          </w:tcPr>
          <w:p w14:paraId="17A34611" w14:textId="6DF7C1E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16630_Cretan Northern Highway (Β.Ο.Α.Κ.)</w:t>
            </w:r>
          </w:p>
        </w:tc>
        <w:tc>
          <w:tcPr>
            <w:tcW w:w="1680" w:type="dxa"/>
            <w:tcBorders>
              <w:top w:val="nil"/>
              <w:left w:val="nil"/>
              <w:bottom w:val="single" w:sz="4" w:space="0" w:color="auto"/>
              <w:right w:val="single" w:sz="4" w:space="0" w:color="auto"/>
            </w:tcBorders>
            <w:shd w:val="clear" w:color="auto" w:fill="C6EFCE"/>
            <w:noWrap/>
            <w:vAlign w:val="center"/>
          </w:tcPr>
          <w:p w14:paraId="6DC3C49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0A5949C5" w14:textId="6E4F2B2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zákaziek na tri podprojekty spoločnosti BOAK</w:t>
            </w:r>
          </w:p>
        </w:tc>
      </w:tr>
      <w:tr w:rsidR="00302FC1" w:rsidRPr="00AB26B3" w14:paraId="08D0A794"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4086F5E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267</w:t>
            </w:r>
          </w:p>
        </w:tc>
        <w:tc>
          <w:tcPr>
            <w:tcW w:w="5440" w:type="dxa"/>
            <w:tcBorders>
              <w:top w:val="nil"/>
              <w:left w:val="nil"/>
              <w:bottom w:val="single" w:sz="4" w:space="0" w:color="auto"/>
              <w:right w:val="single" w:sz="4" w:space="0" w:color="auto"/>
            </w:tcBorders>
            <w:shd w:val="clear" w:color="auto" w:fill="C6EFCE"/>
            <w:noWrap/>
            <w:vAlign w:val="center"/>
          </w:tcPr>
          <w:p w14:paraId="1494B3F4" w14:textId="794F45AC"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16833_Vykonávanie prác EASA na nápravu dodržiavania predpisov</w:t>
            </w:r>
          </w:p>
        </w:tc>
        <w:tc>
          <w:tcPr>
            <w:tcW w:w="1680" w:type="dxa"/>
            <w:tcBorders>
              <w:top w:val="nil"/>
              <w:left w:val="nil"/>
              <w:bottom w:val="single" w:sz="4" w:space="0" w:color="auto"/>
              <w:right w:val="single" w:sz="4" w:space="0" w:color="auto"/>
            </w:tcBorders>
            <w:shd w:val="clear" w:color="auto" w:fill="C6EFCE"/>
            <w:noWrap/>
            <w:vAlign w:val="center"/>
          </w:tcPr>
          <w:p w14:paraId="27C855F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B975CD1" w14:textId="00E5D8F1"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na práce Agentúry Európskej únie pre bezpečnosť letectva (EASA) na regionálnych letiskách</w:t>
            </w:r>
          </w:p>
        </w:tc>
      </w:tr>
      <w:tr w:rsidR="00302FC1" w:rsidRPr="00AB26B3" w14:paraId="4D6D8ADE"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47B99096"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440" w:type="dxa"/>
            <w:tcBorders>
              <w:top w:val="single" w:sz="4" w:space="0" w:color="auto"/>
              <w:left w:val="nil"/>
              <w:bottom w:val="single" w:sz="4" w:space="0" w:color="auto"/>
              <w:right w:val="single" w:sz="4" w:space="0" w:color="auto"/>
            </w:tcBorders>
            <w:shd w:val="clear" w:color="auto" w:fill="C6EFCE"/>
            <w:noWrap/>
            <w:vAlign w:val="bottom"/>
          </w:tcPr>
          <w:p w14:paraId="34ECB0B2"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80" w:type="dxa"/>
            <w:tcBorders>
              <w:top w:val="single" w:sz="4" w:space="0" w:color="auto"/>
              <w:left w:val="nil"/>
              <w:bottom w:val="single" w:sz="4" w:space="0" w:color="auto"/>
              <w:right w:val="single" w:sz="4" w:space="0" w:color="auto"/>
            </w:tcBorders>
            <w:shd w:val="clear" w:color="auto" w:fill="C6EFCE"/>
            <w:noWrap/>
            <w:vAlign w:val="bottom"/>
          </w:tcPr>
          <w:p w14:paraId="77436D35"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Suma splátky</w:t>
            </w:r>
          </w:p>
        </w:tc>
        <w:tc>
          <w:tcPr>
            <w:tcW w:w="1800" w:type="dxa"/>
            <w:tcBorders>
              <w:top w:val="single" w:sz="4" w:space="0" w:color="auto"/>
              <w:left w:val="nil"/>
              <w:bottom w:val="single" w:sz="4" w:space="0" w:color="auto"/>
              <w:right w:val="single" w:sz="4" w:space="0" w:color="auto"/>
            </w:tcBorders>
            <w:shd w:val="clear" w:color="auto" w:fill="C6EFCE"/>
            <w:noWrap/>
            <w:vAlign w:val="bottom"/>
          </w:tcPr>
          <w:p w14:paraId="70C19492"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1 155 362 463 EUR</w:t>
            </w:r>
          </w:p>
        </w:tc>
      </w:tr>
    </w:tbl>
    <w:p w14:paraId="7E753ACA"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p w14:paraId="725D56E8" w14:textId="491753B2" w:rsidR="00302FC1" w:rsidRPr="00AB26B3" w:rsidRDefault="00D64F26">
      <w:pPr>
        <w:pStyle w:val="P68B1DB1-Normal5"/>
        <w:keepNext/>
        <w:numPr>
          <w:ilvl w:val="1"/>
          <w:numId w:val="85"/>
        </w:numPr>
        <w:spacing w:before="40" w:after="160" w:line="259" w:lineRule="auto"/>
        <w:ind w:left="0"/>
        <w:contextualSpacing/>
        <w:jc w:val="both"/>
        <w:rPr>
          <w:rFonts w:eastAsia="Times New Roman" w:cs="Times New Roman"/>
          <w:noProof/>
          <w:spacing w:val="-6"/>
          <w:lang w:val="sk-SK"/>
        </w:rPr>
      </w:pPr>
      <w:r w:rsidRPr="00AB26B3">
        <w:rPr>
          <w:noProof/>
          <w:spacing w:val="-6"/>
          <w:lang w:val="sk-SK"/>
        </w:rPr>
        <w:t>Piata žiadosť</w:t>
      </w:r>
      <w:r w:rsidR="00AB26B3" w:rsidRPr="00AB26B3">
        <w:rPr>
          <w:noProof/>
          <w:spacing w:val="-6"/>
          <w:lang w:val="sk-SK"/>
        </w:rPr>
        <w:t xml:space="preserve"> o </w:t>
      </w:r>
      <w:r w:rsidRPr="00AB26B3">
        <w:rPr>
          <w:noProof/>
          <w:spacing w:val="-6"/>
          <w:lang w:val="sk-SK"/>
        </w:rPr>
        <w:t>platbu (nenávratná podpora):</w:t>
      </w:r>
    </w:p>
    <w:p w14:paraId="01DC087B" w14:textId="77777777"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24"/>
          <w:lang w:val="sk-SK"/>
        </w:rPr>
      </w:pPr>
    </w:p>
    <w:tbl>
      <w:tblPr>
        <w:tblpPr w:leftFromText="180" w:rightFromText="180" w:vertAnchor="text" w:tblpX="-252" w:tblpY="1"/>
        <w:tblOverlap w:val="never"/>
        <w:tblW w:w="9595" w:type="dxa"/>
        <w:tblLayout w:type="fixed"/>
        <w:tblLook w:val="04A0" w:firstRow="1" w:lastRow="0" w:firstColumn="1" w:lastColumn="0" w:noHBand="0" w:noVBand="1"/>
      </w:tblPr>
      <w:tblGrid>
        <w:gridCol w:w="675"/>
        <w:gridCol w:w="5440"/>
        <w:gridCol w:w="1680"/>
        <w:gridCol w:w="1800"/>
      </w:tblGrid>
      <w:tr w:rsidR="00302FC1" w:rsidRPr="00AB26B3" w14:paraId="41B74D01" w14:textId="77777777">
        <w:trPr>
          <w:cantSplit/>
          <w:trHeight w:val="990"/>
          <w:tblHeader/>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B93DF6" w14:textId="0996494F"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8ADD6E" w14:textId="703E03B8"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5DC7B6" w14:textId="16218EA0"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8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C3699B" w14:textId="20694F71"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31A30764"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011F63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12</w:t>
            </w:r>
          </w:p>
        </w:tc>
        <w:tc>
          <w:tcPr>
            <w:tcW w:w="5440" w:type="dxa"/>
            <w:tcBorders>
              <w:top w:val="single" w:sz="4" w:space="0" w:color="auto"/>
              <w:left w:val="nil"/>
              <w:bottom w:val="single" w:sz="4" w:space="0" w:color="auto"/>
              <w:right w:val="single" w:sz="4" w:space="0" w:color="auto"/>
            </w:tcBorders>
            <w:shd w:val="clear" w:color="auto" w:fill="C6EFCE"/>
            <w:noWrap/>
            <w:vAlign w:val="center"/>
          </w:tcPr>
          <w:p w14:paraId="3C1F16BC" w14:textId="76E10E8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Napájanie – 16901_modernizácia siete HEDNO zameraná na zvýšenie odolnosti</w:t>
            </w:r>
            <w:r w:rsidR="00AB26B3" w:rsidRPr="00AB26B3">
              <w:rPr>
                <w:noProof/>
                <w:spacing w:val="-6"/>
                <w:lang w:val="sk-SK"/>
              </w:rPr>
              <w:t xml:space="preserve"> a </w:t>
            </w:r>
            <w:r w:rsidRPr="00AB26B3">
              <w:rPr>
                <w:noProof/>
                <w:spacing w:val="-6"/>
                <w:lang w:val="sk-SK"/>
              </w:rPr>
              <w:t>ochranu životného prostredia</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0FB80F1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2327318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HEDNO – zmluvy 1</w:t>
            </w:r>
          </w:p>
        </w:tc>
      </w:tr>
      <w:tr w:rsidR="00302FC1" w:rsidRPr="00AB26B3" w14:paraId="68BFF00C"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5F65E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13</w:t>
            </w:r>
          </w:p>
        </w:tc>
        <w:tc>
          <w:tcPr>
            <w:tcW w:w="5440" w:type="dxa"/>
            <w:tcBorders>
              <w:top w:val="single" w:sz="4" w:space="0" w:color="auto"/>
              <w:left w:val="nil"/>
              <w:bottom w:val="single" w:sz="4" w:space="0" w:color="auto"/>
              <w:right w:val="single" w:sz="4" w:space="0" w:color="auto"/>
            </w:tcBorders>
            <w:shd w:val="clear" w:color="auto" w:fill="C6EFCE"/>
            <w:noWrap/>
            <w:vAlign w:val="center"/>
          </w:tcPr>
          <w:p w14:paraId="24D49826" w14:textId="3F529560"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Napájanie – 16900_modernizácia nadzemnej siete HEDNO</w:t>
            </w:r>
            <w:r w:rsidR="00AB26B3" w:rsidRPr="00AB26B3">
              <w:rPr>
                <w:noProof/>
                <w:spacing w:val="-6"/>
                <w:lang w:val="sk-SK"/>
              </w:rPr>
              <w:t xml:space="preserve"> v </w:t>
            </w:r>
            <w:r w:rsidRPr="00AB26B3">
              <w:rPr>
                <w:noProof/>
                <w:spacing w:val="-6"/>
                <w:lang w:val="sk-SK"/>
              </w:rPr>
              <w:t>lesných oblastiach</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0ADDA5C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742C763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HEDNO – zmluvy 2</w:t>
            </w:r>
          </w:p>
        </w:tc>
      </w:tr>
      <w:tr w:rsidR="00302FC1" w:rsidRPr="00AB26B3" w14:paraId="7CD44F5B"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hideMark/>
          </w:tcPr>
          <w:p w14:paraId="2668F51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14</w:t>
            </w:r>
          </w:p>
        </w:tc>
        <w:tc>
          <w:tcPr>
            <w:tcW w:w="5440" w:type="dxa"/>
            <w:tcBorders>
              <w:top w:val="nil"/>
              <w:left w:val="nil"/>
              <w:bottom w:val="single" w:sz="4" w:space="0" w:color="auto"/>
              <w:right w:val="single" w:sz="4" w:space="0" w:color="auto"/>
            </w:tcBorders>
            <w:shd w:val="clear" w:color="auto" w:fill="C6EFCE"/>
            <w:noWrap/>
            <w:vAlign w:val="center"/>
          </w:tcPr>
          <w:p w14:paraId="238E7EEB" w14:textId="57D8DDA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Napájanie – 16899_Zvýšenie inštalovanej kapacity</w:t>
            </w:r>
            <w:r w:rsidR="00AB26B3" w:rsidRPr="00AB26B3">
              <w:rPr>
                <w:noProof/>
                <w:spacing w:val="-6"/>
                <w:lang w:val="sk-SK"/>
              </w:rPr>
              <w:t xml:space="preserve"> v </w:t>
            </w:r>
            <w:r w:rsidRPr="00AB26B3">
              <w:rPr>
                <w:noProof/>
                <w:spacing w:val="-6"/>
                <w:lang w:val="sk-SK"/>
              </w:rPr>
              <w:t>rozvodniach HV/MV gréckeho prevádzkovateľa distribučnej siete elektrickej energie (HEDNO) pre nové pripojenie OZE</w:t>
            </w:r>
          </w:p>
        </w:tc>
        <w:tc>
          <w:tcPr>
            <w:tcW w:w="1680" w:type="dxa"/>
            <w:tcBorders>
              <w:top w:val="nil"/>
              <w:left w:val="nil"/>
              <w:bottom w:val="single" w:sz="4" w:space="0" w:color="auto"/>
              <w:right w:val="single" w:sz="4" w:space="0" w:color="auto"/>
            </w:tcBorders>
            <w:shd w:val="clear" w:color="auto" w:fill="C6EFCE"/>
            <w:noWrap/>
            <w:vAlign w:val="center"/>
          </w:tcPr>
          <w:p w14:paraId="2CA7CCD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3C6B562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HEDNO – zmluvy 3</w:t>
            </w:r>
          </w:p>
        </w:tc>
      </w:tr>
      <w:tr w:rsidR="00302FC1" w:rsidRPr="00AB26B3" w14:paraId="0E8A51E6"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77F563A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23</w:t>
            </w:r>
          </w:p>
        </w:tc>
        <w:tc>
          <w:tcPr>
            <w:tcW w:w="5440" w:type="dxa"/>
            <w:tcBorders>
              <w:top w:val="nil"/>
              <w:left w:val="nil"/>
              <w:bottom w:val="single" w:sz="4" w:space="0" w:color="auto"/>
              <w:right w:val="single" w:sz="4" w:space="0" w:color="auto"/>
            </w:tcBorders>
            <w:shd w:val="clear" w:color="auto" w:fill="C6EFCE"/>
            <w:noWrap/>
            <w:vAlign w:val="center"/>
          </w:tcPr>
          <w:p w14:paraId="1BFDA30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16872_Energetická obnova obytných budov</w:t>
            </w:r>
          </w:p>
        </w:tc>
        <w:tc>
          <w:tcPr>
            <w:tcW w:w="1680" w:type="dxa"/>
            <w:tcBorders>
              <w:top w:val="nil"/>
              <w:left w:val="nil"/>
              <w:bottom w:val="single" w:sz="4" w:space="0" w:color="auto"/>
              <w:right w:val="single" w:sz="4" w:space="0" w:color="auto"/>
            </w:tcBorders>
            <w:shd w:val="clear" w:color="auto" w:fill="C6EFCE"/>
            <w:noWrap/>
            <w:vAlign w:val="center"/>
          </w:tcPr>
          <w:p w14:paraId="6C6388B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800" w:type="dxa"/>
            <w:tcBorders>
              <w:top w:val="nil"/>
              <w:left w:val="nil"/>
              <w:bottom w:val="single" w:sz="4" w:space="0" w:color="auto"/>
              <w:right w:val="single" w:sz="4" w:space="0" w:color="auto"/>
            </w:tcBorders>
            <w:shd w:val="clear" w:color="auto" w:fill="C6EFCE"/>
            <w:noWrap/>
            <w:vAlign w:val="center"/>
          </w:tcPr>
          <w:p w14:paraId="41810AD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Renovácia obytných budov – renovácia obytných budov #1</w:t>
            </w:r>
          </w:p>
        </w:tc>
      </w:tr>
      <w:tr w:rsidR="00302FC1" w:rsidRPr="00AB26B3" w14:paraId="4BD17C95"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6B748BF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28</w:t>
            </w:r>
          </w:p>
        </w:tc>
        <w:tc>
          <w:tcPr>
            <w:tcW w:w="5440" w:type="dxa"/>
            <w:tcBorders>
              <w:top w:val="nil"/>
              <w:left w:val="nil"/>
              <w:bottom w:val="single" w:sz="4" w:space="0" w:color="auto"/>
              <w:right w:val="single" w:sz="4" w:space="0" w:color="auto"/>
            </w:tcBorders>
            <w:shd w:val="clear" w:color="auto" w:fill="C6EFCE"/>
            <w:noWrap/>
            <w:vAlign w:val="center"/>
          </w:tcPr>
          <w:p w14:paraId="712A716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Renovate – 16879_Príprava mestských plánov pri vykonávaní reformy mestskej politiky</w:t>
            </w:r>
          </w:p>
        </w:tc>
        <w:tc>
          <w:tcPr>
            <w:tcW w:w="1680" w:type="dxa"/>
            <w:tcBorders>
              <w:top w:val="nil"/>
              <w:left w:val="nil"/>
              <w:bottom w:val="single" w:sz="4" w:space="0" w:color="auto"/>
              <w:right w:val="single" w:sz="4" w:space="0" w:color="auto"/>
            </w:tcBorders>
            <w:shd w:val="clear" w:color="auto" w:fill="C6EFCE"/>
            <w:noWrap/>
            <w:vAlign w:val="center"/>
          </w:tcPr>
          <w:p w14:paraId="044D3AD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1D6E30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Ocenenie za mestské plány</w:t>
            </w:r>
          </w:p>
        </w:tc>
      </w:tr>
      <w:tr w:rsidR="00302FC1" w:rsidRPr="00AB26B3" w14:paraId="6F92251E"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EA53A9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33</w:t>
            </w:r>
          </w:p>
        </w:tc>
        <w:tc>
          <w:tcPr>
            <w:tcW w:w="5440" w:type="dxa"/>
            <w:tcBorders>
              <w:top w:val="nil"/>
              <w:left w:val="nil"/>
              <w:bottom w:val="single" w:sz="4" w:space="0" w:color="auto"/>
              <w:right w:val="single" w:sz="4" w:space="0" w:color="auto"/>
            </w:tcBorders>
            <w:shd w:val="clear" w:color="auto" w:fill="C6EFCE"/>
            <w:noWrap/>
            <w:vAlign w:val="center"/>
          </w:tcPr>
          <w:p w14:paraId="63C4AFBB" w14:textId="3A74E0D8"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2 – 1.2. Renovujme – 16874_Energetika</w:t>
            </w:r>
            <w:r w:rsidR="00AB26B3" w:rsidRPr="00AB26B3">
              <w:rPr>
                <w:noProof/>
                <w:spacing w:val="-6"/>
                <w:lang w:val="sk-SK"/>
              </w:rPr>
              <w:t xml:space="preserve"> a </w:t>
            </w:r>
            <w:r w:rsidRPr="00AB26B3">
              <w:rPr>
                <w:noProof/>
                <w:spacing w:val="-6"/>
                <w:lang w:val="sk-SK"/>
              </w:rPr>
              <w:t>podnikanie</w:t>
            </w:r>
          </w:p>
        </w:tc>
        <w:tc>
          <w:tcPr>
            <w:tcW w:w="1680" w:type="dxa"/>
            <w:tcBorders>
              <w:top w:val="nil"/>
              <w:left w:val="nil"/>
              <w:bottom w:val="single" w:sz="4" w:space="0" w:color="auto"/>
              <w:right w:val="single" w:sz="4" w:space="0" w:color="auto"/>
            </w:tcBorders>
            <w:shd w:val="clear" w:color="auto" w:fill="C6EFCE"/>
            <w:noWrap/>
            <w:vAlign w:val="center"/>
          </w:tcPr>
          <w:p w14:paraId="0B9677B9"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67B9F11" w14:textId="127984E5"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Energetická efektívnosť</w:t>
            </w:r>
            <w:r w:rsidR="00AB26B3" w:rsidRPr="00AB26B3">
              <w:rPr>
                <w:noProof/>
                <w:spacing w:val="-6"/>
                <w:lang w:val="sk-SK"/>
              </w:rPr>
              <w:t xml:space="preserve"> v </w:t>
            </w:r>
            <w:r w:rsidRPr="00AB26B3">
              <w:rPr>
                <w:noProof/>
                <w:spacing w:val="-6"/>
                <w:lang w:val="sk-SK"/>
              </w:rPr>
              <w:t>súkromnom sektore – schválené žiadosti</w:t>
            </w:r>
          </w:p>
        </w:tc>
      </w:tr>
      <w:tr w:rsidR="00302FC1" w:rsidRPr="00AB26B3" w14:paraId="3455E6FB"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54A6D6D9"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38</w:t>
            </w:r>
          </w:p>
        </w:tc>
        <w:tc>
          <w:tcPr>
            <w:tcW w:w="5440" w:type="dxa"/>
            <w:tcBorders>
              <w:top w:val="nil"/>
              <w:left w:val="nil"/>
              <w:bottom w:val="single" w:sz="4" w:space="0" w:color="auto"/>
              <w:right w:val="single" w:sz="4" w:space="0" w:color="auto"/>
            </w:tcBorders>
            <w:shd w:val="clear" w:color="auto" w:fill="C6EFCE"/>
            <w:noWrap/>
            <w:vAlign w:val="center"/>
          </w:tcPr>
          <w:p w14:paraId="1F8D32DA" w14:textId="7E2B1530"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2 – 1.2. Renovujme – 16873_ Intervencie</w:t>
            </w:r>
            <w:r w:rsidR="00AB26B3" w:rsidRPr="00AB26B3">
              <w:rPr>
                <w:noProof/>
                <w:spacing w:val="-6"/>
                <w:lang w:val="sk-SK"/>
              </w:rPr>
              <w:t xml:space="preserve"> v </w:t>
            </w:r>
            <w:r w:rsidRPr="00AB26B3">
              <w:rPr>
                <w:noProof/>
                <w:spacing w:val="-6"/>
                <w:lang w:val="sk-SK"/>
              </w:rPr>
              <w:t>obytných oblastiach</w:t>
            </w:r>
            <w:r w:rsidR="00AB26B3" w:rsidRPr="00AB26B3">
              <w:rPr>
                <w:noProof/>
                <w:spacing w:val="-6"/>
                <w:lang w:val="sk-SK"/>
              </w:rPr>
              <w:t xml:space="preserve"> a </w:t>
            </w:r>
            <w:r w:rsidRPr="00AB26B3">
              <w:rPr>
                <w:noProof/>
                <w:spacing w:val="-6"/>
                <w:lang w:val="sk-SK"/>
              </w:rPr>
              <w:t>vo fonde budov</w:t>
            </w:r>
          </w:p>
        </w:tc>
        <w:tc>
          <w:tcPr>
            <w:tcW w:w="1680" w:type="dxa"/>
            <w:tcBorders>
              <w:top w:val="nil"/>
              <w:left w:val="nil"/>
              <w:bottom w:val="single" w:sz="4" w:space="0" w:color="auto"/>
              <w:right w:val="single" w:sz="4" w:space="0" w:color="auto"/>
            </w:tcBorders>
            <w:shd w:val="clear" w:color="auto" w:fill="C6EFCE"/>
            <w:noWrap/>
            <w:vAlign w:val="center"/>
          </w:tcPr>
          <w:p w14:paraId="06E49DE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0B897B8F"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Mestské intervencie – zadávanie zákaziek</w:t>
            </w:r>
          </w:p>
        </w:tc>
      </w:tr>
      <w:tr w:rsidR="00302FC1" w:rsidRPr="00AB26B3" w14:paraId="4D30A0C1"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5E8AF05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50</w:t>
            </w:r>
          </w:p>
        </w:tc>
        <w:tc>
          <w:tcPr>
            <w:tcW w:w="5440" w:type="dxa"/>
            <w:tcBorders>
              <w:top w:val="nil"/>
              <w:left w:val="nil"/>
              <w:bottom w:val="single" w:sz="4" w:space="0" w:color="auto"/>
              <w:right w:val="single" w:sz="4" w:space="0" w:color="auto"/>
            </w:tcBorders>
            <w:shd w:val="clear" w:color="auto" w:fill="C6EFCE"/>
            <w:noWrap/>
            <w:vAlign w:val="center"/>
          </w:tcPr>
          <w:p w14:paraId="13332C8C" w14:textId="7BB67C7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16831_Produc- E Green</w:t>
            </w:r>
          </w:p>
        </w:tc>
        <w:tc>
          <w:tcPr>
            <w:tcW w:w="1680" w:type="dxa"/>
            <w:tcBorders>
              <w:top w:val="nil"/>
              <w:left w:val="nil"/>
              <w:bottom w:val="single" w:sz="4" w:space="0" w:color="auto"/>
              <w:right w:val="single" w:sz="4" w:space="0" w:color="auto"/>
            </w:tcBorders>
            <w:shd w:val="clear" w:color="auto" w:fill="C6EFCE"/>
            <w:noWrap/>
            <w:vAlign w:val="center"/>
          </w:tcPr>
          <w:p w14:paraId="2D40C2C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287C8CC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Priemyselné jednotky – vybrané spoločnosti</w:t>
            </w:r>
          </w:p>
        </w:tc>
      </w:tr>
      <w:tr w:rsidR="00302FC1" w:rsidRPr="00AB26B3" w14:paraId="0BC4E565"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5D93E161"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59</w:t>
            </w:r>
          </w:p>
        </w:tc>
        <w:tc>
          <w:tcPr>
            <w:tcW w:w="5440" w:type="dxa"/>
            <w:tcBorders>
              <w:top w:val="nil"/>
              <w:left w:val="nil"/>
              <w:bottom w:val="single" w:sz="4" w:space="0" w:color="auto"/>
              <w:right w:val="single" w:sz="4" w:space="0" w:color="auto"/>
            </w:tcBorders>
            <w:shd w:val="clear" w:color="auto" w:fill="C6EFCE"/>
            <w:noWrap/>
            <w:vAlign w:val="center"/>
          </w:tcPr>
          <w:p w14:paraId="0D3A3B34" w14:textId="3FB8200C"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16772_Právny predpis</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 na vykonávanie udržateľného skládkovania</w:t>
            </w:r>
            <w:r w:rsidR="00AB26B3" w:rsidRPr="00AB26B3">
              <w:rPr>
                <w:noProof/>
                <w:spacing w:val="-6"/>
                <w:lang w:val="sk-SK"/>
              </w:rPr>
              <w:t xml:space="preserve"> a </w:t>
            </w:r>
            <w:r w:rsidRPr="00AB26B3">
              <w:rPr>
                <w:noProof/>
                <w:spacing w:val="-6"/>
                <w:lang w:val="sk-SK"/>
              </w:rPr>
              <w:t>recyklácie</w:t>
            </w:r>
          </w:p>
        </w:tc>
        <w:tc>
          <w:tcPr>
            <w:tcW w:w="1680" w:type="dxa"/>
            <w:tcBorders>
              <w:top w:val="nil"/>
              <w:left w:val="nil"/>
              <w:bottom w:val="single" w:sz="4" w:space="0" w:color="auto"/>
              <w:right w:val="single" w:sz="4" w:space="0" w:color="auto"/>
            </w:tcBorders>
            <w:shd w:val="clear" w:color="auto" w:fill="C6EFCE"/>
            <w:noWrap/>
            <w:vAlign w:val="center"/>
          </w:tcPr>
          <w:p w14:paraId="0DFE0220"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64A43CFF" w14:textId="74DCB172"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Zriadenie</w:t>
            </w:r>
            <w:r w:rsidR="00AB26B3" w:rsidRPr="00AB26B3">
              <w:rPr>
                <w:noProof/>
                <w:spacing w:val="-6"/>
                <w:lang w:val="sk-SK"/>
              </w:rPr>
              <w:t xml:space="preserve"> a </w:t>
            </w:r>
            <w:r w:rsidRPr="00AB26B3">
              <w:rPr>
                <w:noProof/>
                <w:spacing w:val="-6"/>
                <w:lang w:val="sk-SK"/>
              </w:rPr>
              <w:t>fungovanie regulačného orgánu pre nakladanie</w:t>
            </w:r>
            <w:r w:rsidR="00AB26B3" w:rsidRPr="00AB26B3">
              <w:rPr>
                <w:noProof/>
                <w:spacing w:val="-6"/>
                <w:lang w:val="sk-SK"/>
              </w:rPr>
              <w:t xml:space="preserve"> s </w:t>
            </w:r>
            <w:r w:rsidRPr="00AB26B3">
              <w:rPr>
                <w:noProof/>
                <w:spacing w:val="-6"/>
                <w:lang w:val="sk-SK"/>
              </w:rPr>
              <w:t>odpadom</w:t>
            </w:r>
          </w:p>
        </w:tc>
      </w:tr>
      <w:tr w:rsidR="00302FC1" w:rsidRPr="00AB26B3" w14:paraId="50FAC3D1"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1BA1169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60</w:t>
            </w:r>
          </w:p>
        </w:tc>
        <w:tc>
          <w:tcPr>
            <w:tcW w:w="5440" w:type="dxa"/>
            <w:tcBorders>
              <w:top w:val="nil"/>
              <w:left w:val="nil"/>
              <w:bottom w:val="single" w:sz="4" w:space="0" w:color="auto"/>
              <w:right w:val="single" w:sz="4" w:space="0" w:color="auto"/>
            </w:tcBorders>
            <w:shd w:val="clear" w:color="auto" w:fill="C6EFCE"/>
            <w:noWrap/>
            <w:vAlign w:val="center"/>
          </w:tcPr>
          <w:p w14:paraId="0DECF3A8" w14:textId="67171F6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16979_Zriadenie nového regulačného orgánu pre vodu</w:t>
            </w:r>
            <w:r w:rsidR="00AB26B3" w:rsidRPr="00AB26B3">
              <w:rPr>
                <w:noProof/>
                <w:spacing w:val="-6"/>
                <w:lang w:val="sk-SK"/>
              </w:rPr>
              <w:t xml:space="preserve"> a </w:t>
            </w:r>
            <w:r w:rsidRPr="00AB26B3">
              <w:rPr>
                <w:noProof/>
                <w:spacing w:val="-6"/>
                <w:lang w:val="sk-SK"/>
              </w:rPr>
              <w:t>odpadové vody</w:t>
            </w:r>
          </w:p>
        </w:tc>
        <w:tc>
          <w:tcPr>
            <w:tcW w:w="1680" w:type="dxa"/>
            <w:tcBorders>
              <w:top w:val="nil"/>
              <w:left w:val="nil"/>
              <w:bottom w:val="single" w:sz="4" w:space="0" w:color="auto"/>
              <w:right w:val="single" w:sz="4" w:space="0" w:color="auto"/>
            </w:tcBorders>
            <w:shd w:val="clear" w:color="auto" w:fill="C6EFCE"/>
            <w:noWrap/>
            <w:vAlign w:val="center"/>
          </w:tcPr>
          <w:p w14:paraId="564C221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41C58136" w14:textId="7ADF2D0B"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Zriadenie</w:t>
            </w:r>
            <w:r w:rsidR="00AB26B3" w:rsidRPr="00AB26B3">
              <w:rPr>
                <w:noProof/>
                <w:spacing w:val="-6"/>
                <w:lang w:val="sk-SK"/>
              </w:rPr>
              <w:t xml:space="preserve"> a </w:t>
            </w:r>
            <w:r w:rsidRPr="00AB26B3">
              <w:rPr>
                <w:noProof/>
                <w:spacing w:val="-6"/>
                <w:lang w:val="sk-SK"/>
              </w:rPr>
              <w:t>fungovanie regulačného orgánu pre hospodárenie</w:t>
            </w:r>
            <w:r w:rsidR="00AB26B3" w:rsidRPr="00AB26B3">
              <w:rPr>
                <w:noProof/>
                <w:spacing w:val="-6"/>
                <w:lang w:val="sk-SK"/>
              </w:rPr>
              <w:t xml:space="preserve"> s </w:t>
            </w:r>
            <w:r w:rsidRPr="00AB26B3">
              <w:rPr>
                <w:noProof/>
                <w:spacing w:val="-6"/>
                <w:lang w:val="sk-SK"/>
              </w:rPr>
              <w:t>vodami</w:t>
            </w:r>
          </w:p>
        </w:tc>
      </w:tr>
      <w:tr w:rsidR="00302FC1" w:rsidRPr="00AB26B3" w14:paraId="64F7E69B"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F37028A"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62</w:t>
            </w:r>
          </w:p>
        </w:tc>
        <w:tc>
          <w:tcPr>
            <w:tcW w:w="5440" w:type="dxa"/>
            <w:tcBorders>
              <w:top w:val="nil"/>
              <w:left w:val="nil"/>
              <w:bottom w:val="single" w:sz="4" w:space="0" w:color="auto"/>
              <w:right w:val="single" w:sz="4" w:space="0" w:color="auto"/>
            </w:tcBorders>
            <w:shd w:val="clear" w:color="auto" w:fill="C6EFCE"/>
            <w:noWrap/>
            <w:vAlign w:val="center"/>
          </w:tcPr>
          <w:p w14:paraId="3C694B43" w14:textId="4C7FFBA5"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16849_Národný plán zalesňovania, obnova</w:t>
            </w:r>
            <w:r w:rsidR="00AB26B3" w:rsidRPr="00AB26B3">
              <w:rPr>
                <w:noProof/>
                <w:spacing w:val="-6"/>
                <w:lang w:val="sk-SK"/>
              </w:rPr>
              <w:t xml:space="preserve"> a </w:t>
            </w:r>
            <w:r w:rsidRPr="00AB26B3">
              <w:rPr>
                <w:noProof/>
                <w:spacing w:val="-6"/>
                <w:lang w:val="sk-SK"/>
              </w:rPr>
              <w:t>prevencia („antiNERO“), opatrenia proti erózii</w:t>
            </w:r>
            <w:r w:rsidR="00AB26B3" w:rsidRPr="00AB26B3">
              <w:rPr>
                <w:noProof/>
                <w:spacing w:val="-6"/>
                <w:lang w:val="sk-SK"/>
              </w:rPr>
              <w:t xml:space="preserve"> a </w:t>
            </w:r>
            <w:r w:rsidRPr="00AB26B3">
              <w:rPr>
                <w:noProof/>
                <w:spacing w:val="-6"/>
                <w:lang w:val="sk-SK"/>
              </w:rPr>
              <w:t>protipovodňová ochrana</w:t>
            </w:r>
          </w:p>
        </w:tc>
        <w:tc>
          <w:tcPr>
            <w:tcW w:w="1680" w:type="dxa"/>
            <w:tcBorders>
              <w:top w:val="nil"/>
              <w:left w:val="nil"/>
              <w:bottom w:val="single" w:sz="4" w:space="0" w:color="auto"/>
              <w:right w:val="single" w:sz="4" w:space="0" w:color="auto"/>
            </w:tcBorders>
            <w:shd w:val="clear" w:color="auto" w:fill="C6EFCE"/>
            <w:noWrap/>
            <w:vAlign w:val="center"/>
          </w:tcPr>
          <w:p w14:paraId="2E792F18"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7A1078D1" w14:textId="5E70F8B0"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Opätovné zalesňovanie, obnova</w:t>
            </w:r>
            <w:r w:rsidR="00AB26B3" w:rsidRPr="00AB26B3">
              <w:rPr>
                <w:noProof/>
                <w:spacing w:val="-6"/>
                <w:lang w:val="sk-SK"/>
              </w:rPr>
              <w:t xml:space="preserve"> a </w:t>
            </w:r>
            <w:r w:rsidRPr="00AB26B3">
              <w:rPr>
                <w:noProof/>
                <w:spacing w:val="-6"/>
                <w:lang w:val="sk-SK"/>
              </w:rPr>
              <w:t>prevencia – zmluvy 2</w:t>
            </w:r>
          </w:p>
        </w:tc>
      </w:tr>
      <w:tr w:rsidR="00302FC1" w:rsidRPr="00AB26B3" w14:paraId="15C99C57" w14:textId="77777777">
        <w:trPr>
          <w:cantSplit/>
          <w:trHeight w:val="704"/>
          <w:tblHeader/>
        </w:trPr>
        <w:tc>
          <w:tcPr>
            <w:tcW w:w="67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8524EEA" w14:textId="4A9BBE13" w:rsidR="00302FC1" w:rsidRPr="00AB26B3" w:rsidRDefault="00D64F26">
            <w:pPr>
              <w:pStyle w:val="P68B1DB1-Normal14"/>
              <w:keepNext/>
              <w:spacing w:before="40" w:after="0" w:line="240" w:lineRule="auto"/>
              <w:jc w:val="both"/>
              <w:rPr>
                <w:noProof/>
                <w:spacing w:val="-6"/>
                <w:lang w:val="sk-SK"/>
              </w:rPr>
            </w:pPr>
            <w:r w:rsidRPr="00AB26B3">
              <w:rPr>
                <w:noProof/>
                <w:spacing w:val="-6"/>
                <w:lang w:val="sk-SK"/>
              </w:rPr>
              <w:t xml:space="preserve">A nasl. </w:t>
            </w:r>
            <w:r w:rsidRPr="00AB26B3">
              <w:rPr>
                <w:noProof/>
                <w:spacing w:val="-6"/>
                <w:lang w:val="sk-SK"/>
              </w:rPr>
              <w:br/>
              <w:t>Nie.</w:t>
            </w:r>
          </w:p>
        </w:tc>
        <w:tc>
          <w:tcPr>
            <w:tcW w:w="544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78AA36BA" w14:textId="53D7C8ED" w:rsidR="00302FC1" w:rsidRPr="00AB26B3" w:rsidRDefault="00D64F26">
            <w:pPr>
              <w:pStyle w:val="P68B1DB1-Normal10"/>
              <w:keepNext/>
              <w:spacing w:before="40" w:after="0" w:line="240" w:lineRule="auto"/>
              <w:jc w:val="both"/>
              <w:rPr>
                <w:noProof/>
                <w:spacing w:val="-6"/>
                <w:lang w:val="sk-SK"/>
              </w:rPr>
            </w:pPr>
            <w:r w:rsidRPr="00AB26B3">
              <w:rPr>
                <w:noProof/>
                <w:spacing w:val="-6"/>
                <w:lang w:val="sk-SK"/>
              </w:rPr>
              <w:t>Súvisiace opatrenie (reforma alebo investícia)</w:t>
            </w:r>
          </w:p>
        </w:tc>
        <w:tc>
          <w:tcPr>
            <w:tcW w:w="168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350287F7" w14:textId="184406C3" w:rsidR="00302FC1" w:rsidRPr="00AB26B3" w:rsidRDefault="00D64F26">
            <w:pPr>
              <w:pStyle w:val="P68B1DB1-Normal10"/>
              <w:keepNext/>
              <w:spacing w:before="40" w:after="0" w:line="240" w:lineRule="auto"/>
              <w:jc w:val="both"/>
              <w:rPr>
                <w:noProof/>
                <w:spacing w:val="-6"/>
                <w:lang w:val="sk-SK"/>
              </w:rPr>
            </w:pPr>
            <w:r w:rsidRPr="00AB26B3">
              <w:rPr>
                <w:noProof/>
                <w:spacing w:val="-6"/>
                <w:lang w:val="sk-SK"/>
              </w:rPr>
              <w:t>Míľnik/cieľ</w:t>
            </w:r>
          </w:p>
        </w:tc>
        <w:tc>
          <w:tcPr>
            <w:tcW w:w="180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3D26D517" w14:textId="04C43871" w:rsidR="00302FC1" w:rsidRPr="00AB26B3" w:rsidRDefault="00D64F26">
            <w:pPr>
              <w:pStyle w:val="P68B1DB1-Normal10"/>
              <w:keepNext/>
              <w:spacing w:before="40" w:after="0" w:line="240" w:lineRule="auto"/>
              <w:jc w:val="both"/>
              <w:rPr>
                <w:noProof/>
                <w:spacing w:val="-6"/>
                <w:lang w:val="sk-SK"/>
              </w:rPr>
            </w:pPr>
            <w:r w:rsidRPr="00AB26B3">
              <w:rPr>
                <w:noProof/>
                <w:spacing w:val="-6"/>
                <w:lang w:val="sk-SK"/>
              </w:rPr>
              <w:t>Názov</w:t>
            </w:r>
          </w:p>
        </w:tc>
      </w:tr>
      <w:tr w:rsidR="00302FC1" w:rsidRPr="00AB26B3" w14:paraId="1F77A8F4"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56ABB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68</w:t>
            </w:r>
          </w:p>
        </w:tc>
        <w:tc>
          <w:tcPr>
            <w:tcW w:w="54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074CEC" w14:textId="20FFADB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16846_ Infraštruktúra nakladania</w:t>
            </w:r>
            <w:r w:rsidR="00AB26B3" w:rsidRPr="00AB26B3">
              <w:rPr>
                <w:noProof/>
                <w:spacing w:val="-6"/>
                <w:lang w:val="sk-SK"/>
              </w:rPr>
              <w:t xml:space="preserve"> s </w:t>
            </w:r>
            <w:r w:rsidRPr="00AB26B3">
              <w:rPr>
                <w:noProof/>
                <w:spacing w:val="-6"/>
                <w:lang w:val="sk-SK"/>
              </w:rPr>
              <w:t>komunálnymi odpadovými vodami</w:t>
            </w:r>
            <w:r w:rsidR="00AB26B3" w:rsidRPr="00AB26B3">
              <w:rPr>
                <w:noProof/>
                <w:spacing w:val="-6"/>
                <w:lang w:val="sk-SK"/>
              </w:rPr>
              <w:t xml:space="preserve"> a </w:t>
            </w:r>
            <w:r w:rsidRPr="00AB26B3">
              <w:rPr>
                <w:noProof/>
                <w:spacing w:val="-6"/>
                <w:lang w:val="sk-SK"/>
              </w:rPr>
              <w:t>kalmi</w:t>
            </w:r>
            <w:r w:rsidR="00AB26B3" w:rsidRPr="00AB26B3">
              <w:rPr>
                <w:noProof/>
                <w:spacing w:val="-6"/>
                <w:lang w:val="sk-SK"/>
              </w:rPr>
              <w:t xml:space="preserve"> z </w:t>
            </w:r>
            <w:r w:rsidRPr="00AB26B3">
              <w:rPr>
                <w:noProof/>
                <w:spacing w:val="-6"/>
                <w:lang w:val="sk-SK"/>
              </w:rPr>
              <w:t>čistenia odpadových vôd</w:t>
            </w:r>
          </w:p>
        </w:tc>
        <w:tc>
          <w:tcPr>
            <w:tcW w:w="16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1EDCB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06304D" w14:textId="2C175D54"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Oznámenie</w:t>
            </w:r>
            <w:r w:rsidR="00AB26B3" w:rsidRPr="00AB26B3">
              <w:rPr>
                <w:noProof/>
                <w:spacing w:val="-6"/>
                <w:lang w:val="sk-SK"/>
              </w:rPr>
              <w:t xml:space="preserve"> o </w:t>
            </w:r>
            <w:r w:rsidRPr="00AB26B3">
              <w:rPr>
                <w:noProof/>
                <w:spacing w:val="-6"/>
                <w:lang w:val="sk-SK"/>
              </w:rPr>
              <w:t>zadaní zákazky na projekty týkajúce sa odpadových vôd</w:t>
            </w:r>
          </w:p>
        </w:tc>
      </w:tr>
      <w:tr w:rsidR="00302FC1" w:rsidRPr="00AB26B3" w14:paraId="763E7C54"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996E3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79</w:t>
            </w:r>
          </w:p>
        </w:tc>
        <w:tc>
          <w:tcPr>
            <w:tcW w:w="5440" w:type="dxa"/>
            <w:tcBorders>
              <w:top w:val="single" w:sz="4" w:space="0" w:color="auto"/>
              <w:left w:val="nil"/>
              <w:bottom w:val="single" w:sz="4" w:space="0" w:color="auto"/>
              <w:right w:val="single" w:sz="4" w:space="0" w:color="auto"/>
            </w:tcBorders>
            <w:shd w:val="clear" w:color="auto" w:fill="C6EFCE"/>
            <w:noWrap/>
            <w:vAlign w:val="center"/>
          </w:tcPr>
          <w:p w14:paraId="3525E8BB" w14:textId="5767AAE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16911_Letecké prostriedky krízového riadenia</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0A5E22F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5870B0E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Nákup dvoch stredne veľkých hasičských vrtuľníkov</w:t>
            </w:r>
          </w:p>
        </w:tc>
      </w:tr>
      <w:tr w:rsidR="00302FC1" w:rsidRPr="00AB26B3" w14:paraId="17044F92"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tcPr>
          <w:p w14:paraId="5634A57D"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334</w:t>
            </w:r>
          </w:p>
        </w:tc>
        <w:tc>
          <w:tcPr>
            <w:tcW w:w="5440" w:type="dxa"/>
            <w:tcBorders>
              <w:top w:val="nil"/>
              <w:left w:val="nil"/>
              <w:bottom w:val="single" w:sz="4" w:space="0" w:color="auto"/>
              <w:right w:val="single" w:sz="4" w:space="0" w:color="auto"/>
            </w:tcBorders>
            <w:shd w:val="clear" w:color="auto" w:fill="C6EFCE"/>
            <w:noWrap/>
          </w:tcPr>
          <w:p w14:paraId="3CBD99BB" w14:textId="75D3131E"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16857_Prechod na gigabitové širokopásmové pripojenie – Prechod na gigabitové širokopásmové pripojenie</w:t>
            </w:r>
            <w:r w:rsidR="00AB26B3" w:rsidRPr="00AB26B3">
              <w:rPr>
                <w:noProof/>
                <w:spacing w:val="-6"/>
                <w:lang w:val="sk-SK"/>
              </w:rPr>
              <w:t xml:space="preserve"> a </w:t>
            </w:r>
            <w:r w:rsidRPr="00AB26B3">
              <w:rPr>
                <w:noProof/>
                <w:spacing w:val="-6"/>
                <w:lang w:val="sk-SK"/>
              </w:rPr>
              <w:t>posilnenie gigabitového širokopásmového dopytu</w:t>
            </w:r>
          </w:p>
        </w:tc>
        <w:tc>
          <w:tcPr>
            <w:tcW w:w="1680" w:type="dxa"/>
            <w:tcBorders>
              <w:top w:val="nil"/>
              <w:left w:val="nil"/>
              <w:bottom w:val="single" w:sz="4" w:space="0" w:color="auto"/>
              <w:right w:val="single" w:sz="4" w:space="0" w:color="auto"/>
            </w:tcBorders>
            <w:shd w:val="clear" w:color="auto" w:fill="C6EFCE"/>
            <w:noWrap/>
          </w:tcPr>
          <w:p w14:paraId="50BF754C"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tcPr>
          <w:p w14:paraId="5C03C0B2" w14:textId="0EE96269"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Nadobudnutie účinnosti reformy širokopásmového pripojenia</w:t>
            </w:r>
            <w:r w:rsidR="00AB26B3" w:rsidRPr="00AB26B3">
              <w:rPr>
                <w:noProof/>
                <w:spacing w:val="-6"/>
                <w:lang w:val="sk-SK"/>
              </w:rPr>
              <w:t xml:space="preserve"> z </w:t>
            </w:r>
            <w:r w:rsidRPr="00AB26B3">
              <w:rPr>
                <w:noProof/>
                <w:spacing w:val="-6"/>
                <w:lang w:val="sk-SK"/>
              </w:rPr>
              <w:t>prechodu na gigabitové pripojenie</w:t>
            </w:r>
          </w:p>
        </w:tc>
      </w:tr>
      <w:tr w:rsidR="00302FC1" w:rsidRPr="00AB26B3" w14:paraId="351B961C"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1B6D64E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97</w:t>
            </w:r>
          </w:p>
        </w:tc>
        <w:tc>
          <w:tcPr>
            <w:tcW w:w="5440" w:type="dxa"/>
            <w:tcBorders>
              <w:top w:val="nil"/>
              <w:left w:val="nil"/>
              <w:bottom w:val="single" w:sz="4" w:space="0" w:color="auto"/>
              <w:right w:val="single" w:sz="4" w:space="0" w:color="auto"/>
            </w:tcBorders>
            <w:shd w:val="clear" w:color="auto" w:fill="C6EFCE"/>
            <w:noWrap/>
            <w:vAlign w:val="center"/>
          </w:tcPr>
          <w:p w14:paraId="4EC431EE" w14:textId="1BFF4845"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16929_Smerom</w:t>
            </w:r>
            <w:r w:rsidR="00AB26B3" w:rsidRPr="00AB26B3">
              <w:rPr>
                <w:noProof/>
                <w:spacing w:val="-6"/>
                <w:lang w:val="sk-SK"/>
              </w:rPr>
              <w:t xml:space="preserve"> k </w:t>
            </w:r>
            <w:r w:rsidRPr="00AB26B3">
              <w:rPr>
                <w:noProof/>
                <w:spacing w:val="-6"/>
                <w:lang w:val="sk-SK"/>
              </w:rPr>
              <w:t>službám verejnej správy orientovaným na „zákazníkov“ prostredníctvom zjednodušenia</w:t>
            </w:r>
            <w:r w:rsidR="00AB26B3" w:rsidRPr="00AB26B3">
              <w:rPr>
                <w:noProof/>
                <w:spacing w:val="-6"/>
                <w:lang w:val="sk-SK"/>
              </w:rPr>
              <w:t xml:space="preserve"> a </w:t>
            </w:r>
            <w:r w:rsidRPr="00AB26B3">
              <w:rPr>
                <w:noProof/>
                <w:spacing w:val="-6"/>
                <w:lang w:val="sk-SK"/>
              </w:rPr>
              <w:t>zlepšenia procesov, zlepšenia systémov</w:t>
            </w:r>
            <w:r w:rsidR="00AB26B3" w:rsidRPr="00AB26B3">
              <w:rPr>
                <w:noProof/>
                <w:spacing w:val="-6"/>
                <w:lang w:val="sk-SK"/>
              </w:rPr>
              <w:t xml:space="preserve"> a </w:t>
            </w:r>
            <w:r w:rsidRPr="00AB26B3">
              <w:rPr>
                <w:noProof/>
                <w:spacing w:val="-6"/>
                <w:lang w:val="sk-SK"/>
              </w:rPr>
              <w:t>súladu</w:t>
            </w:r>
            <w:r w:rsidR="00AB26B3" w:rsidRPr="00AB26B3">
              <w:rPr>
                <w:noProof/>
                <w:spacing w:val="-6"/>
                <w:lang w:val="sk-SK"/>
              </w:rPr>
              <w:t xml:space="preserve"> s </w:t>
            </w:r>
            <w:r w:rsidRPr="00AB26B3">
              <w:rPr>
                <w:noProof/>
                <w:spacing w:val="-6"/>
                <w:lang w:val="sk-SK"/>
              </w:rPr>
              <w:t>európskymi stratégiami</w:t>
            </w:r>
            <w:r w:rsidR="00AB26B3" w:rsidRPr="00AB26B3">
              <w:rPr>
                <w:noProof/>
                <w:spacing w:val="-6"/>
                <w:lang w:val="sk-SK"/>
              </w:rPr>
              <w:t xml:space="preserve"> a </w:t>
            </w:r>
            <w:r w:rsidRPr="00AB26B3">
              <w:rPr>
                <w:noProof/>
                <w:spacing w:val="-6"/>
                <w:lang w:val="sk-SK"/>
              </w:rPr>
              <w:t>politikami</w:t>
            </w:r>
          </w:p>
        </w:tc>
        <w:tc>
          <w:tcPr>
            <w:tcW w:w="1680" w:type="dxa"/>
            <w:tcBorders>
              <w:top w:val="nil"/>
              <w:left w:val="nil"/>
              <w:bottom w:val="single" w:sz="4" w:space="0" w:color="auto"/>
              <w:right w:val="single" w:sz="4" w:space="0" w:color="auto"/>
            </w:tcBorders>
            <w:shd w:val="clear" w:color="auto" w:fill="C6EFCE"/>
            <w:noWrap/>
            <w:vAlign w:val="center"/>
          </w:tcPr>
          <w:p w14:paraId="57BC4CA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6DD590A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Vykonávanie národného plánu na zjednodušenie procesu (druhá fáza)</w:t>
            </w:r>
          </w:p>
        </w:tc>
      </w:tr>
      <w:tr w:rsidR="00302FC1" w:rsidRPr="00AB26B3" w14:paraId="5A5E4582"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7E5A8D9B" w14:textId="77777777"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147</w:t>
            </w:r>
          </w:p>
        </w:tc>
        <w:tc>
          <w:tcPr>
            <w:tcW w:w="5440" w:type="dxa"/>
            <w:tcBorders>
              <w:top w:val="nil"/>
              <w:left w:val="nil"/>
              <w:bottom w:val="single" w:sz="4" w:space="0" w:color="auto"/>
              <w:right w:val="single" w:sz="4" w:space="0" w:color="auto"/>
            </w:tcBorders>
            <w:shd w:val="clear" w:color="auto" w:fill="C6EFCE"/>
            <w:noWrap/>
            <w:vAlign w:val="center"/>
          </w:tcPr>
          <w:p w14:paraId="72F7608D" w14:textId="6EF9D6D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16289_Stratégia excelentnosti na univerzitách</w:t>
            </w:r>
            <w:r w:rsidR="00AB26B3" w:rsidRPr="00AB26B3">
              <w:rPr>
                <w:noProof/>
                <w:spacing w:val="-6"/>
                <w:lang w:val="sk-SK"/>
              </w:rPr>
              <w:t xml:space="preserve"> a v </w:t>
            </w:r>
            <w:r w:rsidRPr="00AB26B3">
              <w:rPr>
                <w:noProof/>
                <w:spacing w:val="-6"/>
                <w:lang w:val="sk-SK"/>
              </w:rPr>
              <w:t>inovácii</w:t>
            </w:r>
          </w:p>
        </w:tc>
        <w:tc>
          <w:tcPr>
            <w:tcW w:w="1680" w:type="dxa"/>
            <w:tcBorders>
              <w:top w:val="nil"/>
              <w:left w:val="nil"/>
              <w:bottom w:val="single" w:sz="4" w:space="0" w:color="auto"/>
              <w:right w:val="single" w:sz="4" w:space="0" w:color="auto"/>
            </w:tcBorders>
            <w:shd w:val="clear" w:color="auto" w:fill="C6EFCE"/>
            <w:noWrap/>
            <w:vAlign w:val="center"/>
          </w:tcPr>
          <w:p w14:paraId="173FFB2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nil"/>
              <w:left w:val="nil"/>
              <w:bottom w:val="single" w:sz="4" w:space="0" w:color="auto"/>
              <w:right w:val="single" w:sz="4" w:space="0" w:color="auto"/>
            </w:tcBorders>
            <w:shd w:val="clear" w:color="auto" w:fill="C6EFCE"/>
            <w:noWrap/>
            <w:vAlign w:val="center"/>
          </w:tcPr>
          <w:p w14:paraId="0C920F36" w14:textId="5DD0A7CC"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Univerzity excelentnosti</w:t>
            </w:r>
            <w:r w:rsidR="00AB26B3" w:rsidRPr="00AB26B3">
              <w:rPr>
                <w:noProof/>
                <w:spacing w:val="-6"/>
                <w:lang w:val="sk-SK"/>
              </w:rPr>
              <w:t xml:space="preserve"> a </w:t>
            </w:r>
            <w:r w:rsidRPr="00AB26B3">
              <w:rPr>
                <w:noProof/>
                <w:spacing w:val="-6"/>
                <w:lang w:val="sk-SK"/>
              </w:rPr>
              <w:t>klastre pre rozhodnutia</w:t>
            </w:r>
            <w:r w:rsidR="00AB26B3" w:rsidRPr="00AB26B3">
              <w:rPr>
                <w:noProof/>
                <w:spacing w:val="-6"/>
                <w:lang w:val="sk-SK"/>
              </w:rPr>
              <w:t xml:space="preserve"> o </w:t>
            </w:r>
            <w:r w:rsidRPr="00AB26B3">
              <w:rPr>
                <w:noProof/>
                <w:spacing w:val="-6"/>
                <w:lang w:val="sk-SK"/>
              </w:rPr>
              <w:t>schválení excelentnosti</w:t>
            </w:r>
            <w:r w:rsidR="00AB26B3" w:rsidRPr="00AB26B3">
              <w:rPr>
                <w:noProof/>
                <w:spacing w:val="-6"/>
                <w:lang w:val="sk-SK"/>
              </w:rPr>
              <w:t xml:space="preserve"> v </w:t>
            </w:r>
            <w:r w:rsidRPr="00AB26B3">
              <w:rPr>
                <w:noProof/>
                <w:spacing w:val="-6"/>
                <w:lang w:val="sk-SK"/>
              </w:rPr>
              <w:t>oblasti výskumu</w:t>
            </w:r>
          </w:p>
        </w:tc>
      </w:tr>
      <w:tr w:rsidR="00302FC1" w:rsidRPr="00AB26B3" w14:paraId="0810F0F7"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6D9D839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162</w:t>
            </w:r>
          </w:p>
        </w:tc>
        <w:tc>
          <w:tcPr>
            <w:tcW w:w="5440" w:type="dxa"/>
            <w:tcBorders>
              <w:top w:val="nil"/>
              <w:left w:val="nil"/>
              <w:bottom w:val="single" w:sz="4" w:space="0" w:color="auto"/>
              <w:right w:val="single" w:sz="4" w:space="0" w:color="auto"/>
            </w:tcBorders>
            <w:shd w:val="clear" w:color="auto" w:fill="C6EFCE"/>
            <w:noWrap/>
            <w:vAlign w:val="center"/>
          </w:tcPr>
          <w:p w14:paraId="4ECDF8E5" w14:textId="20673F8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16820_Reforma</w:t>
            </w:r>
            <w:r w:rsidR="00AB26B3" w:rsidRPr="00AB26B3">
              <w:rPr>
                <w:noProof/>
                <w:spacing w:val="-6"/>
                <w:lang w:val="sk-SK"/>
              </w:rPr>
              <w:t xml:space="preserve"> v </w:t>
            </w:r>
            <w:r w:rsidRPr="00AB26B3">
              <w:rPr>
                <w:noProof/>
                <w:spacing w:val="-6"/>
                <w:lang w:val="sk-SK"/>
              </w:rPr>
              <w:t>oblasti duševného zdravia</w:t>
            </w:r>
            <w:r w:rsidR="00AB26B3" w:rsidRPr="00AB26B3">
              <w:rPr>
                <w:noProof/>
                <w:spacing w:val="-6"/>
                <w:lang w:val="sk-SK"/>
              </w:rPr>
              <w:t xml:space="preserve"> a </w:t>
            </w:r>
            <w:r w:rsidRPr="00AB26B3">
              <w:rPr>
                <w:noProof/>
                <w:spacing w:val="-6"/>
                <w:lang w:val="sk-SK"/>
              </w:rPr>
              <w:t>závislostí</w:t>
            </w:r>
          </w:p>
        </w:tc>
        <w:tc>
          <w:tcPr>
            <w:tcW w:w="1680" w:type="dxa"/>
            <w:tcBorders>
              <w:top w:val="nil"/>
              <w:left w:val="nil"/>
              <w:bottom w:val="single" w:sz="4" w:space="0" w:color="auto"/>
              <w:right w:val="single" w:sz="4" w:space="0" w:color="auto"/>
            </w:tcBorders>
            <w:shd w:val="clear" w:color="auto" w:fill="C6EFCE"/>
            <w:noWrap/>
            <w:vAlign w:val="center"/>
          </w:tcPr>
          <w:p w14:paraId="4ED2362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800" w:type="dxa"/>
            <w:tcBorders>
              <w:top w:val="nil"/>
              <w:left w:val="nil"/>
              <w:bottom w:val="single" w:sz="4" w:space="0" w:color="auto"/>
              <w:right w:val="single" w:sz="4" w:space="0" w:color="auto"/>
            </w:tcBorders>
            <w:shd w:val="clear" w:color="auto" w:fill="C6EFCE"/>
            <w:noWrap/>
            <w:vAlign w:val="center"/>
          </w:tcPr>
          <w:p w14:paraId="7173F1D2" w14:textId="4F5F755A"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Duševné zdravie – 106 otvorených jednotiek – 2. krok</w:t>
            </w:r>
            <w:r w:rsidR="00AB26B3" w:rsidRPr="00AB26B3">
              <w:rPr>
                <w:noProof/>
                <w:spacing w:val="-6"/>
                <w:lang w:val="sk-SK"/>
              </w:rPr>
              <w:t xml:space="preserve"> z </w:t>
            </w:r>
            <w:r w:rsidRPr="00AB26B3">
              <w:rPr>
                <w:noProof/>
                <w:spacing w:val="-6"/>
                <w:lang w:val="sk-SK"/>
              </w:rPr>
              <w:t>2</w:t>
            </w:r>
          </w:p>
        </w:tc>
      </w:tr>
      <w:tr w:rsidR="00302FC1" w:rsidRPr="00AB26B3" w14:paraId="17F7CDA9"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F8E7F5"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192</w:t>
            </w:r>
          </w:p>
        </w:tc>
        <w:tc>
          <w:tcPr>
            <w:tcW w:w="5440" w:type="dxa"/>
            <w:tcBorders>
              <w:top w:val="single" w:sz="4" w:space="0" w:color="auto"/>
              <w:left w:val="nil"/>
              <w:bottom w:val="single" w:sz="4" w:space="0" w:color="auto"/>
              <w:right w:val="single" w:sz="4" w:space="0" w:color="auto"/>
            </w:tcBorders>
            <w:shd w:val="clear" w:color="auto" w:fill="C6EFCE"/>
            <w:noWrap/>
            <w:vAlign w:val="center"/>
          </w:tcPr>
          <w:p w14:paraId="43E76CA2" w14:textId="0E2F09EB"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16611_Digitálna transformácia daňových auditov</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203F5965"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395549AA" w14:textId="2AB3B73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Daňové kontroly – Moje údaje</w:t>
            </w:r>
            <w:r w:rsidR="00AB26B3" w:rsidRPr="00AB26B3">
              <w:rPr>
                <w:noProof/>
                <w:spacing w:val="-6"/>
                <w:lang w:val="sk-SK"/>
              </w:rPr>
              <w:t xml:space="preserve"> a </w:t>
            </w:r>
            <w:r w:rsidRPr="00AB26B3">
              <w:rPr>
                <w:noProof/>
                <w:spacing w:val="-6"/>
                <w:lang w:val="sk-SK"/>
              </w:rPr>
              <w:t>bankové informácie</w:t>
            </w:r>
          </w:p>
        </w:tc>
      </w:tr>
      <w:tr w:rsidR="00302FC1" w:rsidRPr="00AB26B3" w14:paraId="578BAE4F"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998A2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193</w:t>
            </w:r>
          </w:p>
        </w:tc>
        <w:tc>
          <w:tcPr>
            <w:tcW w:w="54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552DF7" w14:textId="3E3DE8D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16610_Podpora urýchlenia vrátenia DPH</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3FD140F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59B6DEB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Plne automatizované vrátenie DPH – spustenie informačného systému</w:t>
            </w:r>
          </w:p>
        </w:tc>
      </w:tr>
      <w:tr w:rsidR="00302FC1" w:rsidRPr="00AB26B3" w14:paraId="127399B2"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24AAE8A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207</w:t>
            </w:r>
          </w:p>
        </w:tc>
        <w:tc>
          <w:tcPr>
            <w:tcW w:w="54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AB8A2F" w14:textId="68DADF3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16972_Reforma verejnej správy</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0EE1062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69B651F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Verejná správa – nový systém odmeňovania</w:t>
            </w:r>
          </w:p>
        </w:tc>
      </w:tr>
      <w:tr w:rsidR="00302FC1" w:rsidRPr="00AB26B3" w14:paraId="72319D42"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tcPr>
          <w:p w14:paraId="77DC0C24"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216a</w:t>
            </w:r>
          </w:p>
        </w:tc>
        <w:tc>
          <w:tcPr>
            <w:tcW w:w="5440" w:type="dxa"/>
            <w:tcBorders>
              <w:top w:val="single" w:sz="4" w:space="0" w:color="auto"/>
              <w:left w:val="single" w:sz="4" w:space="0" w:color="auto"/>
              <w:bottom w:val="single" w:sz="4" w:space="0" w:color="auto"/>
              <w:right w:val="single" w:sz="4" w:space="0" w:color="auto"/>
            </w:tcBorders>
            <w:shd w:val="clear" w:color="auto" w:fill="C6EFCE"/>
            <w:noWrap/>
          </w:tcPr>
          <w:p w14:paraId="4FCAB00C" w14:textId="30FEDC2E" w:rsidR="00302FC1" w:rsidRPr="00AB26B3" w:rsidRDefault="00D64F26">
            <w:pPr>
              <w:pStyle w:val="P68B1DB1-Normal11"/>
              <w:keepNext/>
              <w:spacing w:before="40" w:after="0" w:line="240" w:lineRule="auto"/>
              <w:jc w:val="both"/>
              <w:rPr>
                <w:rFonts w:cs="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 xml:space="preserve">bojom proti korupcii – 16711_Professionalizácia oblasti verejného obstarávania  </w:t>
            </w:r>
          </w:p>
        </w:tc>
        <w:tc>
          <w:tcPr>
            <w:tcW w:w="1680" w:type="dxa"/>
            <w:tcBorders>
              <w:top w:val="single" w:sz="4" w:space="0" w:color="auto"/>
              <w:left w:val="nil"/>
              <w:bottom w:val="single" w:sz="4" w:space="0" w:color="auto"/>
              <w:right w:val="single" w:sz="4" w:space="0" w:color="auto"/>
            </w:tcBorders>
            <w:shd w:val="clear" w:color="auto" w:fill="C6EFCE"/>
            <w:noWrap/>
          </w:tcPr>
          <w:p w14:paraId="2DD096A6"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tcPr>
          <w:p w14:paraId="3630336D"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Zmena národnej stratégie verejného obstarávania na roky 2021 – 2025</w:t>
            </w:r>
          </w:p>
        </w:tc>
      </w:tr>
      <w:tr w:rsidR="00302FC1" w:rsidRPr="00AB26B3" w14:paraId="7623546C"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746AE3C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232</w:t>
            </w:r>
          </w:p>
        </w:tc>
        <w:tc>
          <w:tcPr>
            <w:tcW w:w="54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B27FB3" w14:textId="77777777"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14 – 4.3. Zlepšiť efektívnosť justičného systému – 16575 Urýchlenie výkonu spravodlivosti</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31D9C77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0AC657CF" w14:textId="2295E594"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Revízia súdnej mapy – primárne právne predpisy – občianske</w:t>
            </w:r>
            <w:r w:rsidR="00AB26B3" w:rsidRPr="00AB26B3">
              <w:rPr>
                <w:noProof/>
                <w:spacing w:val="-6"/>
                <w:lang w:val="sk-SK"/>
              </w:rPr>
              <w:t xml:space="preserve"> a </w:t>
            </w:r>
            <w:r w:rsidRPr="00AB26B3">
              <w:rPr>
                <w:noProof/>
                <w:spacing w:val="-6"/>
                <w:lang w:val="sk-SK"/>
              </w:rPr>
              <w:t>trestné</w:t>
            </w:r>
          </w:p>
        </w:tc>
      </w:tr>
      <w:tr w:rsidR="00302FC1" w:rsidRPr="00AB26B3" w14:paraId="4E18154E"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446AA43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233</w:t>
            </w:r>
          </w:p>
        </w:tc>
        <w:tc>
          <w:tcPr>
            <w:tcW w:w="54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2B1B9D" w14:textId="77777777"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14 – 4.3. Zlepšiť efektívnosť justičného systému – 16292_Nové justičné budovy</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72CF280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103EA3A1" w14:textId="55C64E32"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Výstavba</w:t>
            </w:r>
            <w:r w:rsidR="00AB26B3" w:rsidRPr="00AB26B3">
              <w:rPr>
                <w:noProof/>
                <w:spacing w:val="-6"/>
                <w:lang w:val="sk-SK"/>
              </w:rPr>
              <w:t xml:space="preserve"> a </w:t>
            </w:r>
            <w:r w:rsidRPr="00AB26B3">
              <w:rPr>
                <w:noProof/>
                <w:spacing w:val="-6"/>
                <w:lang w:val="sk-SK"/>
              </w:rPr>
              <w:t>renovácia súdnych budov – začatie verejných súťaží</w:t>
            </w:r>
          </w:p>
        </w:tc>
      </w:tr>
      <w:tr w:rsidR="00302FC1" w:rsidRPr="00AB26B3" w14:paraId="03AD90C4"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0CF6258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279</w:t>
            </w:r>
          </w:p>
        </w:tc>
        <w:tc>
          <w:tcPr>
            <w:tcW w:w="54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0B98B8" w14:textId="6B878E7A"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16486_Múzeum podmorských starožitností</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09EEA66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2372BC4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Zadanie zákazky múzeu podmorských starožitností</w:t>
            </w:r>
          </w:p>
        </w:tc>
      </w:tr>
      <w:tr w:rsidR="00302FC1" w:rsidRPr="00AB26B3" w14:paraId="6C3E39FE"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4975FA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303</w:t>
            </w:r>
          </w:p>
        </w:tc>
        <w:tc>
          <w:tcPr>
            <w:tcW w:w="54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3E840F" w14:textId="0C2ADB2C"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16593_Zmena právneho rámca pre prilákanie strategických investícií</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2F5CF1D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1BB790E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Strategické investície – výber oprávnených projektov</w:t>
            </w:r>
          </w:p>
        </w:tc>
      </w:tr>
      <w:tr w:rsidR="00302FC1" w:rsidRPr="00AB26B3" w14:paraId="28E140C5" w14:textId="77777777">
        <w:trPr>
          <w:trHeight w:val="302"/>
          <w:tblHeader/>
        </w:trPr>
        <w:tc>
          <w:tcPr>
            <w:tcW w:w="675" w:type="dxa"/>
            <w:tcBorders>
              <w:top w:val="nil"/>
              <w:left w:val="single" w:sz="4" w:space="0" w:color="auto"/>
              <w:bottom w:val="single" w:sz="4" w:space="0" w:color="auto"/>
              <w:right w:val="single" w:sz="4" w:space="0" w:color="auto"/>
            </w:tcBorders>
            <w:shd w:val="clear" w:color="auto" w:fill="C6EFCE"/>
            <w:noWrap/>
          </w:tcPr>
          <w:p w14:paraId="2A43A3D6"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337</w:t>
            </w:r>
          </w:p>
        </w:tc>
        <w:tc>
          <w:tcPr>
            <w:tcW w:w="5440" w:type="dxa"/>
            <w:tcBorders>
              <w:top w:val="single" w:sz="4" w:space="0" w:color="auto"/>
              <w:left w:val="single" w:sz="4" w:space="0" w:color="auto"/>
              <w:bottom w:val="single" w:sz="4" w:space="0" w:color="auto"/>
              <w:right w:val="single" w:sz="4" w:space="0" w:color="auto"/>
            </w:tcBorders>
            <w:shd w:val="clear" w:color="auto" w:fill="C6EFCE"/>
            <w:noWrap/>
          </w:tcPr>
          <w:p w14:paraId="7FF10535" w14:textId="765C6B1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16985_Zmeny gréckeho rámca daňovej politiky</w:t>
            </w:r>
          </w:p>
        </w:tc>
        <w:tc>
          <w:tcPr>
            <w:tcW w:w="1680" w:type="dxa"/>
            <w:tcBorders>
              <w:top w:val="single" w:sz="4" w:space="0" w:color="auto"/>
              <w:left w:val="nil"/>
              <w:bottom w:val="single" w:sz="4" w:space="0" w:color="auto"/>
              <w:right w:val="single" w:sz="4" w:space="0" w:color="auto"/>
            </w:tcBorders>
            <w:shd w:val="clear" w:color="auto" w:fill="C6EFCE"/>
            <w:noWrap/>
          </w:tcPr>
          <w:p w14:paraId="5C61B27F"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tcPr>
          <w:p w14:paraId="2B098FE0" w14:textId="600F6743"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Bojovať proti daňovým únikom</w:t>
            </w:r>
            <w:r w:rsidR="00AB26B3" w:rsidRPr="00AB26B3">
              <w:rPr>
                <w:noProof/>
                <w:spacing w:val="-6"/>
                <w:lang w:val="sk-SK"/>
              </w:rPr>
              <w:t xml:space="preserve"> a </w:t>
            </w:r>
            <w:r w:rsidRPr="00AB26B3">
              <w:rPr>
                <w:noProof/>
                <w:spacing w:val="-6"/>
                <w:lang w:val="sk-SK"/>
              </w:rPr>
              <w:t>podporovať elektronické platby</w:t>
            </w:r>
          </w:p>
        </w:tc>
      </w:tr>
      <w:tr w:rsidR="00302FC1" w:rsidRPr="00AB26B3" w14:paraId="1295DBB2"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647E887A"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338</w:t>
            </w:r>
          </w:p>
        </w:tc>
        <w:tc>
          <w:tcPr>
            <w:tcW w:w="5440" w:type="dxa"/>
            <w:tcBorders>
              <w:top w:val="single" w:sz="4" w:space="0" w:color="auto"/>
              <w:left w:val="single" w:sz="4" w:space="0" w:color="auto"/>
              <w:bottom w:val="single" w:sz="4" w:space="0" w:color="auto"/>
              <w:right w:val="single" w:sz="4" w:space="0" w:color="auto"/>
            </w:tcBorders>
            <w:shd w:val="clear" w:color="auto" w:fill="C6EFCE"/>
            <w:noWrap/>
          </w:tcPr>
          <w:p w14:paraId="65469206" w14:textId="50474BD5"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16985_Zmeny gréckeho rámca daňovej politiky</w:t>
            </w:r>
          </w:p>
        </w:tc>
        <w:tc>
          <w:tcPr>
            <w:tcW w:w="1680" w:type="dxa"/>
            <w:tcBorders>
              <w:top w:val="single" w:sz="4" w:space="0" w:color="auto"/>
              <w:left w:val="single" w:sz="4" w:space="0" w:color="auto"/>
              <w:bottom w:val="single" w:sz="4" w:space="0" w:color="auto"/>
              <w:right w:val="single" w:sz="4" w:space="0" w:color="auto"/>
            </w:tcBorders>
            <w:shd w:val="clear" w:color="auto" w:fill="C6EFCE"/>
            <w:noWrap/>
          </w:tcPr>
          <w:p w14:paraId="5F5CEAFC"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800" w:type="dxa"/>
            <w:tcBorders>
              <w:top w:val="single" w:sz="4" w:space="0" w:color="auto"/>
              <w:left w:val="single" w:sz="4" w:space="0" w:color="auto"/>
              <w:bottom w:val="single" w:sz="4" w:space="0" w:color="auto"/>
              <w:right w:val="single" w:sz="4" w:space="0" w:color="auto"/>
            </w:tcBorders>
            <w:shd w:val="clear" w:color="auto" w:fill="C6EFCE"/>
            <w:noWrap/>
          </w:tcPr>
          <w:p w14:paraId="0AAFBA97" w14:textId="3F5A053B"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Reforma zdaňovania samostatne zárobkovo činných osôb</w:t>
            </w:r>
            <w:r w:rsidR="00AB26B3" w:rsidRPr="00AB26B3">
              <w:rPr>
                <w:noProof/>
                <w:spacing w:val="-6"/>
                <w:lang w:val="sk-SK"/>
              </w:rPr>
              <w:t xml:space="preserve"> a </w:t>
            </w:r>
            <w:r w:rsidRPr="00AB26B3">
              <w:rPr>
                <w:noProof/>
                <w:spacing w:val="-6"/>
                <w:lang w:val="sk-SK"/>
              </w:rPr>
              <w:t>kolkovej dane</w:t>
            </w:r>
          </w:p>
        </w:tc>
      </w:tr>
      <w:tr w:rsidR="00302FC1" w:rsidRPr="00AB26B3" w14:paraId="215B40BA"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1A19EEEB" w14:textId="77777777" w:rsidR="00302FC1" w:rsidRPr="00AB26B3" w:rsidRDefault="00D64F26">
            <w:pPr>
              <w:pStyle w:val="P68B1DB1-Normal52"/>
              <w:keepNext/>
              <w:spacing w:before="40" w:after="0" w:line="259" w:lineRule="auto"/>
              <w:jc w:val="both"/>
              <w:rPr>
                <w:rFonts w:eastAsia="Times New Roman" w:cs="Times New Roman"/>
                <w:bCs/>
                <w:noProof/>
                <w:spacing w:val="-6"/>
                <w:szCs w:val="18"/>
                <w:lang w:val="sk-SK"/>
              </w:rPr>
            </w:pPr>
            <w:r w:rsidRPr="00AB26B3">
              <w:rPr>
                <w:noProof/>
                <w:spacing w:val="-6"/>
                <w:lang w:val="sk-SK"/>
              </w:rPr>
              <w:t>341</w:t>
            </w:r>
          </w:p>
        </w:tc>
        <w:tc>
          <w:tcPr>
            <w:tcW w:w="5440" w:type="dxa"/>
            <w:tcBorders>
              <w:top w:val="single" w:sz="4" w:space="0" w:color="auto"/>
              <w:left w:val="single" w:sz="4" w:space="0" w:color="auto"/>
              <w:bottom w:val="single" w:sz="4" w:space="0" w:color="auto"/>
              <w:right w:val="single" w:sz="4" w:space="0" w:color="auto"/>
            </w:tcBorders>
            <w:shd w:val="clear" w:color="auto" w:fill="C6EFCE"/>
            <w:noWrap/>
          </w:tcPr>
          <w:p w14:paraId="6FEF6A23" w14:textId="5C648842" w:rsidR="00302FC1" w:rsidRPr="00AB26B3" w:rsidRDefault="00D64F26">
            <w:pPr>
              <w:pStyle w:val="P68B1DB1-Normal15"/>
              <w:keepNext/>
              <w:spacing w:before="40" w:after="0" w:line="259" w:lineRule="auto"/>
              <w:jc w:val="both"/>
              <w:rPr>
                <w:rFonts w:eastAsia="Times New Roman"/>
                <w:bCs/>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16986_Dokončenie národného katastra</w:t>
            </w:r>
          </w:p>
        </w:tc>
        <w:tc>
          <w:tcPr>
            <w:tcW w:w="1680" w:type="dxa"/>
            <w:tcBorders>
              <w:top w:val="single" w:sz="4" w:space="0" w:color="auto"/>
              <w:left w:val="nil"/>
              <w:bottom w:val="single" w:sz="4" w:space="0" w:color="auto"/>
              <w:right w:val="single" w:sz="4" w:space="0" w:color="auto"/>
            </w:tcBorders>
            <w:shd w:val="clear" w:color="auto" w:fill="C6EFCE"/>
            <w:noWrap/>
          </w:tcPr>
          <w:p w14:paraId="4EC7A678" w14:textId="77777777" w:rsidR="00302FC1" w:rsidRPr="00AB26B3" w:rsidRDefault="00D64F26">
            <w:pPr>
              <w:pStyle w:val="P68B1DB1-Normal15"/>
              <w:keepNext/>
              <w:spacing w:before="40" w:after="0" w:line="259" w:lineRule="auto"/>
              <w:jc w:val="both"/>
              <w:rPr>
                <w:rFonts w:eastAsia="Times New Roman"/>
                <w:noProof/>
                <w:spacing w:val="-6"/>
                <w:lang w:val="sk-SK"/>
              </w:rPr>
            </w:pPr>
            <w:r w:rsidRPr="00AB26B3">
              <w:rPr>
                <w:noProof/>
                <w:spacing w:val="-6"/>
                <w:lang w:val="sk-SK"/>
              </w:rPr>
              <w:t>Cieľ</w:t>
            </w:r>
          </w:p>
        </w:tc>
        <w:tc>
          <w:tcPr>
            <w:tcW w:w="1800" w:type="dxa"/>
            <w:tcBorders>
              <w:top w:val="single" w:sz="4" w:space="0" w:color="auto"/>
              <w:left w:val="nil"/>
              <w:bottom w:val="single" w:sz="4" w:space="0" w:color="auto"/>
              <w:right w:val="single" w:sz="4" w:space="0" w:color="auto"/>
            </w:tcBorders>
            <w:shd w:val="clear" w:color="auto" w:fill="C6EFCE"/>
            <w:noWrap/>
          </w:tcPr>
          <w:p w14:paraId="5C4A16D8" w14:textId="2E01C54E" w:rsidR="00302FC1" w:rsidRPr="00AB26B3" w:rsidRDefault="00D64F26">
            <w:pPr>
              <w:pStyle w:val="P68B1DB1-Normal15"/>
              <w:keepNext/>
              <w:spacing w:before="40" w:after="0" w:line="259" w:lineRule="auto"/>
              <w:jc w:val="both"/>
              <w:rPr>
                <w:rFonts w:eastAsia="Times New Roman"/>
                <w:noProof/>
                <w:spacing w:val="-6"/>
                <w:lang w:val="sk-SK"/>
              </w:rPr>
            </w:pPr>
            <w:r w:rsidRPr="00AB26B3">
              <w:rPr>
                <w:noProof/>
                <w:spacing w:val="-6"/>
                <w:lang w:val="sk-SK"/>
              </w:rPr>
              <w:t>Katastrálne mapovanie – 85</w:t>
            </w:r>
            <w:r w:rsidR="00AB26B3" w:rsidRPr="00AB26B3">
              <w:rPr>
                <w:noProof/>
                <w:spacing w:val="-6"/>
                <w:lang w:val="sk-SK"/>
              </w:rPr>
              <w:t> %</w:t>
            </w:r>
            <w:r w:rsidRPr="00AB26B3">
              <w:rPr>
                <w:noProof/>
                <w:spacing w:val="-6"/>
                <w:lang w:val="sk-SK"/>
              </w:rPr>
              <w:t xml:space="preserve"> dokončenie</w:t>
            </w:r>
          </w:p>
        </w:tc>
      </w:tr>
      <w:tr w:rsidR="00302FC1" w:rsidRPr="00AB26B3" w14:paraId="02E79424"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44CED465" w14:textId="77777777" w:rsidR="00302FC1" w:rsidRPr="00AB26B3" w:rsidRDefault="00D64F26">
            <w:pPr>
              <w:pStyle w:val="P68B1DB1-Normal53"/>
              <w:keepNext/>
              <w:spacing w:before="40" w:after="0" w:line="259" w:lineRule="auto"/>
              <w:jc w:val="both"/>
              <w:rPr>
                <w:rFonts w:eastAsia="Times New Roman" w:cs="Times New Roman"/>
                <w:bCs/>
                <w:noProof/>
                <w:spacing w:val="-6"/>
                <w:szCs w:val="18"/>
                <w:lang w:val="sk-SK"/>
              </w:rPr>
            </w:pPr>
            <w:r w:rsidRPr="00AB26B3">
              <w:rPr>
                <w:noProof/>
                <w:spacing w:val="-6"/>
                <w:lang w:val="sk-SK"/>
              </w:rPr>
              <w:t>367</w:t>
            </w:r>
          </w:p>
        </w:tc>
        <w:tc>
          <w:tcPr>
            <w:tcW w:w="5440" w:type="dxa"/>
            <w:tcBorders>
              <w:top w:val="single" w:sz="4" w:space="0" w:color="auto"/>
              <w:left w:val="single" w:sz="4" w:space="0" w:color="auto"/>
              <w:bottom w:val="single" w:sz="4" w:space="0" w:color="auto"/>
              <w:right w:val="single" w:sz="4" w:space="0" w:color="auto"/>
            </w:tcBorders>
            <w:shd w:val="clear" w:color="auto" w:fill="C6EFCE"/>
            <w:noWrap/>
          </w:tcPr>
          <w:p w14:paraId="4DB702B4" w14:textId="0D271C5C" w:rsidR="00302FC1" w:rsidRPr="00AB26B3" w:rsidRDefault="00D64F26">
            <w:pPr>
              <w:pStyle w:val="P68B1DB1-Normal15"/>
              <w:keepNext/>
              <w:spacing w:before="40" w:after="0" w:line="259" w:lineRule="auto"/>
              <w:jc w:val="both"/>
              <w:rPr>
                <w:rFonts w:eastAsia="Times New Roman"/>
                <w:bCs/>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16994_Energetická efektívnosť</w:t>
            </w:r>
            <w:r w:rsidR="00AB26B3" w:rsidRPr="00AB26B3">
              <w:rPr>
                <w:noProof/>
                <w:spacing w:val="-6"/>
                <w:lang w:val="sk-SK"/>
              </w:rPr>
              <w:t xml:space="preserve"> a </w:t>
            </w:r>
            <w:r w:rsidRPr="00AB26B3">
              <w:rPr>
                <w:noProof/>
                <w:spacing w:val="-6"/>
                <w:lang w:val="sk-SK"/>
              </w:rPr>
              <w:t xml:space="preserve">podpora obnoviteľných zdrojov energie na vlastnú spotrebu </w:t>
            </w:r>
          </w:p>
        </w:tc>
        <w:tc>
          <w:tcPr>
            <w:tcW w:w="1680" w:type="dxa"/>
            <w:tcBorders>
              <w:top w:val="single" w:sz="4" w:space="0" w:color="auto"/>
              <w:left w:val="nil"/>
              <w:bottom w:val="single" w:sz="4" w:space="0" w:color="auto"/>
              <w:right w:val="single" w:sz="4" w:space="0" w:color="auto"/>
            </w:tcBorders>
            <w:shd w:val="clear" w:color="auto" w:fill="C6EFCE"/>
            <w:noWrap/>
          </w:tcPr>
          <w:p w14:paraId="00EF8F55" w14:textId="77777777" w:rsidR="00302FC1" w:rsidRPr="00AB26B3" w:rsidRDefault="00D64F26">
            <w:pPr>
              <w:pStyle w:val="P68B1DB1-Normal15"/>
              <w:keepNext/>
              <w:spacing w:before="40" w:after="0" w:line="259" w:lineRule="auto"/>
              <w:jc w:val="both"/>
              <w:rPr>
                <w:rFonts w:eastAsia="Times New Roman"/>
                <w:noProof/>
                <w:spacing w:val="-6"/>
                <w:lang w:val="sk-SK"/>
              </w:rPr>
            </w:pPr>
            <w:r w:rsidRPr="00AB26B3">
              <w:rPr>
                <w:noProof/>
                <w:spacing w:val="-6"/>
                <w:lang w:val="sk-SK"/>
              </w:rPr>
              <w:t>Míľnik</w:t>
            </w:r>
          </w:p>
        </w:tc>
        <w:tc>
          <w:tcPr>
            <w:tcW w:w="1800" w:type="dxa"/>
            <w:tcBorders>
              <w:top w:val="single" w:sz="4" w:space="0" w:color="auto"/>
              <w:left w:val="nil"/>
              <w:bottom w:val="single" w:sz="4" w:space="0" w:color="auto"/>
              <w:right w:val="single" w:sz="4" w:space="0" w:color="auto"/>
            </w:tcBorders>
            <w:shd w:val="clear" w:color="auto" w:fill="C6EFCE"/>
            <w:noWrap/>
          </w:tcPr>
          <w:p w14:paraId="015A5E7D" w14:textId="77777777" w:rsidR="00302FC1" w:rsidRPr="00AB26B3" w:rsidRDefault="00D64F26">
            <w:pPr>
              <w:pStyle w:val="P68B1DB1-Normal15"/>
              <w:keepNext/>
              <w:spacing w:before="40" w:after="0" w:line="259" w:lineRule="auto"/>
              <w:jc w:val="both"/>
              <w:rPr>
                <w:rFonts w:eastAsia="Times New Roman"/>
                <w:noProof/>
                <w:spacing w:val="-6"/>
                <w:lang w:val="sk-SK"/>
              </w:rPr>
            </w:pPr>
            <w:r w:rsidRPr="00AB26B3">
              <w:rPr>
                <w:noProof/>
                <w:spacing w:val="-6"/>
                <w:lang w:val="sk-SK"/>
              </w:rPr>
              <w:t>Spustenie podporných programov</w:t>
            </w:r>
          </w:p>
        </w:tc>
      </w:tr>
      <w:tr w:rsidR="00302FC1" w:rsidRPr="00AB26B3" w14:paraId="75BA74F5" w14:textId="77777777">
        <w:trPr>
          <w:trHeight w:val="302"/>
          <w:tblHeader/>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092AE6EF"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440"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4DEA0C5A"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80" w:type="dxa"/>
            <w:tcBorders>
              <w:top w:val="single" w:sz="4" w:space="0" w:color="auto"/>
              <w:left w:val="nil"/>
              <w:bottom w:val="single" w:sz="4" w:space="0" w:color="auto"/>
              <w:right w:val="single" w:sz="4" w:space="0" w:color="auto"/>
            </w:tcBorders>
            <w:shd w:val="clear" w:color="auto" w:fill="C6EFCE"/>
            <w:noWrap/>
            <w:vAlign w:val="bottom"/>
          </w:tcPr>
          <w:p w14:paraId="26E8BBE9" w14:textId="77777777" w:rsidR="00302FC1" w:rsidRPr="00AB26B3" w:rsidRDefault="00D64F26">
            <w:pPr>
              <w:pStyle w:val="P68B1DB1-Normal15"/>
              <w:keepNext/>
              <w:spacing w:before="40" w:after="0" w:line="259" w:lineRule="auto"/>
              <w:jc w:val="both"/>
              <w:rPr>
                <w:rFonts w:eastAsia="Times New Roman"/>
                <w:noProof/>
                <w:spacing w:val="-6"/>
                <w:lang w:val="sk-SK"/>
              </w:rPr>
            </w:pPr>
            <w:r w:rsidRPr="00AB26B3">
              <w:rPr>
                <w:noProof/>
                <w:spacing w:val="-6"/>
                <w:lang w:val="sk-SK"/>
              </w:rPr>
              <w:t>Suma splátky</w:t>
            </w:r>
          </w:p>
        </w:tc>
        <w:tc>
          <w:tcPr>
            <w:tcW w:w="1800" w:type="dxa"/>
            <w:tcBorders>
              <w:top w:val="single" w:sz="4" w:space="0" w:color="auto"/>
              <w:left w:val="nil"/>
              <w:bottom w:val="single" w:sz="4" w:space="0" w:color="auto"/>
              <w:right w:val="single" w:sz="4" w:space="0" w:color="auto"/>
            </w:tcBorders>
            <w:shd w:val="clear" w:color="auto" w:fill="C6EFCE"/>
            <w:noWrap/>
            <w:vAlign w:val="bottom"/>
          </w:tcPr>
          <w:p w14:paraId="497DAF4A" w14:textId="25BFBADF" w:rsidR="00302FC1" w:rsidRPr="00AB26B3" w:rsidRDefault="00D64F26">
            <w:pPr>
              <w:pStyle w:val="P68B1DB1-Normal15"/>
              <w:keepNext/>
              <w:spacing w:before="40" w:after="0" w:line="259" w:lineRule="auto"/>
              <w:jc w:val="both"/>
              <w:rPr>
                <w:rFonts w:eastAsia="Times New Roman"/>
                <w:noProof/>
                <w:spacing w:val="-6"/>
                <w:lang w:val="sk-SK"/>
              </w:rPr>
            </w:pPr>
            <w:r w:rsidRPr="00AB26B3">
              <w:rPr>
                <w:noProof/>
                <w:spacing w:val="-6"/>
                <w:lang w:val="sk-SK"/>
              </w:rPr>
              <w:t>1 557 198 947 EUR</w:t>
            </w:r>
          </w:p>
        </w:tc>
      </w:tr>
    </w:tbl>
    <w:p w14:paraId="0D25DB5C" w14:textId="77777777" w:rsidR="00302FC1" w:rsidRPr="00AB26B3" w:rsidRDefault="00302FC1">
      <w:pPr>
        <w:keepNext/>
        <w:spacing w:before="40" w:line="259" w:lineRule="auto"/>
        <w:jc w:val="both"/>
        <w:rPr>
          <w:rFonts w:ascii="Times New Roman" w:eastAsia="Times New Roman" w:hAnsi="Times New Roman"/>
          <w:i/>
          <w:noProof/>
          <w:color w:val="4F81BD"/>
          <w:spacing w:val="-6"/>
          <w:lang w:val="sk-SK"/>
        </w:rPr>
      </w:pPr>
    </w:p>
    <w:p w14:paraId="19B0C1A3" w14:textId="5FFC2E65" w:rsidR="00AB26B3" w:rsidRPr="00AB26B3" w:rsidRDefault="00D64F26">
      <w:pPr>
        <w:pStyle w:val="P68B1DB1-Normal5"/>
        <w:keepNext/>
        <w:numPr>
          <w:ilvl w:val="1"/>
          <w:numId w:val="85"/>
        </w:numPr>
        <w:spacing w:before="40" w:after="160" w:line="259" w:lineRule="auto"/>
        <w:ind w:left="0"/>
        <w:contextualSpacing/>
        <w:jc w:val="both"/>
        <w:rPr>
          <w:noProof/>
          <w:spacing w:val="-6"/>
          <w:lang w:val="sk-SK"/>
        </w:rPr>
      </w:pPr>
      <w:r w:rsidRPr="00AB26B3">
        <w:rPr>
          <w:noProof/>
          <w:spacing w:val="-6"/>
          <w:lang w:val="sk-SK"/>
        </w:rPr>
        <w:t xml:space="preserve"> Šiesta žiadosť</w:t>
      </w:r>
      <w:r w:rsidR="00AB26B3" w:rsidRPr="00AB26B3">
        <w:rPr>
          <w:noProof/>
          <w:spacing w:val="-6"/>
          <w:lang w:val="sk-SK"/>
        </w:rPr>
        <w:t xml:space="preserve"> o </w:t>
      </w:r>
      <w:r w:rsidRPr="00AB26B3">
        <w:rPr>
          <w:noProof/>
          <w:spacing w:val="-6"/>
          <w:lang w:val="sk-SK"/>
        </w:rPr>
        <w:t>platbu (nenávratná podpora)</w:t>
      </w:r>
      <w:r w:rsidR="00AB26B3" w:rsidRPr="00AB26B3">
        <w:rPr>
          <w:noProof/>
          <w:spacing w:val="-6"/>
          <w:lang w:val="sk-SK"/>
        </w:rPr>
        <w:t>:</w:t>
      </w:r>
    </w:p>
    <w:p w14:paraId="0D7E7E24" w14:textId="4015A6E7"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24"/>
          <w:lang w:val="sk-SK"/>
        </w:rPr>
      </w:pPr>
    </w:p>
    <w:tbl>
      <w:tblPr>
        <w:tblpPr w:leftFromText="180" w:rightFromText="180" w:vertAnchor="text" w:tblpX="-252" w:tblpY="1"/>
        <w:tblOverlap w:val="never"/>
        <w:tblW w:w="9595" w:type="dxa"/>
        <w:tblLook w:val="04A0" w:firstRow="1" w:lastRow="0" w:firstColumn="1" w:lastColumn="0" w:noHBand="0" w:noVBand="1"/>
      </w:tblPr>
      <w:tblGrid>
        <w:gridCol w:w="675"/>
        <w:gridCol w:w="5171"/>
        <w:gridCol w:w="22"/>
        <w:gridCol w:w="1658"/>
        <w:gridCol w:w="22"/>
        <w:gridCol w:w="2047"/>
      </w:tblGrid>
      <w:tr w:rsidR="00302FC1" w:rsidRPr="00AB26B3" w14:paraId="395F4B1C" w14:textId="77777777">
        <w:trPr>
          <w:cantSplit/>
          <w:trHeight w:val="906"/>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8B9F5EF" w14:textId="2F852BA6"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17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1CA547" w14:textId="446C0C3D"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80"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FD5D79" w14:textId="25A3985E"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2069"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F7CC24" w14:textId="2B62EB8C"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4BD88F4E" w14:textId="77777777">
        <w:trPr>
          <w:trHeight w:val="269"/>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7D13655"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5171" w:type="dxa"/>
            <w:vMerge/>
            <w:tcBorders>
              <w:top w:val="single" w:sz="4" w:space="0" w:color="auto"/>
              <w:left w:val="single" w:sz="4" w:space="0" w:color="auto"/>
              <w:bottom w:val="single" w:sz="4" w:space="0" w:color="auto"/>
              <w:right w:val="single" w:sz="4" w:space="0" w:color="auto"/>
            </w:tcBorders>
            <w:vAlign w:val="center"/>
            <w:hideMark/>
          </w:tcPr>
          <w:p w14:paraId="501E2774"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hideMark/>
          </w:tcPr>
          <w:p w14:paraId="2FDC7F68"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2069" w:type="dxa"/>
            <w:gridSpan w:val="2"/>
            <w:vMerge/>
            <w:tcBorders>
              <w:top w:val="single" w:sz="4" w:space="0" w:color="auto"/>
              <w:left w:val="single" w:sz="4" w:space="0" w:color="auto"/>
              <w:bottom w:val="single" w:sz="4" w:space="0" w:color="auto"/>
              <w:right w:val="single" w:sz="4" w:space="0" w:color="auto"/>
            </w:tcBorders>
            <w:vAlign w:val="center"/>
            <w:hideMark/>
          </w:tcPr>
          <w:p w14:paraId="391092B2"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r>
      <w:tr w:rsidR="00302FC1" w:rsidRPr="00AB26B3" w14:paraId="11424A01"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FE789B"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8</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3665A0E9" w14:textId="7C157483" w:rsidR="00302FC1" w:rsidRPr="00AB26B3" w:rsidRDefault="00D64F26">
            <w:pPr>
              <w:pStyle w:val="P68B1DB1-Normal52"/>
              <w:keepNext/>
              <w:spacing w:before="40" w:after="0" w:line="240" w:lineRule="auto"/>
              <w:rPr>
                <w:noProof/>
                <w:spacing w:val="-6"/>
                <w:lang w:val="sk-SK"/>
              </w:rPr>
            </w:pPr>
            <w:r w:rsidRPr="00AB26B3">
              <w:rPr>
                <w:noProof/>
                <w:spacing w:val="-6"/>
                <w:lang w:val="sk-SK"/>
              </w:rPr>
              <w:t>1 – 1.1. Power up – 16865_Reštrukturalizácia</w:t>
            </w:r>
            <w:r w:rsidR="00AB26B3" w:rsidRPr="00AB26B3">
              <w:rPr>
                <w:noProof/>
                <w:spacing w:val="-6"/>
                <w:lang w:val="sk-SK"/>
              </w:rPr>
              <w:t xml:space="preserve"> a </w:t>
            </w:r>
            <w:r w:rsidRPr="00AB26B3">
              <w:rPr>
                <w:noProof/>
                <w:spacing w:val="-6"/>
                <w:lang w:val="sk-SK"/>
              </w:rPr>
              <w:t>zvýšenie príjmov</w:t>
            </w:r>
            <w:r w:rsidR="00AB26B3" w:rsidRPr="00AB26B3">
              <w:rPr>
                <w:noProof/>
                <w:spacing w:val="-6"/>
                <w:lang w:val="sk-SK"/>
              </w:rPr>
              <w:t xml:space="preserve"> z </w:t>
            </w:r>
            <w:r w:rsidRPr="00AB26B3">
              <w:rPr>
                <w:noProof/>
                <w:spacing w:val="-6"/>
                <w:lang w:val="sk-SK"/>
              </w:rPr>
              <w:t>účtu KVET pre OZE</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73DAD2DF"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Cieľ</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2CD8B91D"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Účet OZE – cieľ zvýšenia kapacity 3 </w:t>
            </w:r>
          </w:p>
        </w:tc>
      </w:tr>
      <w:tr w:rsidR="00302FC1" w:rsidRPr="00AB26B3" w14:paraId="6269B58E"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1DD23E"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10</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0E17721D"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 – 1.1. Power up – 16871_Revitalizačné opatrenia najviac postihnutých území (územia spravodlivej transformácie)</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348170FE"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64D88B6D"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Rekultivácia pôdy – mestské plány</w:t>
            </w:r>
          </w:p>
        </w:tc>
      </w:tr>
      <w:tr w:rsidR="00302FC1" w:rsidRPr="00AB26B3" w14:paraId="735F86CD"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0C66E414" w14:textId="77777777" w:rsidR="00302FC1" w:rsidRPr="00AB26B3" w:rsidRDefault="00D64F26">
            <w:pPr>
              <w:pStyle w:val="P68B1DB1-Normal11"/>
              <w:keepNext/>
              <w:spacing w:before="40" w:after="0" w:line="240" w:lineRule="auto"/>
              <w:rPr>
                <w:noProof/>
                <w:spacing w:val="-6"/>
                <w:lang w:val="sk-SK"/>
              </w:rPr>
            </w:pPr>
            <w:r w:rsidRPr="00AB26B3">
              <w:rPr>
                <w:noProof/>
                <w:spacing w:val="-6"/>
                <w:lang w:val="sk-SK"/>
              </w:rPr>
              <w:t>31</w:t>
            </w:r>
          </w:p>
        </w:tc>
        <w:tc>
          <w:tcPr>
            <w:tcW w:w="5193" w:type="dxa"/>
            <w:gridSpan w:val="2"/>
            <w:tcBorders>
              <w:top w:val="nil"/>
              <w:left w:val="nil"/>
              <w:bottom w:val="single" w:sz="4" w:space="0" w:color="auto"/>
              <w:right w:val="single" w:sz="4" w:space="0" w:color="auto"/>
            </w:tcBorders>
            <w:shd w:val="clear" w:color="auto" w:fill="C6EFCE"/>
            <w:noWrap/>
            <w:vAlign w:val="center"/>
          </w:tcPr>
          <w:p w14:paraId="62487E6C"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2 – 1.2. Renovate – 16891_Vytvorenie nového námorného priestorového plánovania</w:t>
            </w:r>
          </w:p>
        </w:tc>
        <w:tc>
          <w:tcPr>
            <w:tcW w:w="1680" w:type="dxa"/>
            <w:gridSpan w:val="2"/>
            <w:tcBorders>
              <w:top w:val="nil"/>
              <w:left w:val="nil"/>
              <w:bottom w:val="single" w:sz="4" w:space="0" w:color="auto"/>
              <w:right w:val="single" w:sz="4" w:space="0" w:color="auto"/>
            </w:tcBorders>
            <w:shd w:val="clear" w:color="auto" w:fill="C6EFCE"/>
            <w:noWrap/>
            <w:vAlign w:val="center"/>
          </w:tcPr>
          <w:p w14:paraId="1226E70E"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797AB430" w14:textId="77777777" w:rsidR="00302FC1" w:rsidRPr="00AB26B3" w:rsidRDefault="00D64F26">
            <w:pPr>
              <w:pStyle w:val="P68B1DB1-Normal11"/>
              <w:keepNext/>
              <w:spacing w:before="40" w:after="0" w:line="240" w:lineRule="auto"/>
              <w:rPr>
                <w:noProof/>
                <w:spacing w:val="-6"/>
                <w:lang w:val="sk-SK"/>
              </w:rPr>
            </w:pPr>
            <w:r w:rsidRPr="00AB26B3">
              <w:rPr>
                <w:noProof/>
                <w:spacing w:val="-6"/>
                <w:lang w:val="sk-SK"/>
              </w:rPr>
              <w:t>Prijatie námornej stratégie</w:t>
            </w:r>
          </w:p>
        </w:tc>
      </w:tr>
      <w:tr w:rsidR="00302FC1" w:rsidRPr="00AB26B3" w14:paraId="430B55EE"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2C35FEF" w14:textId="77777777" w:rsidR="00302FC1" w:rsidRPr="00AB26B3" w:rsidRDefault="00D64F26">
            <w:pPr>
              <w:pStyle w:val="P68B1DB1-Normal11"/>
              <w:keepNext/>
              <w:spacing w:before="40" w:after="0" w:line="240" w:lineRule="auto"/>
              <w:rPr>
                <w:rFonts w:eastAsia="Times New Roman" w:cs="Times New Roman"/>
                <w:noProof/>
                <w:spacing w:val="-6"/>
                <w:lang w:val="sk-SK"/>
              </w:rPr>
            </w:pPr>
            <w:r w:rsidRPr="00AB26B3">
              <w:rPr>
                <w:noProof/>
                <w:spacing w:val="-6"/>
                <w:lang w:val="sk-SK"/>
              </w:rPr>
              <w:t>113</w:t>
            </w:r>
          </w:p>
        </w:tc>
        <w:tc>
          <w:tcPr>
            <w:tcW w:w="5193" w:type="dxa"/>
            <w:gridSpan w:val="2"/>
            <w:tcBorders>
              <w:top w:val="nil"/>
              <w:left w:val="nil"/>
              <w:bottom w:val="single" w:sz="4" w:space="0" w:color="auto"/>
              <w:right w:val="single" w:sz="4" w:space="0" w:color="auto"/>
            </w:tcBorders>
            <w:shd w:val="clear" w:color="auto" w:fill="C6EFCE"/>
            <w:noWrap/>
            <w:vAlign w:val="center"/>
          </w:tcPr>
          <w:p w14:paraId="0C44183D" w14:textId="77777777" w:rsidR="00302FC1" w:rsidRPr="00AB26B3" w:rsidRDefault="00D64F26">
            <w:pPr>
              <w:pStyle w:val="P68B1DB1-Normal11"/>
              <w:keepNext/>
              <w:spacing w:before="40" w:after="0" w:line="240" w:lineRule="auto"/>
              <w:rPr>
                <w:rFonts w:eastAsia="Times New Roman" w:cs="Times New Roman"/>
                <w:noProof/>
                <w:spacing w:val="-6"/>
                <w:lang w:val="sk-SK"/>
              </w:rPr>
            </w:pPr>
            <w:r w:rsidRPr="00AB26B3">
              <w:rPr>
                <w:noProof/>
                <w:spacing w:val="-6"/>
                <w:lang w:val="sk-SK"/>
              </w:rPr>
              <w:t>6 – 2.2. Modernizácia – 16738_centrálny systém správy dokumentov</w:t>
            </w:r>
          </w:p>
        </w:tc>
        <w:tc>
          <w:tcPr>
            <w:tcW w:w="1680" w:type="dxa"/>
            <w:gridSpan w:val="2"/>
            <w:tcBorders>
              <w:top w:val="nil"/>
              <w:left w:val="nil"/>
              <w:bottom w:val="single" w:sz="4" w:space="0" w:color="auto"/>
              <w:right w:val="single" w:sz="4" w:space="0" w:color="auto"/>
            </w:tcBorders>
            <w:shd w:val="clear" w:color="auto" w:fill="C6EFCE"/>
            <w:noWrap/>
            <w:vAlign w:val="center"/>
          </w:tcPr>
          <w:p w14:paraId="2B62896B" w14:textId="77777777" w:rsidR="00302FC1" w:rsidRPr="00AB26B3" w:rsidRDefault="00D64F26">
            <w:pPr>
              <w:pStyle w:val="P68B1DB1-Normal11"/>
              <w:keepNext/>
              <w:spacing w:before="40" w:after="0" w:line="240" w:lineRule="auto"/>
              <w:rPr>
                <w:rFonts w:eastAsia="Times New Roman" w:cs="Times New Roman"/>
                <w:noProof/>
                <w:spacing w:val="-6"/>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7E3E9C9E" w14:textId="77777777" w:rsidR="00302FC1" w:rsidRPr="00AB26B3" w:rsidRDefault="00D64F26">
            <w:pPr>
              <w:pStyle w:val="P68B1DB1-Normal11"/>
              <w:keepNext/>
              <w:spacing w:before="40" w:after="0" w:line="240" w:lineRule="auto"/>
              <w:rPr>
                <w:rFonts w:eastAsia="Times New Roman" w:cs="Times New Roman"/>
                <w:noProof/>
                <w:spacing w:val="-6"/>
                <w:lang w:val="sk-SK"/>
              </w:rPr>
            </w:pPr>
            <w:r w:rsidRPr="00AB26B3">
              <w:rPr>
                <w:noProof/>
                <w:spacing w:val="-6"/>
                <w:lang w:val="sk-SK"/>
              </w:rPr>
              <w:t xml:space="preserve">Dokončenie projektu centrálneho systému správy dokumentov </w:t>
            </w:r>
          </w:p>
        </w:tc>
      </w:tr>
      <w:tr w:rsidR="00302FC1" w:rsidRPr="00AB26B3" w14:paraId="7705E0E5"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24EC611B"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122</w:t>
            </w:r>
          </w:p>
        </w:tc>
        <w:tc>
          <w:tcPr>
            <w:tcW w:w="5193" w:type="dxa"/>
            <w:gridSpan w:val="2"/>
            <w:tcBorders>
              <w:top w:val="nil"/>
              <w:left w:val="nil"/>
              <w:bottom w:val="single" w:sz="4" w:space="0" w:color="auto"/>
              <w:right w:val="single" w:sz="4" w:space="0" w:color="auto"/>
            </w:tcBorders>
            <w:shd w:val="clear" w:color="auto" w:fill="C6EFCE"/>
            <w:noWrap/>
            <w:vAlign w:val="center"/>
          </w:tcPr>
          <w:p w14:paraId="1B5613E4" w14:textId="1E36C52F"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6 – 2.2. Modernizujme – 16853 Dodávka infraštruktúry</w:t>
            </w:r>
            <w:r w:rsidR="00AB26B3" w:rsidRPr="00AB26B3">
              <w:rPr>
                <w:noProof/>
                <w:spacing w:val="-6"/>
                <w:lang w:val="sk-SK"/>
              </w:rPr>
              <w:t xml:space="preserve"> a </w:t>
            </w:r>
            <w:r w:rsidRPr="00AB26B3">
              <w:rPr>
                <w:noProof/>
                <w:spacing w:val="-6"/>
                <w:lang w:val="sk-SK"/>
              </w:rPr>
              <w:t>služieb centrálneho cloud computingu</w:t>
            </w:r>
          </w:p>
        </w:tc>
        <w:tc>
          <w:tcPr>
            <w:tcW w:w="1680" w:type="dxa"/>
            <w:gridSpan w:val="2"/>
            <w:tcBorders>
              <w:top w:val="nil"/>
              <w:left w:val="nil"/>
              <w:bottom w:val="single" w:sz="4" w:space="0" w:color="auto"/>
              <w:right w:val="single" w:sz="4" w:space="0" w:color="auto"/>
            </w:tcBorders>
            <w:shd w:val="clear" w:color="auto" w:fill="C6EFCE"/>
            <w:noWrap/>
            <w:vAlign w:val="center"/>
          </w:tcPr>
          <w:p w14:paraId="5045C574"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1FB4D2C0" w14:textId="0574A90F"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Dokončenie infraštruktúry</w:t>
            </w:r>
            <w:r w:rsidR="00AB26B3" w:rsidRPr="00AB26B3">
              <w:rPr>
                <w:noProof/>
                <w:spacing w:val="-6"/>
                <w:lang w:val="sk-SK"/>
              </w:rPr>
              <w:t xml:space="preserve"> a </w:t>
            </w:r>
            <w:r w:rsidRPr="00AB26B3">
              <w:rPr>
                <w:noProof/>
                <w:spacing w:val="-6"/>
                <w:lang w:val="sk-SK"/>
              </w:rPr>
              <w:t>služby centrálneho cloud computingu</w:t>
            </w:r>
          </w:p>
        </w:tc>
      </w:tr>
      <w:tr w:rsidR="00302FC1" w:rsidRPr="00AB26B3" w14:paraId="3944690F"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791A688"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155</w:t>
            </w:r>
          </w:p>
        </w:tc>
        <w:tc>
          <w:tcPr>
            <w:tcW w:w="5193" w:type="dxa"/>
            <w:gridSpan w:val="2"/>
            <w:tcBorders>
              <w:top w:val="nil"/>
              <w:left w:val="nil"/>
              <w:bottom w:val="single" w:sz="4" w:space="0" w:color="auto"/>
              <w:right w:val="single" w:sz="4" w:space="0" w:color="auto"/>
            </w:tcBorders>
            <w:shd w:val="clear" w:color="auto" w:fill="C6EFCE"/>
            <w:noWrap/>
            <w:vAlign w:val="center"/>
          </w:tcPr>
          <w:p w14:paraId="69AE7443" w14:textId="1CE66EAE"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680" w:type="dxa"/>
            <w:gridSpan w:val="2"/>
            <w:tcBorders>
              <w:top w:val="nil"/>
              <w:left w:val="nil"/>
              <w:bottom w:val="single" w:sz="4" w:space="0" w:color="auto"/>
              <w:right w:val="single" w:sz="4" w:space="0" w:color="auto"/>
            </w:tcBorders>
            <w:shd w:val="clear" w:color="auto" w:fill="C6EFCE"/>
            <w:noWrap/>
            <w:vAlign w:val="center"/>
          </w:tcPr>
          <w:p w14:paraId="64AF2BC5"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Cieľ</w:t>
            </w:r>
          </w:p>
        </w:tc>
        <w:tc>
          <w:tcPr>
            <w:tcW w:w="2047" w:type="dxa"/>
            <w:tcBorders>
              <w:top w:val="nil"/>
              <w:left w:val="nil"/>
              <w:bottom w:val="single" w:sz="4" w:space="0" w:color="auto"/>
              <w:right w:val="single" w:sz="4" w:space="0" w:color="auto"/>
            </w:tcBorders>
            <w:shd w:val="clear" w:color="auto" w:fill="C6EFCE"/>
            <w:noWrap/>
            <w:vAlign w:val="center"/>
          </w:tcPr>
          <w:p w14:paraId="2F2F00F4"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Zníženie spätne získaných prostriedkov 150000000 – 2. krok</w:t>
            </w:r>
          </w:p>
        </w:tc>
      </w:tr>
      <w:tr w:rsidR="00302FC1" w:rsidRPr="00AB26B3" w14:paraId="5AEAC586"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107F24D1"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148</w:t>
            </w:r>
          </w:p>
        </w:tc>
        <w:tc>
          <w:tcPr>
            <w:tcW w:w="5193" w:type="dxa"/>
            <w:gridSpan w:val="2"/>
            <w:tcBorders>
              <w:top w:val="nil"/>
              <w:left w:val="nil"/>
              <w:bottom w:val="single" w:sz="4" w:space="0" w:color="auto"/>
              <w:right w:val="single" w:sz="4" w:space="0" w:color="auto"/>
            </w:tcBorders>
            <w:shd w:val="clear" w:color="auto" w:fill="C6EFCE"/>
            <w:noWrap/>
            <w:vAlign w:val="center"/>
          </w:tcPr>
          <w:p w14:paraId="78B41A86" w14:textId="34A2028A" w:rsidR="00302FC1" w:rsidRPr="00AB26B3" w:rsidRDefault="00D64F26">
            <w:pPr>
              <w:pStyle w:val="P68B1DB1-Normal52"/>
              <w:keepNext/>
              <w:spacing w:before="40" w:after="0" w:line="240" w:lineRule="auto"/>
              <w:rPr>
                <w:noProof/>
                <w:spacing w:val="-6"/>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16676_Digitálna transformácia vzdelávania</w:t>
            </w:r>
          </w:p>
        </w:tc>
        <w:tc>
          <w:tcPr>
            <w:tcW w:w="1680" w:type="dxa"/>
            <w:gridSpan w:val="2"/>
            <w:tcBorders>
              <w:top w:val="nil"/>
              <w:left w:val="nil"/>
              <w:bottom w:val="single" w:sz="4" w:space="0" w:color="auto"/>
              <w:right w:val="single" w:sz="4" w:space="0" w:color="auto"/>
            </w:tcBorders>
            <w:shd w:val="clear" w:color="auto" w:fill="C6EFCE"/>
            <w:noWrap/>
            <w:vAlign w:val="center"/>
          </w:tcPr>
          <w:p w14:paraId="306A7427"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Cieľ</w:t>
            </w:r>
          </w:p>
        </w:tc>
        <w:tc>
          <w:tcPr>
            <w:tcW w:w="2047" w:type="dxa"/>
            <w:tcBorders>
              <w:top w:val="nil"/>
              <w:left w:val="nil"/>
              <w:bottom w:val="single" w:sz="4" w:space="0" w:color="auto"/>
              <w:right w:val="single" w:sz="4" w:space="0" w:color="auto"/>
            </w:tcBorders>
            <w:shd w:val="clear" w:color="auto" w:fill="C6EFCE"/>
            <w:noWrap/>
            <w:vAlign w:val="center"/>
          </w:tcPr>
          <w:p w14:paraId="7EF6BE2D"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Dokončenie inštalácie interaktívnych systémov</w:t>
            </w:r>
          </w:p>
        </w:tc>
      </w:tr>
      <w:tr w:rsidR="00302FC1" w:rsidRPr="00AB26B3" w14:paraId="0C5A2C6F"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7BA88536"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156</w:t>
            </w:r>
          </w:p>
        </w:tc>
        <w:tc>
          <w:tcPr>
            <w:tcW w:w="5193" w:type="dxa"/>
            <w:gridSpan w:val="2"/>
            <w:tcBorders>
              <w:top w:val="nil"/>
              <w:left w:val="nil"/>
              <w:bottom w:val="single" w:sz="4" w:space="0" w:color="auto"/>
              <w:right w:val="single" w:sz="4" w:space="0" w:color="auto"/>
            </w:tcBorders>
            <w:shd w:val="clear" w:color="auto" w:fill="C6EFCE"/>
            <w:noWrap/>
            <w:vAlign w:val="center"/>
          </w:tcPr>
          <w:p w14:paraId="0B0B592A" w14:textId="446DF600"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680" w:type="dxa"/>
            <w:gridSpan w:val="2"/>
            <w:tcBorders>
              <w:top w:val="nil"/>
              <w:left w:val="nil"/>
              <w:bottom w:val="single" w:sz="4" w:space="0" w:color="auto"/>
              <w:right w:val="single" w:sz="4" w:space="0" w:color="auto"/>
            </w:tcBorders>
            <w:shd w:val="clear" w:color="auto" w:fill="C6EFCE"/>
            <w:noWrap/>
            <w:vAlign w:val="center"/>
          </w:tcPr>
          <w:p w14:paraId="4D684D24"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Cieľ</w:t>
            </w:r>
          </w:p>
        </w:tc>
        <w:tc>
          <w:tcPr>
            <w:tcW w:w="2047" w:type="dxa"/>
            <w:tcBorders>
              <w:top w:val="nil"/>
              <w:left w:val="nil"/>
              <w:bottom w:val="single" w:sz="4" w:space="0" w:color="auto"/>
              <w:right w:val="single" w:sz="4" w:space="0" w:color="auto"/>
            </w:tcBorders>
            <w:shd w:val="clear" w:color="auto" w:fill="C6EFCE"/>
            <w:noWrap/>
            <w:vAlign w:val="center"/>
          </w:tcPr>
          <w:p w14:paraId="5F9FB11A" w14:textId="47478434"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szCs w:val="18"/>
                <w:lang w:val="sk-SK"/>
              </w:rPr>
              <w:t>Dôkaz</w:t>
            </w:r>
            <w:r w:rsidR="00AB26B3" w:rsidRPr="00AB26B3">
              <w:rPr>
                <w:noProof/>
                <w:spacing w:val="-6"/>
                <w:szCs w:val="18"/>
                <w:lang w:val="sk-SK"/>
              </w:rPr>
              <w:t xml:space="preserve"> o </w:t>
            </w:r>
            <w:r w:rsidRPr="00AB26B3">
              <w:rPr>
                <w:noProof/>
                <w:spacing w:val="-6"/>
                <w:szCs w:val="18"/>
                <w:lang w:val="sk-SK"/>
              </w:rPr>
              <w:t>farmaceutických investíciách do výskumu</w:t>
            </w:r>
            <w:r w:rsidR="00AB26B3" w:rsidRPr="00AB26B3">
              <w:rPr>
                <w:noProof/>
                <w:spacing w:val="-6"/>
                <w:szCs w:val="18"/>
                <w:lang w:val="sk-SK"/>
              </w:rPr>
              <w:t xml:space="preserve"> a </w:t>
            </w:r>
            <w:r w:rsidRPr="00AB26B3">
              <w:rPr>
                <w:noProof/>
                <w:spacing w:val="-6"/>
                <w:szCs w:val="18"/>
                <w:lang w:val="sk-SK"/>
              </w:rPr>
              <w:t>vývoja – 1. krok</w:t>
            </w:r>
          </w:p>
        </w:tc>
      </w:tr>
      <w:tr w:rsidR="00302FC1" w:rsidRPr="00AB26B3" w14:paraId="0047E33D"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7A6746B5"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167</w:t>
            </w:r>
          </w:p>
        </w:tc>
        <w:tc>
          <w:tcPr>
            <w:tcW w:w="5193" w:type="dxa"/>
            <w:gridSpan w:val="2"/>
            <w:tcBorders>
              <w:top w:val="nil"/>
              <w:left w:val="nil"/>
              <w:bottom w:val="single" w:sz="4" w:space="0" w:color="auto"/>
              <w:right w:val="single" w:sz="4" w:space="0" w:color="auto"/>
            </w:tcBorders>
            <w:shd w:val="clear" w:color="auto" w:fill="C6EFCE"/>
            <w:noWrap/>
            <w:vAlign w:val="center"/>
          </w:tcPr>
          <w:p w14:paraId="67108A48" w14:textId="4222298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tc>
        <w:tc>
          <w:tcPr>
            <w:tcW w:w="1680" w:type="dxa"/>
            <w:gridSpan w:val="2"/>
            <w:tcBorders>
              <w:top w:val="nil"/>
              <w:left w:val="nil"/>
              <w:bottom w:val="single" w:sz="4" w:space="0" w:color="auto"/>
              <w:right w:val="single" w:sz="4" w:space="0" w:color="auto"/>
            </w:tcBorders>
            <w:shd w:val="clear" w:color="auto" w:fill="C6EFCE"/>
            <w:noWrap/>
            <w:vAlign w:val="center"/>
          </w:tcPr>
          <w:p w14:paraId="0095E82B"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11F85E57" w14:textId="4770BE6D"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Digitálna transformácia zdravotnej starostlivosti – národný digitálny zdravotný záznam (podprojekt 1)</w:t>
            </w:r>
          </w:p>
        </w:tc>
      </w:tr>
      <w:tr w:rsidR="00302FC1" w:rsidRPr="00AB26B3" w14:paraId="1FDC7A77"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60E5398B"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175a</w:t>
            </w:r>
          </w:p>
        </w:tc>
        <w:tc>
          <w:tcPr>
            <w:tcW w:w="5193" w:type="dxa"/>
            <w:gridSpan w:val="2"/>
            <w:tcBorders>
              <w:top w:val="nil"/>
              <w:left w:val="nil"/>
              <w:bottom w:val="single" w:sz="4" w:space="0" w:color="auto"/>
              <w:right w:val="single" w:sz="4" w:space="0" w:color="auto"/>
            </w:tcBorders>
            <w:shd w:val="clear" w:color="auto" w:fill="C6EFCE"/>
            <w:noWrap/>
            <w:vAlign w:val="center"/>
          </w:tcPr>
          <w:p w14:paraId="54DD694B" w14:textId="1AE908C9"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11 – 3.4. Zlepšenie prístupu</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16726 Optimalizácia sociálnych prínosov</w:t>
            </w:r>
          </w:p>
        </w:tc>
        <w:tc>
          <w:tcPr>
            <w:tcW w:w="1680" w:type="dxa"/>
            <w:gridSpan w:val="2"/>
            <w:tcBorders>
              <w:top w:val="nil"/>
              <w:left w:val="nil"/>
              <w:bottom w:val="single" w:sz="4" w:space="0" w:color="auto"/>
              <w:right w:val="single" w:sz="4" w:space="0" w:color="auto"/>
            </w:tcBorders>
            <w:shd w:val="clear" w:color="auto" w:fill="C6EFCE"/>
            <w:noWrap/>
            <w:vAlign w:val="center"/>
          </w:tcPr>
          <w:p w14:paraId="4D1D3FFB"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762C62F0"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Optimalizácia sociálnych výhod predplatené karty</w:t>
            </w:r>
          </w:p>
        </w:tc>
      </w:tr>
      <w:tr w:rsidR="00302FC1" w:rsidRPr="00AB26B3" w14:paraId="09B0DC96"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6852E2A5"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189</w:t>
            </w:r>
          </w:p>
        </w:tc>
        <w:tc>
          <w:tcPr>
            <w:tcW w:w="5193" w:type="dxa"/>
            <w:gridSpan w:val="2"/>
            <w:tcBorders>
              <w:top w:val="nil"/>
              <w:left w:val="nil"/>
              <w:bottom w:val="single" w:sz="4" w:space="0" w:color="auto"/>
              <w:right w:val="single" w:sz="4" w:space="0" w:color="auto"/>
            </w:tcBorders>
            <w:shd w:val="clear" w:color="auto" w:fill="C6EFCE"/>
            <w:noWrap/>
            <w:vAlign w:val="center"/>
          </w:tcPr>
          <w:p w14:paraId="4ECDD5B7" w14:textId="71D9346B"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16614_Online registračné pokladnice</w:t>
            </w:r>
            <w:r w:rsidR="00AB26B3" w:rsidRPr="00AB26B3">
              <w:rPr>
                <w:noProof/>
                <w:spacing w:val="-6"/>
                <w:lang w:val="sk-SK"/>
              </w:rPr>
              <w:t xml:space="preserve"> a </w:t>
            </w:r>
            <w:r w:rsidRPr="00AB26B3">
              <w:rPr>
                <w:noProof/>
                <w:spacing w:val="-6"/>
                <w:lang w:val="sk-SK"/>
              </w:rPr>
              <w:t>POS (reforma)</w:t>
            </w:r>
          </w:p>
        </w:tc>
        <w:tc>
          <w:tcPr>
            <w:tcW w:w="1680" w:type="dxa"/>
            <w:gridSpan w:val="2"/>
            <w:tcBorders>
              <w:top w:val="nil"/>
              <w:left w:val="nil"/>
              <w:bottom w:val="single" w:sz="4" w:space="0" w:color="auto"/>
              <w:right w:val="single" w:sz="4" w:space="0" w:color="auto"/>
            </w:tcBorders>
            <w:shd w:val="clear" w:color="auto" w:fill="C6EFCE"/>
            <w:noWrap/>
            <w:vAlign w:val="center"/>
          </w:tcPr>
          <w:p w14:paraId="498CBE66"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Cieľ</w:t>
            </w:r>
          </w:p>
        </w:tc>
        <w:tc>
          <w:tcPr>
            <w:tcW w:w="2047" w:type="dxa"/>
            <w:tcBorders>
              <w:top w:val="nil"/>
              <w:left w:val="nil"/>
              <w:bottom w:val="single" w:sz="4" w:space="0" w:color="auto"/>
              <w:right w:val="single" w:sz="4" w:space="0" w:color="auto"/>
            </w:tcBorders>
            <w:shd w:val="clear" w:color="auto" w:fill="C6EFCE"/>
            <w:noWrap/>
            <w:vAlign w:val="center"/>
          </w:tcPr>
          <w:p w14:paraId="37711EA1" w14:textId="04883F0B"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Nezávislý orgán pre verejné príjmy: Online registračné pokladnice</w:t>
            </w:r>
            <w:r w:rsidR="00AB26B3" w:rsidRPr="00AB26B3">
              <w:rPr>
                <w:noProof/>
                <w:spacing w:val="-6"/>
                <w:lang w:val="sk-SK"/>
              </w:rPr>
              <w:t xml:space="preserve"> a </w:t>
            </w:r>
            <w:r w:rsidRPr="00AB26B3">
              <w:rPr>
                <w:noProof/>
                <w:spacing w:val="-6"/>
                <w:lang w:val="sk-SK"/>
              </w:rPr>
              <w:t xml:space="preserve">predajné miesta – </w:t>
            </w:r>
            <w:r w:rsidRPr="00AB26B3">
              <w:rPr>
                <w:noProof/>
                <w:spacing w:val="-6"/>
                <w:szCs w:val="18"/>
                <w:lang w:val="sk-SK"/>
              </w:rPr>
              <w:t>integrácia</w:t>
            </w:r>
            <w:r w:rsidR="00AB26B3" w:rsidRPr="00AB26B3">
              <w:rPr>
                <w:noProof/>
                <w:spacing w:val="-6"/>
                <w:szCs w:val="18"/>
                <w:lang w:val="sk-SK"/>
              </w:rPr>
              <w:t xml:space="preserve"> a </w:t>
            </w:r>
            <w:r w:rsidRPr="00AB26B3">
              <w:rPr>
                <w:noProof/>
                <w:spacing w:val="-6"/>
                <w:lang w:val="sk-SK"/>
              </w:rPr>
              <w:t xml:space="preserve">prepojenie </w:t>
            </w:r>
          </w:p>
        </w:tc>
      </w:tr>
      <w:tr w:rsidR="00302FC1" w:rsidRPr="00AB26B3" w14:paraId="63F84FD5"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610B0EA7"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204</w:t>
            </w:r>
          </w:p>
        </w:tc>
        <w:tc>
          <w:tcPr>
            <w:tcW w:w="5193" w:type="dxa"/>
            <w:gridSpan w:val="2"/>
            <w:tcBorders>
              <w:top w:val="nil"/>
              <w:left w:val="nil"/>
              <w:bottom w:val="single" w:sz="4" w:space="0" w:color="auto"/>
              <w:right w:val="single" w:sz="4" w:space="0" w:color="auto"/>
            </w:tcBorders>
            <w:shd w:val="clear" w:color="auto" w:fill="C6EFCE"/>
            <w:noWrap/>
            <w:vAlign w:val="center"/>
          </w:tcPr>
          <w:p w14:paraId="003E044C" w14:textId="5FD63D7D"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680" w:type="dxa"/>
            <w:gridSpan w:val="2"/>
            <w:tcBorders>
              <w:top w:val="nil"/>
              <w:left w:val="nil"/>
              <w:bottom w:val="single" w:sz="4" w:space="0" w:color="auto"/>
              <w:right w:val="single" w:sz="4" w:space="0" w:color="auto"/>
            </w:tcBorders>
            <w:shd w:val="clear" w:color="auto" w:fill="C6EFCE"/>
            <w:noWrap/>
            <w:vAlign w:val="center"/>
          </w:tcPr>
          <w:p w14:paraId="6637931A"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7D132ED3" w14:textId="1467DDDB"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Dokončenie počiatočnej daňovej kodifikácie</w:t>
            </w:r>
            <w:r w:rsidR="00AB26B3" w:rsidRPr="00AB26B3">
              <w:rPr>
                <w:noProof/>
                <w:spacing w:val="-6"/>
                <w:lang w:val="sk-SK"/>
              </w:rPr>
              <w:t xml:space="preserve"> a </w:t>
            </w:r>
            <w:r w:rsidRPr="00AB26B3">
              <w:rPr>
                <w:noProof/>
                <w:spacing w:val="-6"/>
                <w:lang w:val="sk-SK"/>
              </w:rPr>
              <w:t>informačného systému pre daňovníkov</w:t>
            </w:r>
          </w:p>
        </w:tc>
      </w:tr>
      <w:tr w:rsidR="00302FC1" w:rsidRPr="00AB26B3" w14:paraId="1DA9D506"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481B8FE5"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340</w:t>
            </w:r>
          </w:p>
        </w:tc>
        <w:tc>
          <w:tcPr>
            <w:tcW w:w="5193" w:type="dxa"/>
            <w:gridSpan w:val="2"/>
            <w:tcBorders>
              <w:top w:val="nil"/>
              <w:left w:val="nil"/>
              <w:bottom w:val="single" w:sz="4" w:space="0" w:color="auto"/>
              <w:right w:val="single" w:sz="4" w:space="0" w:color="auto"/>
            </w:tcBorders>
            <w:shd w:val="clear" w:color="auto" w:fill="C6EFCE"/>
            <w:noWrap/>
            <w:vAlign w:val="center"/>
          </w:tcPr>
          <w:p w14:paraId="646C2526" w14:textId="4FEA95E7" w:rsidR="00302FC1" w:rsidRPr="00AB26B3" w:rsidRDefault="00D64F26">
            <w:pPr>
              <w:pStyle w:val="P68B1DB1-Normal52"/>
              <w:keepNext/>
              <w:spacing w:before="40" w:after="0" w:line="240" w:lineRule="auto"/>
              <w:rPr>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16985_Zmeny gréckeho rámca daňovej politiky</w:t>
            </w:r>
          </w:p>
        </w:tc>
        <w:tc>
          <w:tcPr>
            <w:tcW w:w="1680" w:type="dxa"/>
            <w:gridSpan w:val="2"/>
            <w:tcBorders>
              <w:top w:val="nil"/>
              <w:left w:val="nil"/>
              <w:bottom w:val="single" w:sz="4" w:space="0" w:color="auto"/>
              <w:right w:val="single" w:sz="4" w:space="0" w:color="auto"/>
            </w:tcBorders>
            <w:shd w:val="clear" w:color="auto" w:fill="C6EFCE"/>
            <w:noWrap/>
            <w:vAlign w:val="center"/>
          </w:tcPr>
          <w:p w14:paraId="23D9FE4B"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7CFD54C4" w14:textId="2D413B1B" w:rsidR="00302FC1" w:rsidRPr="00AB26B3" w:rsidRDefault="00D64F26">
            <w:pPr>
              <w:pStyle w:val="P68B1DB1-Normal52"/>
              <w:keepNext/>
              <w:spacing w:before="40" w:after="0" w:line="240" w:lineRule="auto"/>
              <w:rPr>
                <w:noProof/>
                <w:spacing w:val="-6"/>
                <w:lang w:val="sk-SK"/>
              </w:rPr>
            </w:pPr>
            <w:r w:rsidRPr="00AB26B3">
              <w:rPr>
                <w:noProof/>
                <w:spacing w:val="-6"/>
                <w:lang w:val="sk-SK"/>
              </w:rPr>
              <w:t>Bojovať proti daňovým únikom využívaním databázy myDATA na účely dane</w:t>
            </w:r>
            <w:r w:rsidR="00AB26B3" w:rsidRPr="00AB26B3">
              <w:rPr>
                <w:noProof/>
                <w:spacing w:val="-6"/>
                <w:lang w:val="sk-SK"/>
              </w:rPr>
              <w:t xml:space="preserve"> z </w:t>
            </w:r>
            <w:r w:rsidRPr="00AB26B3">
              <w:rPr>
                <w:noProof/>
                <w:spacing w:val="-6"/>
                <w:lang w:val="sk-SK"/>
              </w:rPr>
              <w:t>príjmu</w:t>
            </w:r>
          </w:p>
        </w:tc>
      </w:tr>
      <w:tr w:rsidR="00302FC1" w:rsidRPr="00AB26B3" w14:paraId="4942859E"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175DF75D"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212</w:t>
            </w:r>
          </w:p>
        </w:tc>
        <w:tc>
          <w:tcPr>
            <w:tcW w:w="5193" w:type="dxa"/>
            <w:gridSpan w:val="2"/>
            <w:tcBorders>
              <w:top w:val="nil"/>
              <w:left w:val="nil"/>
              <w:bottom w:val="single" w:sz="4" w:space="0" w:color="auto"/>
              <w:right w:val="single" w:sz="4" w:space="0" w:color="auto"/>
            </w:tcBorders>
            <w:shd w:val="clear" w:color="auto" w:fill="C6EFCE"/>
            <w:noWrap/>
            <w:vAlign w:val="center"/>
          </w:tcPr>
          <w:p w14:paraId="0AE75666" w14:textId="6CB5007A"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16702_Posilnenie rámca boja proti praniu špinavých peňazí</w:t>
            </w:r>
            <w:r w:rsidR="00AB26B3" w:rsidRPr="00AB26B3">
              <w:rPr>
                <w:noProof/>
                <w:spacing w:val="-6"/>
                <w:lang w:val="sk-SK"/>
              </w:rPr>
              <w:t xml:space="preserve"> a </w:t>
            </w:r>
            <w:r w:rsidRPr="00AB26B3">
              <w:rPr>
                <w:noProof/>
                <w:spacing w:val="-6"/>
                <w:lang w:val="sk-SK"/>
              </w:rPr>
              <w:t>financovaniu terorizmu</w:t>
            </w:r>
          </w:p>
        </w:tc>
        <w:tc>
          <w:tcPr>
            <w:tcW w:w="1680" w:type="dxa"/>
            <w:gridSpan w:val="2"/>
            <w:tcBorders>
              <w:top w:val="nil"/>
              <w:left w:val="nil"/>
              <w:bottom w:val="single" w:sz="4" w:space="0" w:color="auto"/>
              <w:right w:val="single" w:sz="4" w:space="0" w:color="auto"/>
            </w:tcBorders>
            <w:shd w:val="clear" w:color="auto" w:fill="C6EFCE"/>
            <w:noWrap/>
            <w:vAlign w:val="center"/>
          </w:tcPr>
          <w:p w14:paraId="67EA2F97"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1E3097F6" w14:textId="14C114A3"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Posilnený rámec boja proti praniu špinavých peňazí</w:t>
            </w:r>
            <w:r w:rsidR="00AB26B3" w:rsidRPr="00AB26B3">
              <w:rPr>
                <w:noProof/>
                <w:spacing w:val="-6"/>
                <w:lang w:val="sk-SK"/>
              </w:rPr>
              <w:t xml:space="preserve"> a </w:t>
            </w:r>
            <w:r w:rsidRPr="00AB26B3">
              <w:rPr>
                <w:noProof/>
                <w:spacing w:val="-6"/>
                <w:lang w:val="sk-SK"/>
              </w:rPr>
              <w:t>financovaniu terorizmu</w:t>
            </w:r>
          </w:p>
        </w:tc>
      </w:tr>
      <w:tr w:rsidR="00302FC1" w:rsidRPr="00AB26B3" w14:paraId="654653C9"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180CE2A8"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216</w:t>
            </w:r>
          </w:p>
        </w:tc>
        <w:tc>
          <w:tcPr>
            <w:tcW w:w="5193" w:type="dxa"/>
            <w:gridSpan w:val="2"/>
            <w:tcBorders>
              <w:top w:val="nil"/>
              <w:left w:val="nil"/>
              <w:bottom w:val="single" w:sz="4" w:space="0" w:color="auto"/>
              <w:right w:val="single" w:sz="4" w:space="0" w:color="auto"/>
            </w:tcBorders>
            <w:shd w:val="clear" w:color="auto" w:fill="C6EFCE"/>
            <w:noWrap/>
            <w:vAlign w:val="center"/>
          </w:tcPr>
          <w:p w14:paraId="415FFBDB" w14:textId="68161D1F"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16711_Professionalizácia oblasti verejného obstarávania</w:t>
            </w:r>
          </w:p>
        </w:tc>
        <w:tc>
          <w:tcPr>
            <w:tcW w:w="1680" w:type="dxa"/>
            <w:gridSpan w:val="2"/>
            <w:tcBorders>
              <w:top w:val="nil"/>
              <w:left w:val="nil"/>
              <w:bottom w:val="single" w:sz="4" w:space="0" w:color="auto"/>
              <w:right w:val="single" w:sz="4" w:space="0" w:color="auto"/>
            </w:tcBorders>
            <w:shd w:val="clear" w:color="auto" w:fill="C6EFCE"/>
            <w:noWrap/>
            <w:vAlign w:val="center"/>
          </w:tcPr>
          <w:p w14:paraId="1A4DDC93"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3813A8FA"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Profesionalizácia oblasti verejného obstarávania – nové právne predpisy</w:t>
            </w:r>
          </w:p>
        </w:tc>
      </w:tr>
      <w:tr w:rsidR="00302FC1" w:rsidRPr="00AB26B3" w14:paraId="127F28B2"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56094579"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234</w:t>
            </w:r>
          </w:p>
        </w:tc>
        <w:tc>
          <w:tcPr>
            <w:tcW w:w="5193" w:type="dxa"/>
            <w:gridSpan w:val="2"/>
            <w:tcBorders>
              <w:top w:val="nil"/>
              <w:left w:val="nil"/>
              <w:bottom w:val="single" w:sz="4" w:space="0" w:color="auto"/>
              <w:right w:val="single" w:sz="4" w:space="0" w:color="auto"/>
            </w:tcBorders>
            <w:shd w:val="clear" w:color="auto" w:fill="C6EFCE"/>
            <w:noWrap/>
            <w:vAlign w:val="center"/>
          </w:tcPr>
          <w:p w14:paraId="3CBB0BAC"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14 – 4.3. Zlepšiť efektívnosť justičného systému – 16575 Urýchlenie výkonu spravodlivosti</w:t>
            </w:r>
          </w:p>
        </w:tc>
        <w:tc>
          <w:tcPr>
            <w:tcW w:w="1680" w:type="dxa"/>
            <w:gridSpan w:val="2"/>
            <w:tcBorders>
              <w:top w:val="nil"/>
              <w:left w:val="nil"/>
              <w:bottom w:val="single" w:sz="4" w:space="0" w:color="auto"/>
              <w:right w:val="single" w:sz="4" w:space="0" w:color="auto"/>
            </w:tcBorders>
            <w:shd w:val="clear" w:color="auto" w:fill="C6EFCE"/>
            <w:noWrap/>
            <w:vAlign w:val="center"/>
          </w:tcPr>
          <w:p w14:paraId="6EBBA1B8"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2F3800B0"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Funkčná súdna polícia</w:t>
            </w:r>
          </w:p>
        </w:tc>
      </w:tr>
      <w:tr w:rsidR="00302FC1" w:rsidRPr="00AB26B3" w14:paraId="3CC0FF91"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348F674"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244a</w:t>
            </w:r>
          </w:p>
        </w:tc>
        <w:tc>
          <w:tcPr>
            <w:tcW w:w="5193" w:type="dxa"/>
            <w:gridSpan w:val="2"/>
            <w:tcBorders>
              <w:top w:val="nil"/>
              <w:left w:val="nil"/>
              <w:bottom w:val="single" w:sz="4" w:space="0" w:color="auto"/>
              <w:right w:val="single" w:sz="4" w:space="0" w:color="auto"/>
            </w:tcBorders>
            <w:shd w:val="clear" w:color="auto" w:fill="C6EFCE"/>
            <w:noWrap/>
            <w:vAlign w:val="center"/>
          </w:tcPr>
          <w:p w14:paraId="1123860D" w14:textId="259A8671"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16957_Posilnenie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w:t>
            </w:r>
          </w:p>
        </w:tc>
        <w:tc>
          <w:tcPr>
            <w:tcW w:w="1680" w:type="dxa"/>
            <w:gridSpan w:val="2"/>
            <w:tcBorders>
              <w:top w:val="nil"/>
              <w:left w:val="nil"/>
              <w:bottom w:val="single" w:sz="4" w:space="0" w:color="auto"/>
              <w:right w:val="single" w:sz="4" w:space="0" w:color="auto"/>
            </w:tcBorders>
            <w:shd w:val="clear" w:color="auto" w:fill="C6EFCE"/>
            <w:noWrap/>
            <w:vAlign w:val="center"/>
          </w:tcPr>
          <w:p w14:paraId="1ADA6642"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4791BB08"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Elektronické aukcie na vymáhanie dlhov</w:t>
            </w:r>
          </w:p>
        </w:tc>
      </w:tr>
      <w:tr w:rsidR="00302FC1" w:rsidRPr="00AB26B3" w14:paraId="5C169D0E"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53193976"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235</w:t>
            </w:r>
          </w:p>
        </w:tc>
        <w:tc>
          <w:tcPr>
            <w:tcW w:w="5193" w:type="dxa"/>
            <w:gridSpan w:val="2"/>
            <w:tcBorders>
              <w:top w:val="nil"/>
              <w:left w:val="nil"/>
              <w:bottom w:val="single" w:sz="4" w:space="0" w:color="auto"/>
              <w:right w:val="single" w:sz="4" w:space="0" w:color="auto"/>
            </w:tcBorders>
            <w:shd w:val="clear" w:color="auto" w:fill="C6EFCE"/>
            <w:noWrap/>
            <w:vAlign w:val="center"/>
          </w:tcPr>
          <w:p w14:paraId="09BE5144" w14:textId="277840A7" w:rsidR="00302FC1" w:rsidRPr="00AB26B3" w:rsidRDefault="00D64F26">
            <w:pPr>
              <w:pStyle w:val="P68B1DB1-Normal52"/>
              <w:keepNext/>
              <w:spacing w:before="40" w:after="0" w:line="240" w:lineRule="auto"/>
              <w:rPr>
                <w:noProof/>
                <w:spacing w:val="-6"/>
                <w:lang w:val="sk-SK"/>
              </w:rPr>
            </w:pPr>
            <w:r w:rsidRPr="00AB26B3">
              <w:rPr>
                <w:noProof/>
                <w:spacing w:val="-6"/>
                <w:lang w:val="sk-SK"/>
              </w:rPr>
              <w:t>14 – 4.3. Zlepšiť efektívnosť justičného systému – 16733_Zručnosti</w:t>
            </w:r>
            <w:r w:rsidR="00AB26B3" w:rsidRPr="00AB26B3">
              <w:rPr>
                <w:noProof/>
                <w:spacing w:val="-6"/>
                <w:lang w:val="sk-SK"/>
              </w:rPr>
              <w:t xml:space="preserve"> a </w:t>
            </w:r>
            <w:r w:rsidRPr="00AB26B3">
              <w:rPr>
                <w:noProof/>
                <w:spacing w:val="-6"/>
                <w:lang w:val="sk-SK"/>
              </w:rPr>
              <w:t>digitálne zručnosti sudcov</w:t>
            </w:r>
            <w:r w:rsidR="00AB26B3" w:rsidRPr="00AB26B3">
              <w:rPr>
                <w:noProof/>
                <w:spacing w:val="-6"/>
                <w:lang w:val="sk-SK"/>
              </w:rPr>
              <w:t xml:space="preserve"> a </w:t>
            </w:r>
            <w:r w:rsidRPr="00AB26B3">
              <w:rPr>
                <w:noProof/>
                <w:spacing w:val="-6"/>
                <w:lang w:val="sk-SK"/>
              </w:rPr>
              <w:t>justičných zamestnancov</w:t>
            </w:r>
          </w:p>
        </w:tc>
        <w:tc>
          <w:tcPr>
            <w:tcW w:w="1680" w:type="dxa"/>
            <w:gridSpan w:val="2"/>
            <w:tcBorders>
              <w:top w:val="nil"/>
              <w:left w:val="nil"/>
              <w:bottom w:val="single" w:sz="4" w:space="0" w:color="auto"/>
              <w:right w:val="single" w:sz="4" w:space="0" w:color="auto"/>
            </w:tcBorders>
            <w:shd w:val="clear" w:color="auto" w:fill="C6EFCE"/>
            <w:noWrap/>
            <w:vAlign w:val="center"/>
          </w:tcPr>
          <w:p w14:paraId="654058AB"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70969673" w14:textId="1B7990A7" w:rsidR="00302FC1" w:rsidRPr="00AB26B3" w:rsidRDefault="00D64F26">
            <w:pPr>
              <w:pStyle w:val="P68B1DB1-Normal52"/>
              <w:keepNext/>
              <w:spacing w:before="40" w:after="0" w:line="240" w:lineRule="auto"/>
              <w:rPr>
                <w:noProof/>
                <w:spacing w:val="-6"/>
                <w:lang w:val="sk-SK"/>
              </w:rPr>
            </w:pPr>
            <w:r w:rsidRPr="00AB26B3">
              <w:rPr>
                <w:noProof/>
                <w:spacing w:val="-6"/>
                <w:lang w:val="sk-SK"/>
              </w:rPr>
              <w:t>Odborná príprava – sudcovia</w:t>
            </w:r>
            <w:r w:rsidR="00AB26B3" w:rsidRPr="00AB26B3">
              <w:rPr>
                <w:noProof/>
                <w:spacing w:val="-6"/>
                <w:lang w:val="sk-SK"/>
              </w:rPr>
              <w:t xml:space="preserve"> a </w:t>
            </w:r>
            <w:r w:rsidRPr="00AB26B3">
              <w:rPr>
                <w:noProof/>
                <w:spacing w:val="-6"/>
                <w:lang w:val="sk-SK"/>
              </w:rPr>
              <w:t>administratívni pracovníci</w:t>
            </w:r>
          </w:p>
        </w:tc>
      </w:tr>
      <w:tr w:rsidR="00302FC1" w:rsidRPr="00AB26B3" w14:paraId="4F046BDC"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6A9415D9"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244b</w:t>
            </w:r>
          </w:p>
        </w:tc>
        <w:tc>
          <w:tcPr>
            <w:tcW w:w="5193" w:type="dxa"/>
            <w:gridSpan w:val="2"/>
            <w:tcBorders>
              <w:top w:val="nil"/>
              <w:left w:val="nil"/>
              <w:bottom w:val="single" w:sz="4" w:space="0" w:color="auto"/>
              <w:right w:val="single" w:sz="4" w:space="0" w:color="auto"/>
            </w:tcBorders>
            <w:shd w:val="clear" w:color="auto" w:fill="C6EFCE"/>
            <w:noWrap/>
            <w:vAlign w:val="center"/>
          </w:tcPr>
          <w:p w14:paraId="4E171806" w14:textId="05D0F113"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16957_Posilnenie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w:t>
            </w:r>
          </w:p>
        </w:tc>
        <w:tc>
          <w:tcPr>
            <w:tcW w:w="1680" w:type="dxa"/>
            <w:gridSpan w:val="2"/>
            <w:tcBorders>
              <w:top w:val="nil"/>
              <w:left w:val="nil"/>
              <w:bottom w:val="single" w:sz="4" w:space="0" w:color="auto"/>
              <w:right w:val="single" w:sz="4" w:space="0" w:color="auto"/>
            </w:tcBorders>
            <w:shd w:val="clear" w:color="auto" w:fill="C6EFCE"/>
            <w:noWrap/>
            <w:vAlign w:val="center"/>
          </w:tcPr>
          <w:p w14:paraId="67017120"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3D5DB563"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 xml:space="preserve">Zadanie zákazky na opatrenia finančného sektora </w:t>
            </w:r>
          </w:p>
        </w:tc>
      </w:tr>
      <w:tr w:rsidR="00302FC1" w:rsidRPr="00AB26B3" w14:paraId="053CD5C9"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77AAA90A"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247</w:t>
            </w:r>
          </w:p>
        </w:tc>
        <w:tc>
          <w:tcPr>
            <w:tcW w:w="5193" w:type="dxa"/>
            <w:gridSpan w:val="2"/>
            <w:tcBorders>
              <w:top w:val="nil"/>
              <w:left w:val="nil"/>
              <w:bottom w:val="single" w:sz="4" w:space="0" w:color="auto"/>
              <w:right w:val="single" w:sz="4" w:space="0" w:color="auto"/>
            </w:tcBorders>
            <w:shd w:val="clear" w:color="auto" w:fill="C6EFCE"/>
            <w:noWrap/>
            <w:vAlign w:val="center"/>
          </w:tcPr>
          <w:p w14:paraId="6923E7D4" w14:textId="2B2C3A5E"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16624_Creation – Expansion – Modernizácia infraštruktúr výskumných centier pod dohľadom Generálneho sekretariátu pre výskum</w:t>
            </w:r>
            <w:r w:rsidR="00AB26B3" w:rsidRPr="00AB26B3">
              <w:rPr>
                <w:noProof/>
                <w:spacing w:val="-6"/>
                <w:lang w:val="sk-SK"/>
              </w:rPr>
              <w:t xml:space="preserve"> a </w:t>
            </w:r>
            <w:r w:rsidRPr="00AB26B3">
              <w:rPr>
                <w:noProof/>
                <w:spacing w:val="-6"/>
                <w:lang w:val="sk-SK"/>
              </w:rPr>
              <w:t>inovácie (GSRI)</w:t>
            </w:r>
          </w:p>
        </w:tc>
        <w:tc>
          <w:tcPr>
            <w:tcW w:w="1680" w:type="dxa"/>
            <w:gridSpan w:val="2"/>
            <w:tcBorders>
              <w:top w:val="nil"/>
              <w:left w:val="nil"/>
              <w:bottom w:val="single" w:sz="4" w:space="0" w:color="auto"/>
              <w:right w:val="single" w:sz="4" w:space="0" w:color="auto"/>
            </w:tcBorders>
            <w:shd w:val="clear" w:color="auto" w:fill="C6EFCE"/>
            <w:noWrap/>
            <w:vAlign w:val="center"/>
          </w:tcPr>
          <w:p w14:paraId="2181B251"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07A2A266"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Zadávanie zákaziek pre výskumné centrá – stavebné práce</w:t>
            </w:r>
          </w:p>
        </w:tc>
      </w:tr>
      <w:tr w:rsidR="00302FC1" w:rsidRPr="00AB26B3" w14:paraId="68ABD3D8"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09E23260"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248</w:t>
            </w:r>
          </w:p>
        </w:tc>
        <w:tc>
          <w:tcPr>
            <w:tcW w:w="5193" w:type="dxa"/>
            <w:gridSpan w:val="2"/>
            <w:tcBorders>
              <w:top w:val="nil"/>
              <w:left w:val="nil"/>
              <w:bottom w:val="single" w:sz="4" w:space="0" w:color="auto"/>
              <w:right w:val="single" w:sz="4" w:space="0" w:color="auto"/>
            </w:tcBorders>
            <w:shd w:val="clear" w:color="auto" w:fill="C6EFCE"/>
            <w:noWrap/>
            <w:vAlign w:val="center"/>
          </w:tcPr>
          <w:p w14:paraId="45B342C0" w14:textId="437495F0"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16654_TH 2 ORAX: Trellis Holistic &amp; Hybrid Operational Ruggedised Autonómny eXemplárny systém</w:t>
            </w:r>
          </w:p>
        </w:tc>
        <w:tc>
          <w:tcPr>
            <w:tcW w:w="1680" w:type="dxa"/>
            <w:gridSpan w:val="2"/>
            <w:tcBorders>
              <w:top w:val="nil"/>
              <w:left w:val="nil"/>
              <w:bottom w:val="single" w:sz="4" w:space="0" w:color="auto"/>
              <w:right w:val="single" w:sz="4" w:space="0" w:color="auto"/>
            </w:tcBorders>
            <w:shd w:val="clear" w:color="auto" w:fill="C6EFCE"/>
            <w:noWrap/>
            <w:vAlign w:val="center"/>
          </w:tcPr>
          <w:p w14:paraId="09148A3B"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7407C209"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Zadávanie zákaziek na TH2ORAX</w:t>
            </w:r>
          </w:p>
        </w:tc>
      </w:tr>
      <w:tr w:rsidR="00302FC1" w:rsidRPr="00AB26B3" w14:paraId="52F8E68E"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22EAF9FC"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258</w:t>
            </w:r>
          </w:p>
        </w:tc>
        <w:tc>
          <w:tcPr>
            <w:tcW w:w="5193" w:type="dxa"/>
            <w:gridSpan w:val="2"/>
            <w:tcBorders>
              <w:top w:val="nil"/>
              <w:left w:val="nil"/>
              <w:bottom w:val="single" w:sz="4" w:space="0" w:color="auto"/>
              <w:right w:val="single" w:sz="4" w:space="0" w:color="auto"/>
            </w:tcBorders>
            <w:shd w:val="clear" w:color="auto" w:fill="C6EFCE"/>
            <w:noWrap/>
            <w:vAlign w:val="center"/>
          </w:tcPr>
          <w:p w14:paraId="2B84FD55" w14:textId="707ECF83"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16631_Zlepšenie bezpečnosti cestnej premávky</w:t>
            </w:r>
          </w:p>
        </w:tc>
        <w:tc>
          <w:tcPr>
            <w:tcW w:w="1680" w:type="dxa"/>
            <w:gridSpan w:val="2"/>
            <w:tcBorders>
              <w:top w:val="nil"/>
              <w:left w:val="nil"/>
              <w:bottom w:val="single" w:sz="4" w:space="0" w:color="auto"/>
              <w:right w:val="single" w:sz="4" w:space="0" w:color="auto"/>
            </w:tcBorders>
            <w:shd w:val="clear" w:color="auto" w:fill="C6EFCE"/>
            <w:noWrap/>
            <w:vAlign w:val="center"/>
          </w:tcPr>
          <w:p w14:paraId="27F775FB"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5B75D854" w14:textId="5FC87D92"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Zadanie zákazky</w:t>
            </w:r>
            <w:r w:rsidR="00AB26B3" w:rsidRPr="00AB26B3">
              <w:rPr>
                <w:noProof/>
                <w:spacing w:val="-6"/>
                <w:lang w:val="sk-SK"/>
              </w:rPr>
              <w:t xml:space="preserve"> v </w:t>
            </w:r>
            <w:r w:rsidRPr="00AB26B3">
              <w:rPr>
                <w:noProof/>
                <w:spacing w:val="-6"/>
                <w:lang w:val="sk-SK"/>
              </w:rPr>
              <w:t>oblasti bezpečnosti cestnej premávky – všetky zákazky</w:t>
            </w:r>
          </w:p>
        </w:tc>
      </w:tr>
      <w:tr w:rsidR="00302FC1" w:rsidRPr="00AB26B3" w14:paraId="37B19F7F"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1B1BFD6"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268</w:t>
            </w:r>
          </w:p>
        </w:tc>
        <w:tc>
          <w:tcPr>
            <w:tcW w:w="5193" w:type="dxa"/>
            <w:gridSpan w:val="2"/>
            <w:tcBorders>
              <w:top w:val="nil"/>
              <w:left w:val="nil"/>
              <w:bottom w:val="single" w:sz="4" w:space="0" w:color="auto"/>
              <w:right w:val="single" w:sz="4" w:space="0" w:color="auto"/>
            </w:tcBorders>
            <w:shd w:val="clear" w:color="auto" w:fill="C6EFCE"/>
            <w:noWrap/>
            <w:vAlign w:val="center"/>
          </w:tcPr>
          <w:p w14:paraId="0B193DF3" w14:textId="2E4444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680" w:type="dxa"/>
            <w:gridSpan w:val="2"/>
            <w:tcBorders>
              <w:top w:val="nil"/>
              <w:left w:val="nil"/>
              <w:bottom w:val="single" w:sz="4" w:space="0" w:color="auto"/>
              <w:right w:val="single" w:sz="4" w:space="0" w:color="auto"/>
            </w:tcBorders>
            <w:shd w:val="clear" w:color="auto" w:fill="C6EFCE"/>
            <w:noWrap/>
            <w:vAlign w:val="center"/>
          </w:tcPr>
          <w:p w14:paraId="626A5882"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24D26D23" w14:textId="77777777" w:rsidR="00302FC1" w:rsidRPr="00AB26B3" w:rsidRDefault="00D64F26">
            <w:pPr>
              <w:pStyle w:val="P68B1DB1-Normal11"/>
              <w:keepNext/>
              <w:spacing w:before="40" w:after="0" w:line="240" w:lineRule="auto"/>
              <w:rPr>
                <w:rFonts w:cs="Times New Roman"/>
                <w:noProof/>
                <w:spacing w:val="-6"/>
                <w:lang w:val="sk-SK"/>
              </w:rPr>
            </w:pPr>
            <w:r w:rsidRPr="00AB26B3">
              <w:rPr>
                <w:noProof/>
                <w:spacing w:val="-6"/>
                <w:lang w:val="sk-SK"/>
              </w:rPr>
              <w:t xml:space="preserve">Realizačný plán Helénskych železníc </w:t>
            </w:r>
          </w:p>
        </w:tc>
      </w:tr>
      <w:tr w:rsidR="00302FC1" w:rsidRPr="00AB26B3" w14:paraId="7F80A103"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440A56D"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295</w:t>
            </w:r>
          </w:p>
        </w:tc>
        <w:tc>
          <w:tcPr>
            <w:tcW w:w="5193" w:type="dxa"/>
            <w:gridSpan w:val="2"/>
            <w:tcBorders>
              <w:top w:val="nil"/>
              <w:left w:val="nil"/>
              <w:bottom w:val="single" w:sz="4" w:space="0" w:color="auto"/>
              <w:right w:val="single" w:sz="4" w:space="0" w:color="auto"/>
            </w:tcBorders>
            <w:shd w:val="clear" w:color="auto" w:fill="C6EFCE"/>
            <w:noWrap/>
            <w:vAlign w:val="center"/>
          </w:tcPr>
          <w:p w14:paraId="2F171BB8" w14:textId="798F149D"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16931_Rozvoj cestovného ruchu</w:t>
            </w:r>
          </w:p>
        </w:tc>
        <w:tc>
          <w:tcPr>
            <w:tcW w:w="1680" w:type="dxa"/>
            <w:gridSpan w:val="2"/>
            <w:tcBorders>
              <w:top w:val="nil"/>
              <w:left w:val="nil"/>
              <w:bottom w:val="single" w:sz="4" w:space="0" w:color="auto"/>
              <w:right w:val="single" w:sz="4" w:space="0" w:color="auto"/>
            </w:tcBorders>
            <w:shd w:val="clear" w:color="auto" w:fill="C6EFCE"/>
            <w:noWrap/>
            <w:vAlign w:val="center"/>
          </w:tcPr>
          <w:p w14:paraId="248F2282"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222BA5B4" w14:textId="1CC34BEE" w:rsidR="00302FC1" w:rsidRPr="00AB26B3" w:rsidRDefault="00D64F26">
            <w:pPr>
              <w:pStyle w:val="P68B1DB1-Normal34"/>
              <w:keepNext/>
              <w:spacing w:before="40" w:after="0" w:line="240" w:lineRule="auto"/>
              <w:rPr>
                <w:rFonts w:ascii="Times New Roman" w:hAnsi="Times New Roman" w:cs="Times New Roman"/>
                <w:noProof/>
                <w:spacing w:val="-6"/>
                <w:szCs w:val="18"/>
                <w:lang w:val="sk-SK"/>
              </w:rPr>
            </w:pPr>
            <w:r w:rsidRPr="00AB26B3">
              <w:rPr>
                <w:rFonts w:ascii="Times New Roman" w:hAnsi="Times New Roman"/>
                <w:noProof/>
                <w:spacing w:val="-6"/>
                <w:lang w:val="sk-SK"/>
              </w:rPr>
              <w:t xml:space="preserve">Rozvoj cestovného ruchu: </w:t>
            </w:r>
            <w:r w:rsidRPr="00AB26B3">
              <w:rPr>
                <w:rFonts w:ascii="Times New Roman" w:hAnsi="Times New Roman" w:cs="Times New Roman"/>
                <w:noProof/>
                <w:spacing w:val="-6"/>
                <w:szCs w:val="18"/>
                <w:lang w:val="sk-SK"/>
              </w:rPr>
              <w:t>Uverejnenie rozhodnutí</w:t>
            </w:r>
            <w:r w:rsidR="00AB26B3" w:rsidRPr="00AB26B3">
              <w:rPr>
                <w:rFonts w:ascii="Times New Roman" w:hAnsi="Times New Roman" w:cs="Times New Roman"/>
                <w:noProof/>
                <w:color w:val="006100"/>
                <w:spacing w:val="-6"/>
                <w:szCs w:val="18"/>
                <w:lang w:val="sk-SK"/>
              </w:rPr>
              <w:t xml:space="preserve"> o </w:t>
            </w:r>
            <w:r w:rsidRPr="00AB26B3">
              <w:rPr>
                <w:rFonts w:ascii="Times New Roman" w:hAnsi="Times New Roman" w:cs="Times New Roman"/>
                <w:noProof/>
                <w:spacing w:val="-6"/>
                <w:szCs w:val="18"/>
                <w:lang w:val="sk-SK"/>
              </w:rPr>
              <w:t>schválení</w:t>
            </w:r>
            <w:r w:rsidRPr="00AB26B3">
              <w:rPr>
                <w:rFonts w:ascii="Times New Roman" w:hAnsi="Times New Roman"/>
                <w:noProof/>
                <w:spacing w:val="-6"/>
                <w:lang w:val="sk-SK"/>
              </w:rPr>
              <w:t>turistických prístavov</w:t>
            </w:r>
          </w:p>
        </w:tc>
      </w:tr>
      <w:tr w:rsidR="00302FC1" w:rsidRPr="00AB26B3" w14:paraId="67081D99"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04ADD9E4"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304</w:t>
            </w:r>
          </w:p>
        </w:tc>
        <w:tc>
          <w:tcPr>
            <w:tcW w:w="5193" w:type="dxa"/>
            <w:gridSpan w:val="2"/>
            <w:tcBorders>
              <w:top w:val="nil"/>
              <w:left w:val="nil"/>
              <w:bottom w:val="single" w:sz="4" w:space="0" w:color="auto"/>
              <w:right w:val="single" w:sz="4" w:space="0" w:color="auto"/>
            </w:tcBorders>
            <w:shd w:val="clear" w:color="auto" w:fill="C6EFCE"/>
            <w:noWrap/>
            <w:vAlign w:val="center"/>
          </w:tcPr>
          <w:p w14:paraId="1C8CC597" w14:textId="5FAE354B"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16634_Nové priemyselné parky</w:t>
            </w:r>
          </w:p>
        </w:tc>
        <w:tc>
          <w:tcPr>
            <w:tcW w:w="1680" w:type="dxa"/>
            <w:gridSpan w:val="2"/>
            <w:tcBorders>
              <w:top w:val="nil"/>
              <w:left w:val="nil"/>
              <w:bottom w:val="single" w:sz="4" w:space="0" w:color="auto"/>
              <w:right w:val="single" w:sz="4" w:space="0" w:color="auto"/>
            </w:tcBorders>
            <w:shd w:val="clear" w:color="auto" w:fill="C6EFCE"/>
            <w:noWrap/>
            <w:vAlign w:val="center"/>
          </w:tcPr>
          <w:p w14:paraId="5F84E973"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08FCD871"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Priemyselné parky – legislatívna reforma (sekundárne právne predpisy)</w:t>
            </w:r>
          </w:p>
        </w:tc>
      </w:tr>
      <w:tr w:rsidR="00302FC1" w:rsidRPr="00AB26B3" w14:paraId="1A7A5F27"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3D64596A"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317</w:t>
            </w:r>
          </w:p>
        </w:tc>
        <w:tc>
          <w:tcPr>
            <w:tcW w:w="5193" w:type="dxa"/>
            <w:gridSpan w:val="2"/>
            <w:tcBorders>
              <w:top w:val="nil"/>
              <w:left w:val="nil"/>
              <w:bottom w:val="single" w:sz="4" w:space="0" w:color="auto"/>
              <w:right w:val="single" w:sz="4" w:space="0" w:color="auto"/>
            </w:tcBorders>
            <w:shd w:val="clear" w:color="auto" w:fill="C6EFCE"/>
            <w:noWrap/>
            <w:vAlign w:val="center"/>
          </w:tcPr>
          <w:p w14:paraId="4DC70163" w14:textId="643025C3"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18 – 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16543_Opatrenia na zjednodušenie podnikateľského prostredia</w:t>
            </w:r>
            <w:r w:rsidR="00AB26B3" w:rsidRPr="00AB26B3">
              <w:rPr>
                <w:noProof/>
                <w:spacing w:val="-6"/>
                <w:lang w:val="sk-SK"/>
              </w:rPr>
              <w:t xml:space="preserve"> a </w:t>
            </w:r>
            <w:r w:rsidRPr="00AB26B3">
              <w:rPr>
                <w:noProof/>
                <w:spacing w:val="-6"/>
                <w:lang w:val="sk-SK"/>
              </w:rPr>
              <w:t>jeho zlepšenie kvality</w:t>
            </w:r>
            <w:r w:rsidR="00AB26B3" w:rsidRPr="00AB26B3">
              <w:rPr>
                <w:noProof/>
                <w:spacing w:val="-6"/>
                <w:lang w:val="sk-SK"/>
              </w:rPr>
              <w:t xml:space="preserve"> a </w:t>
            </w:r>
            <w:r w:rsidRPr="00AB26B3">
              <w:rPr>
                <w:noProof/>
                <w:spacing w:val="-6"/>
                <w:lang w:val="sk-SK"/>
              </w:rPr>
              <w:t>bezpečnosti</w:t>
            </w:r>
          </w:p>
        </w:tc>
        <w:tc>
          <w:tcPr>
            <w:tcW w:w="1680" w:type="dxa"/>
            <w:gridSpan w:val="2"/>
            <w:tcBorders>
              <w:top w:val="nil"/>
              <w:left w:val="nil"/>
              <w:bottom w:val="single" w:sz="4" w:space="0" w:color="auto"/>
              <w:right w:val="single" w:sz="4" w:space="0" w:color="auto"/>
            </w:tcBorders>
            <w:shd w:val="clear" w:color="auto" w:fill="C6EFCE"/>
            <w:noWrap/>
            <w:vAlign w:val="center"/>
          </w:tcPr>
          <w:p w14:paraId="668D108C"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4CC0C60B" w14:textId="0CD9C69B"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Vytvorenie politiky kvality</w:t>
            </w:r>
            <w:r w:rsidR="00AB26B3" w:rsidRPr="00AB26B3">
              <w:rPr>
                <w:noProof/>
                <w:spacing w:val="-6"/>
                <w:lang w:val="sk-SK"/>
              </w:rPr>
              <w:t xml:space="preserve"> a </w:t>
            </w:r>
            <w:r w:rsidRPr="00AB26B3">
              <w:rPr>
                <w:noProof/>
                <w:spacing w:val="-6"/>
                <w:lang w:val="sk-SK"/>
              </w:rPr>
              <w:t xml:space="preserve">nového regulačného rámca pre kvalitnú infraštruktúru </w:t>
            </w:r>
          </w:p>
        </w:tc>
      </w:tr>
      <w:tr w:rsidR="00302FC1" w:rsidRPr="00AB26B3" w14:paraId="58859275" w14:textId="77777777">
        <w:trPr>
          <w:trHeight w:val="302"/>
        </w:trPr>
        <w:tc>
          <w:tcPr>
            <w:tcW w:w="675" w:type="dxa"/>
            <w:tcBorders>
              <w:top w:val="nil"/>
              <w:left w:val="single" w:sz="4" w:space="0" w:color="auto"/>
              <w:bottom w:val="single" w:sz="4" w:space="0" w:color="auto"/>
              <w:right w:val="single" w:sz="4" w:space="0" w:color="auto"/>
            </w:tcBorders>
            <w:shd w:val="clear" w:color="auto" w:fill="C6EFCE"/>
            <w:noWrap/>
            <w:vAlign w:val="center"/>
          </w:tcPr>
          <w:p w14:paraId="63A115C3"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318</w:t>
            </w:r>
          </w:p>
        </w:tc>
        <w:tc>
          <w:tcPr>
            <w:tcW w:w="5193" w:type="dxa"/>
            <w:gridSpan w:val="2"/>
            <w:tcBorders>
              <w:top w:val="nil"/>
              <w:left w:val="nil"/>
              <w:bottom w:val="single" w:sz="4" w:space="0" w:color="auto"/>
              <w:right w:val="single" w:sz="4" w:space="0" w:color="auto"/>
            </w:tcBorders>
            <w:shd w:val="clear" w:color="auto" w:fill="C6EFCE"/>
            <w:noWrap/>
            <w:vAlign w:val="center"/>
          </w:tcPr>
          <w:p w14:paraId="35CCB554" w14:textId="6DA2528B"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18 – 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16591_Zjednodušenie podnikania</w:t>
            </w:r>
          </w:p>
        </w:tc>
        <w:tc>
          <w:tcPr>
            <w:tcW w:w="1680" w:type="dxa"/>
            <w:gridSpan w:val="2"/>
            <w:tcBorders>
              <w:top w:val="nil"/>
              <w:left w:val="nil"/>
              <w:bottom w:val="single" w:sz="4" w:space="0" w:color="auto"/>
              <w:right w:val="single" w:sz="4" w:space="0" w:color="auto"/>
            </w:tcBorders>
            <w:shd w:val="clear" w:color="auto" w:fill="C6EFCE"/>
            <w:noWrap/>
            <w:vAlign w:val="center"/>
          </w:tcPr>
          <w:p w14:paraId="0955290B"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2047" w:type="dxa"/>
            <w:tcBorders>
              <w:top w:val="nil"/>
              <w:left w:val="nil"/>
              <w:bottom w:val="single" w:sz="4" w:space="0" w:color="auto"/>
              <w:right w:val="single" w:sz="4" w:space="0" w:color="auto"/>
            </w:tcBorders>
            <w:shd w:val="clear" w:color="auto" w:fill="C6EFCE"/>
            <w:noWrap/>
            <w:vAlign w:val="center"/>
          </w:tcPr>
          <w:p w14:paraId="23143016"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Zlepšenie podnikateľského prostredia – uľahčenie podnikania</w:t>
            </w:r>
          </w:p>
        </w:tc>
      </w:tr>
      <w:tr w:rsidR="00302FC1" w:rsidRPr="00AB26B3" w14:paraId="1CDC5469"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5083E0"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335</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06DFD509" w14:textId="10E0F913"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16984_Reforma osobných lekárov</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53FC77A3"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178678FE"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Osobná reforma lekárov – nadobudnutie účinnosti právnych predpisov</w:t>
            </w:r>
          </w:p>
        </w:tc>
      </w:tr>
      <w:tr w:rsidR="00302FC1" w:rsidRPr="00AB26B3" w14:paraId="4E1848EC"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9EF318"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339</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2BE0CD57" w14:textId="51A49B95"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16985_Zmeny gréckeho rámca daňovej politiky</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6A32527A"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2793044A"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Posilniť operačnú autonómiu nezávislého orgánu pre verejné príjmy (IAPR)</w:t>
            </w:r>
          </w:p>
        </w:tc>
      </w:tr>
      <w:tr w:rsidR="00302FC1" w:rsidRPr="00AB26B3" w14:paraId="167419FD"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B26EDD"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342</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1C53C1B2" w14:textId="37450DD4"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16986_Dokončenie národného katastra</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543A7FFC"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Cieľ</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634CDAD5" w14:textId="7F8807F0"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Katastrálne mapovanie – 95</w:t>
            </w:r>
            <w:r w:rsidR="00AB26B3" w:rsidRPr="00AB26B3">
              <w:rPr>
                <w:noProof/>
                <w:spacing w:val="-6"/>
                <w:lang w:val="sk-SK"/>
              </w:rPr>
              <w:t> %</w:t>
            </w:r>
            <w:r w:rsidRPr="00AB26B3">
              <w:rPr>
                <w:noProof/>
                <w:spacing w:val="-6"/>
                <w:lang w:val="sk-SK"/>
              </w:rPr>
              <w:t xml:space="preserve"> dokončenie</w:t>
            </w:r>
          </w:p>
        </w:tc>
      </w:tr>
      <w:tr w:rsidR="00302FC1" w:rsidRPr="00AB26B3" w14:paraId="37F78233"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15B501"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343</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7ECDED1B" w14:textId="3AC8EED3"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16986_Dokončenie národného katastra</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3D0E2DDA"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6401E693"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Prechod na novú organizačnú štruktúru gréckeho katastra nehnuteľností – úplné dokončenie</w:t>
            </w:r>
          </w:p>
        </w:tc>
      </w:tr>
      <w:tr w:rsidR="00302FC1" w:rsidRPr="00AB26B3" w14:paraId="4A5398BB"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4AAE7A"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351</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251450E5" w14:textId="22544EB1"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20 – 5.1. Reformy REPowerEU – 16987_Licenčný rámec pre obnoviteľný vodík</w:t>
            </w:r>
            <w:r w:rsidR="00AB26B3" w:rsidRPr="00AB26B3">
              <w:rPr>
                <w:noProof/>
                <w:spacing w:val="-6"/>
                <w:lang w:val="sk-SK"/>
              </w:rPr>
              <w:t xml:space="preserve"> a </w:t>
            </w:r>
            <w:r w:rsidRPr="00AB26B3">
              <w:rPr>
                <w:noProof/>
                <w:spacing w:val="-6"/>
                <w:lang w:val="sk-SK"/>
              </w:rPr>
              <w:t>udržateľný biometán</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17701B1D"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42CCEAAC" w14:textId="33FA19AA"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Legislatívny rámec pre obnoviteľný vodík</w:t>
            </w:r>
            <w:r w:rsidR="00AB26B3" w:rsidRPr="00AB26B3">
              <w:rPr>
                <w:noProof/>
                <w:spacing w:val="-6"/>
                <w:lang w:val="sk-SK"/>
              </w:rPr>
              <w:t xml:space="preserve"> a </w:t>
            </w:r>
            <w:r w:rsidRPr="00AB26B3">
              <w:rPr>
                <w:noProof/>
                <w:spacing w:val="-6"/>
                <w:lang w:val="sk-SK"/>
              </w:rPr>
              <w:t>udržateľný biometán</w:t>
            </w:r>
          </w:p>
        </w:tc>
      </w:tr>
      <w:tr w:rsidR="00302FC1" w:rsidRPr="00AB26B3" w14:paraId="4C46BBD2"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172C62"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356</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080E550A" w14:textId="439C0299"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20 – 5.1. Reformy REPowerEU – 16990_Zvýšenie kapacity sústavy</w:t>
            </w:r>
            <w:r w:rsidR="00AB26B3" w:rsidRPr="00AB26B3">
              <w:rPr>
                <w:noProof/>
                <w:spacing w:val="-6"/>
                <w:lang w:val="sk-SK"/>
              </w:rPr>
              <w:t xml:space="preserve"> a </w:t>
            </w:r>
            <w:r w:rsidRPr="00AB26B3">
              <w:rPr>
                <w:noProof/>
                <w:spacing w:val="-6"/>
                <w:lang w:val="sk-SK"/>
              </w:rPr>
              <w:t xml:space="preserve">uskladňovacej kapacity – podpora investícií do uskladňovania </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28E12545"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605F8A3A"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Nadobudnutie účinnosti legislatívneho rámca</w:t>
            </w:r>
          </w:p>
        </w:tc>
      </w:tr>
      <w:tr w:rsidR="00302FC1" w:rsidRPr="00AB26B3" w14:paraId="58A12718"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A03E94"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358</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2E8DA50F"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20 – 5.1. Reformy REPowerEU – 16991_Regulačný rámec pre inteligentnú sieť</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0B01FC81"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6640A259" w14:textId="43578F48"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Rozvoj systému založeného na stimuloch pre prevádzkovateľa distribučnej sústavy</w:t>
            </w:r>
            <w:r w:rsidR="00AB26B3" w:rsidRPr="00AB26B3">
              <w:rPr>
                <w:noProof/>
                <w:spacing w:val="-6"/>
                <w:lang w:val="sk-SK"/>
              </w:rPr>
              <w:t xml:space="preserve"> a </w:t>
            </w:r>
            <w:r w:rsidRPr="00AB26B3">
              <w:rPr>
                <w:noProof/>
                <w:spacing w:val="-6"/>
                <w:lang w:val="sk-SK"/>
              </w:rPr>
              <w:t>spotrebiteľov</w:t>
            </w:r>
            <w:r w:rsidR="00AB26B3" w:rsidRPr="00AB26B3">
              <w:rPr>
                <w:noProof/>
                <w:spacing w:val="-6"/>
                <w:lang w:val="sk-SK"/>
              </w:rPr>
              <w:t xml:space="preserve"> s </w:t>
            </w:r>
            <w:r w:rsidRPr="00AB26B3">
              <w:rPr>
                <w:noProof/>
                <w:spacing w:val="-6"/>
                <w:lang w:val="sk-SK"/>
              </w:rPr>
              <w:t>cieľom zvýšiť zavádzanie</w:t>
            </w:r>
            <w:r w:rsidR="00AB26B3" w:rsidRPr="00AB26B3">
              <w:rPr>
                <w:noProof/>
                <w:spacing w:val="-6"/>
                <w:lang w:val="sk-SK"/>
              </w:rPr>
              <w:t xml:space="preserve"> a </w:t>
            </w:r>
            <w:r w:rsidRPr="00AB26B3">
              <w:rPr>
                <w:noProof/>
                <w:spacing w:val="-6"/>
                <w:lang w:val="sk-SK"/>
              </w:rPr>
              <w:t>využívanie inteligentných meračov.</w:t>
            </w:r>
          </w:p>
        </w:tc>
      </w:tr>
      <w:tr w:rsidR="00302FC1" w:rsidRPr="00AB26B3" w14:paraId="6E03919F"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6599BD"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361</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09C7AF38" w14:textId="29F74A31"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20 – 5. Reformy REPowerEU – 16992_Súbor nástrojov na podporu spoločného využívania energie, vlastnej spotreby</w:t>
            </w:r>
            <w:r w:rsidR="00AB26B3" w:rsidRPr="00AB26B3">
              <w:rPr>
                <w:noProof/>
                <w:spacing w:val="-6"/>
                <w:lang w:val="sk-SK"/>
              </w:rPr>
              <w:t xml:space="preserve"> a </w:t>
            </w:r>
            <w:r w:rsidRPr="00AB26B3">
              <w:rPr>
                <w:noProof/>
                <w:spacing w:val="-6"/>
                <w:lang w:val="sk-SK"/>
              </w:rPr>
              <w:t>komunít vyrábajúcich energiu</w:t>
            </w:r>
            <w:r w:rsidR="00AB26B3" w:rsidRPr="00AB26B3">
              <w:rPr>
                <w:noProof/>
                <w:spacing w:val="-6"/>
                <w:lang w:val="sk-SK"/>
              </w:rPr>
              <w:t xml:space="preserve"> z </w:t>
            </w:r>
            <w:r w:rsidRPr="00AB26B3">
              <w:rPr>
                <w:noProof/>
                <w:spacing w:val="-6"/>
                <w:lang w:val="sk-SK"/>
              </w:rPr>
              <w:t>obnoviteľných zdrojov</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4C99BCBA"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40EA0D0D" w14:textId="0BC12BE4"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Nadobudnutie účinnosti primárnych</w:t>
            </w:r>
            <w:r w:rsidR="00AB26B3" w:rsidRPr="00AB26B3">
              <w:rPr>
                <w:noProof/>
                <w:spacing w:val="-6"/>
                <w:lang w:val="sk-SK"/>
              </w:rPr>
              <w:t xml:space="preserve"> a </w:t>
            </w:r>
            <w:r w:rsidRPr="00AB26B3">
              <w:rPr>
                <w:noProof/>
                <w:spacing w:val="-6"/>
                <w:lang w:val="sk-SK"/>
              </w:rPr>
              <w:t>sekundárnych právnych predpisov</w:t>
            </w:r>
            <w:r w:rsidR="00AB26B3" w:rsidRPr="00AB26B3">
              <w:rPr>
                <w:noProof/>
                <w:spacing w:val="-6"/>
                <w:lang w:val="sk-SK"/>
              </w:rPr>
              <w:t xml:space="preserve"> o </w:t>
            </w:r>
            <w:r w:rsidRPr="00AB26B3">
              <w:rPr>
                <w:noProof/>
                <w:spacing w:val="-6"/>
                <w:lang w:val="sk-SK"/>
              </w:rPr>
              <w:t>vlastnej spotrebe</w:t>
            </w:r>
            <w:r w:rsidR="00AB26B3" w:rsidRPr="00AB26B3">
              <w:rPr>
                <w:noProof/>
                <w:spacing w:val="-6"/>
                <w:lang w:val="sk-SK"/>
              </w:rPr>
              <w:t xml:space="preserve"> a </w:t>
            </w:r>
            <w:r w:rsidRPr="00AB26B3">
              <w:rPr>
                <w:noProof/>
                <w:spacing w:val="-6"/>
                <w:lang w:val="sk-SK"/>
              </w:rPr>
              <w:t>uľahčení povoľovacích procesov na inštaláciu staníc OZE</w:t>
            </w:r>
            <w:r w:rsidR="00AB26B3" w:rsidRPr="00AB26B3">
              <w:rPr>
                <w:noProof/>
                <w:spacing w:val="-6"/>
                <w:lang w:val="sk-SK"/>
              </w:rPr>
              <w:t xml:space="preserve"> v </w:t>
            </w:r>
            <w:r w:rsidRPr="00AB26B3">
              <w:rPr>
                <w:noProof/>
                <w:spacing w:val="-6"/>
                <w:lang w:val="sk-SK"/>
              </w:rPr>
              <w:t>bytových domoch</w:t>
            </w:r>
          </w:p>
        </w:tc>
      </w:tr>
      <w:tr w:rsidR="00302FC1" w:rsidRPr="00AB26B3" w14:paraId="3030BF75"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F6822A"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363</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20EC5369" w14:textId="5ADEFDA1"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20 – 5. Reformy REPowerEU – 16993_Plán inovačných intervencií</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identifikácia nových finančných nástrojov</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2548A7EE"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6F5F258F" w14:textId="342280ED"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Vypracovanie plánu inovačných intervencií</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právneho rámca</w:t>
            </w:r>
          </w:p>
        </w:tc>
      </w:tr>
      <w:tr w:rsidR="00302FC1" w:rsidRPr="00AB26B3" w14:paraId="5104A2AF"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2DC38B"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365</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4BB395BE" w14:textId="2D51D7B1"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16996_Inštalácia uskladňovania energie na účely ďalšieho prieniku OZE</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43848997"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4E9F5174"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Schválené projekty uskladňovania energie</w:t>
            </w:r>
          </w:p>
        </w:tc>
      </w:tr>
      <w:tr w:rsidR="00302FC1" w:rsidRPr="00AB26B3" w14:paraId="1ED0C53D"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E201B8" w14:textId="77777777" w:rsidR="00302FC1" w:rsidRPr="00AB26B3" w:rsidRDefault="00D64F26">
            <w:pPr>
              <w:pStyle w:val="P68B1DB1-Normal52"/>
              <w:keepNext/>
              <w:spacing w:before="40" w:after="0" w:line="259" w:lineRule="auto"/>
              <w:rPr>
                <w:noProof/>
                <w:spacing w:val="-6"/>
                <w:lang w:val="sk-SK"/>
              </w:rPr>
            </w:pPr>
            <w:r w:rsidRPr="00AB26B3">
              <w:rPr>
                <w:noProof/>
                <w:spacing w:val="-6"/>
                <w:lang w:val="sk-SK"/>
              </w:rPr>
              <w:t>370</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2E68CA22" w14:textId="6F504F8A" w:rsidR="00302FC1" w:rsidRPr="00AB26B3" w:rsidRDefault="00D64F26">
            <w:pPr>
              <w:pStyle w:val="P68B1DB1-Normal52"/>
              <w:keepNext/>
              <w:spacing w:before="40" w:after="0" w:line="259" w:lineRule="auto"/>
              <w:rPr>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16995_Projekt výroby vodíka</w:t>
            </w:r>
            <w:r w:rsidR="00AB26B3" w:rsidRPr="00AB26B3">
              <w:rPr>
                <w:noProof/>
                <w:spacing w:val="-6"/>
                <w:lang w:val="sk-SK"/>
              </w:rPr>
              <w:t xml:space="preserve"> z </w:t>
            </w:r>
            <w:r w:rsidRPr="00AB26B3">
              <w:rPr>
                <w:noProof/>
                <w:spacing w:val="-6"/>
                <w:lang w:val="sk-SK"/>
              </w:rPr>
              <w:t>obnoviteľných zdrojov</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051F4F79" w14:textId="77777777" w:rsidR="00302FC1" w:rsidRPr="00AB26B3" w:rsidRDefault="00D64F26">
            <w:pPr>
              <w:pStyle w:val="P68B1DB1-Normal52"/>
              <w:keepNext/>
              <w:spacing w:before="40" w:after="0" w:line="259" w:lineRule="auto"/>
              <w:rPr>
                <w:noProof/>
                <w:spacing w:val="-6"/>
                <w:lang w:val="sk-SK"/>
              </w:rPr>
            </w:pPr>
            <w:r w:rsidRPr="00AB26B3">
              <w:rPr>
                <w:noProof/>
                <w:spacing w:val="-6"/>
                <w:lang w:val="sk-SK"/>
              </w:rPr>
              <w:t>Míľnik</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1D38959F" w14:textId="153868B2" w:rsidR="00302FC1" w:rsidRPr="00AB26B3" w:rsidRDefault="00D64F26">
            <w:pPr>
              <w:pStyle w:val="P68B1DB1-Normal52"/>
              <w:keepNext/>
              <w:spacing w:before="40" w:after="0" w:line="259" w:lineRule="auto"/>
              <w:rPr>
                <w:noProof/>
                <w:spacing w:val="-6"/>
                <w:lang w:val="sk-SK"/>
              </w:rPr>
            </w:pPr>
            <w:r w:rsidRPr="00AB26B3">
              <w:rPr>
                <w:noProof/>
                <w:spacing w:val="-6"/>
                <w:lang w:val="sk-SK"/>
              </w:rPr>
              <w:t>Vydanie spoločného ministerského rozhodnutia</w:t>
            </w:r>
            <w:r w:rsidR="00AB26B3" w:rsidRPr="00AB26B3">
              <w:rPr>
                <w:noProof/>
                <w:spacing w:val="-6"/>
                <w:lang w:val="sk-SK"/>
              </w:rPr>
              <w:t xml:space="preserve"> o </w:t>
            </w:r>
            <w:r w:rsidRPr="00AB26B3">
              <w:rPr>
                <w:noProof/>
                <w:spacing w:val="-6"/>
                <w:lang w:val="sk-SK"/>
              </w:rPr>
              <w:t>poskytnutí grantu príjemcovi</w:t>
            </w:r>
          </w:p>
        </w:tc>
      </w:tr>
      <w:tr w:rsidR="00302FC1" w:rsidRPr="00AB26B3" w14:paraId="69248637"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2B6BC8" w14:textId="77777777" w:rsidR="00302FC1" w:rsidRPr="00AB26B3" w:rsidRDefault="00D64F26">
            <w:pPr>
              <w:pStyle w:val="P68B1DB1-Normal52"/>
              <w:keepNext/>
              <w:spacing w:before="40" w:after="0" w:line="259" w:lineRule="auto"/>
              <w:rPr>
                <w:noProof/>
                <w:spacing w:val="-6"/>
                <w:lang w:val="sk-SK"/>
              </w:rPr>
            </w:pPr>
            <w:r w:rsidRPr="00AB26B3">
              <w:rPr>
                <w:noProof/>
                <w:spacing w:val="-6"/>
                <w:lang w:val="sk-SK"/>
              </w:rPr>
              <w:t>368</w:t>
            </w: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7ED2C174" w14:textId="104C9BB1" w:rsidR="00302FC1" w:rsidRPr="00AB26B3" w:rsidRDefault="00D64F26">
            <w:pPr>
              <w:pStyle w:val="P68B1DB1-Normal52"/>
              <w:keepNext/>
              <w:spacing w:before="40" w:after="0" w:line="259" w:lineRule="auto"/>
              <w:rPr>
                <w:noProof/>
                <w:spacing w:val="-6"/>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16994_Energetická efektívnosť</w:t>
            </w:r>
            <w:r w:rsidR="00AB26B3" w:rsidRPr="00AB26B3">
              <w:rPr>
                <w:noProof/>
                <w:spacing w:val="-6"/>
                <w:lang w:val="sk-SK"/>
              </w:rPr>
              <w:t xml:space="preserve"> a </w:t>
            </w:r>
            <w:r w:rsidRPr="00AB26B3">
              <w:rPr>
                <w:noProof/>
                <w:spacing w:val="-6"/>
                <w:lang w:val="sk-SK"/>
              </w:rPr>
              <w:t>podpora obnoviteľných zdrojov energie na vlastnú spotrebu</w:t>
            </w: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76546B42" w14:textId="77777777" w:rsidR="00302FC1" w:rsidRPr="00AB26B3" w:rsidRDefault="00D64F26">
            <w:pPr>
              <w:pStyle w:val="P68B1DB1-Normal52"/>
              <w:keepNext/>
              <w:spacing w:before="40" w:after="0" w:line="259" w:lineRule="auto"/>
              <w:rPr>
                <w:noProof/>
                <w:spacing w:val="-6"/>
                <w:lang w:val="sk-SK"/>
              </w:rPr>
            </w:pPr>
            <w:r w:rsidRPr="00AB26B3">
              <w:rPr>
                <w:noProof/>
                <w:spacing w:val="-6"/>
                <w:lang w:val="sk-SK"/>
              </w:rPr>
              <w:t>Cieľ</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1FA3C761" w14:textId="77777777" w:rsidR="00302FC1" w:rsidRPr="00AB26B3" w:rsidRDefault="00D64F26">
            <w:pPr>
              <w:pStyle w:val="P68B1DB1-Normal52"/>
              <w:keepNext/>
              <w:spacing w:before="40" w:after="0" w:line="259" w:lineRule="auto"/>
              <w:rPr>
                <w:noProof/>
                <w:spacing w:val="-6"/>
                <w:lang w:val="sk-SK"/>
              </w:rPr>
            </w:pPr>
            <w:r w:rsidRPr="00AB26B3">
              <w:rPr>
                <w:noProof/>
                <w:spacing w:val="-6"/>
                <w:lang w:val="sk-SK"/>
              </w:rPr>
              <w:t>Inštalácia fotovoltických systémov na vlastnú spotrebu</w:t>
            </w:r>
          </w:p>
        </w:tc>
      </w:tr>
      <w:tr w:rsidR="00302FC1" w:rsidRPr="00AB26B3" w14:paraId="153CC34C"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3DCBBD"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5193" w:type="dxa"/>
            <w:gridSpan w:val="2"/>
            <w:tcBorders>
              <w:top w:val="single" w:sz="4" w:space="0" w:color="auto"/>
              <w:left w:val="nil"/>
              <w:bottom w:val="single" w:sz="4" w:space="0" w:color="auto"/>
              <w:right w:val="single" w:sz="4" w:space="0" w:color="auto"/>
            </w:tcBorders>
            <w:shd w:val="clear" w:color="auto" w:fill="C6EFCE"/>
            <w:noWrap/>
            <w:vAlign w:val="center"/>
          </w:tcPr>
          <w:p w14:paraId="12BDF0BF"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1680" w:type="dxa"/>
            <w:gridSpan w:val="2"/>
            <w:tcBorders>
              <w:top w:val="single" w:sz="4" w:space="0" w:color="auto"/>
              <w:left w:val="nil"/>
              <w:bottom w:val="single" w:sz="4" w:space="0" w:color="auto"/>
              <w:right w:val="single" w:sz="4" w:space="0" w:color="auto"/>
            </w:tcBorders>
            <w:shd w:val="clear" w:color="auto" w:fill="C6EFCE"/>
            <w:noWrap/>
            <w:vAlign w:val="center"/>
          </w:tcPr>
          <w:p w14:paraId="1BC9961F"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Suma splátky</w:t>
            </w:r>
          </w:p>
        </w:tc>
        <w:tc>
          <w:tcPr>
            <w:tcW w:w="2047" w:type="dxa"/>
            <w:tcBorders>
              <w:top w:val="single" w:sz="4" w:space="0" w:color="auto"/>
              <w:left w:val="nil"/>
              <w:bottom w:val="single" w:sz="4" w:space="0" w:color="auto"/>
              <w:right w:val="single" w:sz="4" w:space="0" w:color="auto"/>
            </w:tcBorders>
            <w:shd w:val="clear" w:color="auto" w:fill="C6EFCE"/>
            <w:noWrap/>
            <w:vAlign w:val="center"/>
          </w:tcPr>
          <w:p w14:paraId="1F90E8B9" w14:textId="4B46250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2 439 692 495 EUR</w:t>
            </w:r>
          </w:p>
        </w:tc>
      </w:tr>
    </w:tbl>
    <w:p w14:paraId="3F6B5CAE" w14:textId="77777777" w:rsidR="00302FC1" w:rsidRPr="00AB26B3" w:rsidRDefault="00302FC1">
      <w:pPr>
        <w:keepNext/>
        <w:spacing w:before="40" w:line="259" w:lineRule="auto"/>
        <w:jc w:val="both"/>
        <w:rPr>
          <w:rFonts w:ascii="Times New Roman" w:eastAsia="Times New Roman" w:hAnsi="Times New Roman"/>
          <w:i/>
          <w:noProof/>
          <w:color w:val="4F81BD"/>
          <w:spacing w:val="-6"/>
          <w:lang w:val="sk-SK"/>
        </w:rPr>
        <w:sectPr w:rsidR="00302FC1" w:rsidRPr="00AB26B3" w:rsidSect="00315FC0">
          <w:headerReference w:type="default" r:id="rId386"/>
          <w:footerReference w:type="default" r:id="rId387"/>
          <w:pgSz w:w="11906" w:h="16838"/>
          <w:pgMar w:top="1417" w:right="1417" w:bottom="1417" w:left="1417" w:header="708" w:footer="708" w:gutter="0"/>
          <w:cols w:space="708"/>
          <w:docGrid w:linePitch="360"/>
        </w:sectPr>
      </w:pPr>
    </w:p>
    <w:p w14:paraId="283D4C36" w14:textId="39BF9B93" w:rsidR="00AB26B3" w:rsidRPr="00AB26B3" w:rsidRDefault="00D64F26">
      <w:pPr>
        <w:pStyle w:val="P68B1DB1-Normal5"/>
        <w:keepNext/>
        <w:numPr>
          <w:ilvl w:val="1"/>
          <w:numId w:val="85"/>
        </w:numPr>
        <w:spacing w:before="40" w:after="160" w:line="259" w:lineRule="auto"/>
        <w:ind w:left="0"/>
        <w:contextualSpacing/>
        <w:jc w:val="both"/>
        <w:rPr>
          <w:noProof/>
          <w:spacing w:val="-6"/>
          <w:lang w:val="sk-SK"/>
        </w:rPr>
      </w:pPr>
      <w:r w:rsidRPr="00AB26B3">
        <w:rPr>
          <w:noProof/>
          <w:spacing w:val="-6"/>
          <w:lang w:val="sk-SK"/>
        </w:rPr>
        <w:t>Siedma žiadosť</w:t>
      </w:r>
      <w:r w:rsidR="00AB26B3" w:rsidRPr="00AB26B3">
        <w:rPr>
          <w:noProof/>
          <w:spacing w:val="-6"/>
          <w:lang w:val="sk-SK"/>
        </w:rPr>
        <w:t xml:space="preserve"> o </w:t>
      </w:r>
      <w:r w:rsidRPr="00AB26B3">
        <w:rPr>
          <w:noProof/>
          <w:spacing w:val="-6"/>
          <w:lang w:val="sk-SK"/>
        </w:rPr>
        <w:t>platbu (nenávratná podpora)</w:t>
      </w:r>
      <w:r w:rsidR="00AB26B3" w:rsidRPr="00AB26B3">
        <w:rPr>
          <w:noProof/>
          <w:spacing w:val="-6"/>
          <w:lang w:val="sk-SK"/>
        </w:rPr>
        <w:t>:</w:t>
      </w:r>
    </w:p>
    <w:p w14:paraId="50E3928F" w14:textId="2D015C43"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24"/>
          <w:lang w:val="sk-SK"/>
        </w:rPr>
      </w:pPr>
    </w:p>
    <w:tbl>
      <w:tblPr>
        <w:tblpPr w:leftFromText="180" w:rightFromText="180" w:vertAnchor="text" w:tblpX="-252" w:tblpY="1"/>
        <w:tblOverlap w:val="never"/>
        <w:tblW w:w="9595" w:type="dxa"/>
        <w:tblLayout w:type="fixed"/>
        <w:tblLook w:val="04A0" w:firstRow="1" w:lastRow="0" w:firstColumn="1" w:lastColumn="0" w:noHBand="0" w:noVBand="1"/>
      </w:tblPr>
      <w:tblGrid>
        <w:gridCol w:w="959"/>
        <w:gridCol w:w="5156"/>
        <w:gridCol w:w="1560"/>
        <w:gridCol w:w="1920"/>
      </w:tblGrid>
      <w:tr w:rsidR="00302FC1" w:rsidRPr="00AB26B3" w14:paraId="12461910" w14:textId="77777777">
        <w:trPr>
          <w:trHeight w:val="906"/>
          <w:tblHeader/>
        </w:trPr>
        <w:tc>
          <w:tcPr>
            <w:tcW w:w="9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57A4786" w14:textId="5BBD2D0E"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1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16B5C5" w14:textId="6DAD24DC"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5483B75" w14:textId="18CF682C"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F1DB8C4" w14:textId="02DA70E9"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5FF8A70C" w14:textId="77777777">
        <w:trPr>
          <w:trHeight w:val="34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3C36D5"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5156" w:type="dxa"/>
            <w:vMerge/>
            <w:tcBorders>
              <w:top w:val="single" w:sz="4" w:space="0" w:color="auto"/>
              <w:left w:val="single" w:sz="4" w:space="0" w:color="auto"/>
              <w:bottom w:val="single" w:sz="4" w:space="0" w:color="auto"/>
              <w:right w:val="single" w:sz="4" w:space="0" w:color="auto"/>
            </w:tcBorders>
            <w:vAlign w:val="center"/>
            <w:hideMark/>
          </w:tcPr>
          <w:p w14:paraId="6F104FCF"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D2AE82"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307DAA3D"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r>
      <w:tr w:rsidR="00302FC1" w:rsidRPr="00AB26B3" w14:paraId="36A0AD2A" w14:textId="77777777">
        <w:trPr>
          <w:trHeight w:val="302"/>
        </w:trPr>
        <w:tc>
          <w:tcPr>
            <w:tcW w:w="9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2D5CBC"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51</w:t>
            </w:r>
          </w:p>
        </w:tc>
        <w:tc>
          <w:tcPr>
            <w:tcW w:w="5156" w:type="dxa"/>
            <w:tcBorders>
              <w:top w:val="single" w:sz="4" w:space="0" w:color="auto"/>
              <w:left w:val="nil"/>
              <w:bottom w:val="single" w:sz="4" w:space="0" w:color="auto"/>
              <w:right w:val="single" w:sz="4" w:space="0" w:color="auto"/>
            </w:tcBorders>
            <w:shd w:val="clear" w:color="auto" w:fill="C6EFCE"/>
            <w:noWrap/>
            <w:vAlign w:val="center"/>
          </w:tcPr>
          <w:p w14:paraId="244B8F49" w14:textId="4B5541E1" w:rsidR="00302FC1" w:rsidRPr="00AB26B3" w:rsidRDefault="00D64F26">
            <w:pPr>
              <w:pStyle w:val="P68B1DB1-Normal52"/>
              <w:spacing w:after="0" w:line="240" w:lineRule="auto"/>
              <w:rPr>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16831_Produc- E Green</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01C4A815"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Míľnik</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7070E8D2" w14:textId="7841CF4D" w:rsidR="00302FC1" w:rsidRPr="00AB26B3" w:rsidRDefault="00D64F26">
            <w:pPr>
              <w:pStyle w:val="P68B1DB1-Normal52"/>
              <w:keepNext/>
              <w:spacing w:before="40" w:after="0" w:line="240" w:lineRule="auto"/>
              <w:rPr>
                <w:noProof/>
                <w:spacing w:val="-6"/>
                <w:lang w:val="sk-SK"/>
              </w:rPr>
            </w:pPr>
            <w:r w:rsidRPr="00AB26B3">
              <w:rPr>
                <w:noProof/>
                <w:spacing w:val="-6"/>
                <w:lang w:val="sk-SK"/>
              </w:rPr>
              <w:t>Zachytávanie</w:t>
            </w:r>
            <w:r w:rsidR="00AB26B3" w:rsidRPr="00AB26B3">
              <w:rPr>
                <w:noProof/>
                <w:spacing w:val="-6"/>
                <w:lang w:val="sk-SK"/>
              </w:rPr>
              <w:t xml:space="preserve"> a </w:t>
            </w:r>
            <w:r w:rsidRPr="00AB26B3">
              <w:rPr>
                <w:noProof/>
                <w:spacing w:val="-6"/>
                <w:lang w:val="sk-SK"/>
              </w:rPr>
              <w:t>ukladanie oxidu uhličitého (CCS) – povolenie na ukladanie</w:t>
            </w:r>
          </w:p>
        </w:tc>
      </w:tr>
      <w:tr w:rsidR="00302FC1" w:rsidRPr="00AB26B3" w14:paraId="4D018A13"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4D1FEBD0"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98</w:t>
            </w:r>
          </w:p>
        </w:tc>
        <w:tc>
          <w:tcPr>
            <w:tcW w:w="5156" w:type="dxa"/>
            <w:tcBorders>
              <w:top w:val="nil"/>
              <w:left w:val="nil"/>
              <w:bottom w:val="single" w:sz="4" w:space="0" w:color="auto"/>
              <w:right w:val="single" w:sz="4" w:space="0" w:color="auto"/>
            </w:tcBorders>
            <w:shd w:val="clear" w:color="auto" w:fill="C6EFCE"/>
            <w:noWrap/>
            <w:vAlign w:val="center"/>
          </w:tcPr>
          <w:p w14:paraId="5CA6764F" w14:textId="047EE8A0"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6 – 2.2. Modernizujme – 16782_Prepojenie</w:t>
            </w:r>
            <w:r w:rsidR="00AB26B3" w:rsidRPr="00AB26B3">
              <w:rPr>
                <w:noProof/>
                <w:spacing w:val="-6"/>
                <w:lang w:val="sk-SK"/>
              </w:rPr>
              <w:t xml:space="preserve"> a </w:t>
            </w:r>
            <w:r w:rsidRPr="00AB26B3">
              <w:rPr>
                <w:noProof/>
                <w:spacing w:val="-6"/>
                <w:lang w:val="sk-SK"/>
              </w:rPr>
              <w:t>interoperabilita registrov, systémov</w:t>
            </w:r>
            <w:r w:rsidR="00AB26B3" w:rsidRPr="00AB26B3">
              <w:rPr>
                <w:noProof/>
                <w:spacing w:val="-6"/>
                <w:lang w:val="sk-SK"/>
              </w:rPr>
              <w:t xml:space="preserve"> a </w:t>
            </w:r>
            <w:r w:rsidRPr="00AB26B3">
              <w:rPr>
                <w:noProof/>
                <w:spacing w:val="-6"/>
                <w:lang w:val="sk-SK"/>
              </w:rPr>
              <w:t>služieb na výmenu údajov medzi vnútroštátnymi verejnými organizáciami</w:t>
            </w:r>
          </w:p>
        </w:tc>
        <w:tc>
          <w:tcPr>
            <w:tcW w:w="1560" w:type="dxa"/>
            <w:tcBorders>
              <w:top w:val="nil"/>
              <w:left w:val="nil"/>
              <w:bottom w:val="single" w:sz="4" w:space="0" w:color="auto"/>
              <w:right w:val="single" w:sz="4" w:space="0" w:color="auto"/>
            </w:tcBorders>
            <w:shd w:val="clear" w:color="auto" w:fill="C6EFCE"/>
            <w:noWrap/>
            <w:vAlign w:val="center"/>
          </w:tcPr>
          <w:p w14:paraId="7915962E"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4C2F489D" w14:textId="3C866A4C"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Regulačný základ pre vzájomné prepojenie</w:t>
            </w:r>
            <w:r w:rsidR="00AB26B3" w:rsidRPr="00AB26B3">
              <w:rPr>
                <w:noProof/>
                <w:spacing w:val="-6"/>
                <w:lang w:val="sk-SK"/>
              </w:rPr>
              <w:t xml:space="preserve"> a </w:t>
            </w:r>
            <w:r w:rsidRPr="00AB26B3">
              <w:rPr>
                <w:noProof/>
                <w:spacing w:val="-6"/>
                <w:lang w:val="sk-SK"/>
              </w:rPr>
              <w:t>interoperabilitu registrov</w:t>
            </w:r>
          </w:p>
        </w:tc>
      </w:tr>
      <w:tr w:rsidR="00302FC1" w:rsidRPr="00AB26B3" w14:paraId="36F05AE2"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4F1AC8FA"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110a</w:t>
            </w:r>
          </w:p>
        </w:tc>
        <w:tc>
          <w:tcPr>
            <w:tcW w:w="5156" w:type="dxa"/>
            <w:tcBorders>
              <w:top w:val="nil"/>
              <w:left w:val="nil"/>
              <w:bottom w:val="single" w:sz="4" w:space="0" w:color="auto"/>
              <w:right w:val="single" w:sz="4" w:space="0" w:color="auto"/>
            </w:tcBorders>
            <w:shd w:val="clear" w:color="auto" w:fill="C6EFCE"/>
            <w:noWrap/>
            <w:vAlign w:val="center"/>
          </w:tcPr>
          <w:p w14:paraId="519D0300" w14:textId="77777777" w:rsidR="00302FC1" w:rsidRPr="00AB26B3" w:rsidRDefault="00D64F26">
            <w:pPr>
              <w:pStyle w:val="P68B1DB1-Normal11"/>
              <w:keepNext/>
              <w:spacing w:before="40" w:after="0" w:line="240" w:lineRule="auto"/>
              <w:rPr>
                <w:rFonts w:eastAsia="Times New Roman" w:cs="Times New Roman"/>
                <w:bCs/>
                <w:noProof/>
                <w:spacing w:val="-6"/>
                <w:lang w:val="sk-SK"/>
              </w:rPr>
            </w:pPr>
            <w:r w:rsidRPr="00AB26B3">
              <w:rPr>
                <w:noProof/>
                <w:spacing w:val="-6"/>
                <w:lang w:val="sk-SK"/>
              </w:rPr>
              <w:t>6 – 2.2. Modernizácia – 16780_Modernizácia jednotných kontaktných miest verejnej správy</w:t>
            </w:r>
          </w:p>
        </w:tc>
        <w:tc>
          <w:tcPr>
            <w:tcW w:w="1560" w:type="dxa"/>
            <w:tcBorders>
              <w:top w:val="nil"/>
              <w:left w:val="nil"/>
              <w:bottom w:val="single" w:sz="4" w:space="0" w:color="auto"/>
              <w:right w:val="single" w:sz="4" w:space="0" w:color="auto"/>
            </w:tcBorders>
            <w:shd w:val="clear" w:color="auto" w:fill="C6EFCE"/>
            <w:noWrap/>
            <w:vAlign w:val="center"/>
          </w:tcPr>
          <w:p w14:paraId="0F88EB39"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12B4A37B" w14:textId="6F78E997" w:rsidR="00302FC1" w:rsidRPr="00AB26B3" w:rsidRDefault="00D64F26">
            <w:pPr>
              <w:pStyle w:val="P68B1DB1-Normal11"/>
              <w:keepNext/>
              <w:spacing w:before="40" w:after="0" w:line="240" w:lineRule="auto"/>
              <w:rPr>
                <w:rFonts w:eastAsia="Times New Roman" w:cs="Times New Roman"/>
                <w:noProof/>
                <w:spacing w:val="-6"/>
                <w:lang w:val="sk-SK"/>
              </w:rPr>
            </w:pPr>
            <w:r w:rsidRPr="00AB26B3">
              <w:rPr>
                <w:noProof/>
                <w:spacing w:val="-6"/>
                <w:lang w:val="sk-SK"/>
              </w:rPr>
              <w:t>Realizácia projektu modernizácie jednotných kontaktných miest</w:t>
            </w:r>
          </w:p>
        </w:tc>
      </w:tr>
      <w:tr w:rsidR="00302FC1" w:rsidRPr="00AB26B3" w14:paraId="3F669ECF"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3DDB6898"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112</w:t>
            </w:r>
          </w:p>
        </w:tc>
        <w:tc>
          <w:tcPr>
            <w:tcW w:w="5156" w:type="dxa"/>
            <w:tcBorders>
              <w:top w:val="nil"/>
              <w:left w:val="nil"/>
              <w:bottom w:val="single" w:sz="4" w:space="0" w:color="auto"/>
              <w:right w:val="single" w:sz="4" w:space="0" w:color="auto"/>
            </w:tcBorders>
            <w:shd w:val="clear" w:color="auto" w:fill="C6EFCE"/>
            <w:noWrap/>
            <w:vAlign w:val="center"/>
          </w:tcPr>
          <w:p w14:paraId="2548568D" w14:textId="60AEF403" w:rsidR="00302FC1" w:rsidRPr="00AB26B3" w:rsidRDefault="00D64F26">
            <w:pPr>
              <w:pStyle w:val="P68B1DB1-Normal11"/>
              <w:keepNext/>
              <w:spacing w:before="40" w:after="0" w:line="240" w:lineRule="auto"/>
              <w:rPr>
                <w:rFonts w:eastAsia="Times New Roman" w:cs="Times New Roman"/>
                <w:bCs/>
                <w:noProof/>
                <w:spacing w:val="-6"/>
                <w:lang w:val="sk-SK"/>
              </w:rPr>
            </w:pPr>
            <w:r w:rsidRPr="00AB26B3">
              <w:rPr>
                <w:noProof/>
                <w:spacing w:val="-6"/>
                <w:lang w:val="sk-SK"/>
              </w:rPr>
              <w:t>6 – 2.2. Modernizujme – 16823_Stratégia kybernetickej bezpečnosti</w:t>
            </w:r>
            <w:r w:rsidR="00AB26B3" w:rsidRPr="00AB26B3">
              <w:rPr>
                <w:noProof/>
                <w:spacing w:val="-6"/>
                <w:lang w:val="sk-SK"/>
              </w:rPr>
              <w:t xml:space="preserve"> a </w:t>
            </w:r>
            <w:r w:rsidRPr="00AB26B3">
              <w:rPr>
                <w:noProof/>
                <w:spacing w:val="-6"/>
                <w:lang w:val="sk-SK"/>
              </w:rPr>
              <w:t>Národné bezpečnostné operačné centrum</w:t>
            </w:r>
          </w:p>
        </w:tc>
        <w:tc>
          <w:tcPr>
            <w:tcW w:w="1560" w:type="dxa"/>
            <w:tcBorders>
              <w:top w:val="nil"/>
              <w:left w:val="nil"/>
              <w:bottom w:val="single" w:sz="4" w:space="0" w:color="auto"/>
              <w:right w:val="single" w:sz="4" w:space="0" w:color="auto"/>
            </w:tcBorders>
            <w:shd w:val="clear" w:color="auto" w:fill="C6EFCE"/>
            <w:noWrap/>
            <w:vAlign w:val="center"/>
          </w:tcPr>
          <w:p w14:paraId="632D3610"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587FF1A8" w14:textId="0AD9A917" w:rsidR="00302FC1" w:rsidRPr="00AB26B3" w:rsidRDefault="00D64F26">
            <w:pPr>
              <w:pStyle w:val="P68B1DB1-Normal11"/>
              <w:keepNext/>
              <w:spacing w:before="40" w:after="0" w:line="240" w:lineRule="auto"/>
              <w:rPr>
                <w:noProof/>
                <w:spacing w:val="-6"/>
                <w:lang w:val="sk-SK"/>
              </w:rPr>
            </w:pPr>
            <w:r w:rsidRPr="00AB26B3">
              <w:rPr>
                <w:noProof/>
                <w:spacing w:val="-6"/>
                <w:lang w:val="sk-SK"/>
              </w:rPr>
              <w:t>Realizácia stratégie kybernetickej bezpečnosti</w:t>
            </w:r>
            <w:r w:rsidR="00AB26B3" w:rsidRPr="00AB26B3">
              <w:rPr>
                <w:noProof/>
                <w:spacing w:val="-6"/>
                <w:lang w:val="sk-SK"/>
              </w:rPr>
              <w:t xml:space="preserve"> a </w:t>
            </w:r>
            <w:r w:rsidRPr="00AB26B3">
              <w:rPr>
                <w:noProof/>
                <w:spacing w:val="-6"/>
                <w:lang w:val="sk-SK"/>
              </w:rPr>
              <w:t>Národného centra bezpečnostných operácií</w:t>
            </w:r>
          </w:p>
        </w:tc>
      </w:tr>
      <w:tr w:rsidR="00302FC1" w:rsidRPr="00AB26B3" w14:paraId="4ED4869C"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5EE750CD"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142a</w:t>
            </w:r>
          </w:p>
        </w:tc>
        <w:tc>
          <w:tcPr>
            <w:tcW w:w="5156" w:type="dxa"/>
            <w:tcBorders>
              <w:top w:val="nil"/>
              <w:left w:val="nil"/>
              <w:bottom w:val="single" w:sz="4" w:space="0" w:color="auto"/>
              <w:right w:val="single" w:sz="4" w:space="0" w:color="auto"/>
            </w:tcBorders>
            <w:shd w:val="clear" w:color="auto" w:fill="C6EFCE"/>
            <w:noWrap/>
            <w:vAlign w:val="center"/>
          </w:tcPr>
          <w:p w14:paraId="6B13AE00" w14:textId="227DC733"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16746_Reforma pasívnych politík trhu práce na podporu prechodu do zamestnania</w:t>
            </w:r>
          </w:p>
        </w:tc>
        <w:tc>
          <w:tcPr>
            <w:tcW w:w="1560" w:type="dxa"/>
            <w:tcBorders>
              <w:top w:val="nil"/>
              <w:left w:val="nil"/>
              <w:bottom w:val="single" w:sz="4" w:space="0" w:color="auto"/>
              <w:right w:val="single" w:sz="4" w:space="0" w:color="auto"/>
            </w:tcBorders>
            <w:shd w:val="clear" w:color="auto" w:fill="C6EFCE"/>
            <w:noWrap/>
            <w:vAlign w:val="center"/>
          </w:tcPr>
          <w:p w14:paraId="6D07148F"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43AC94C8" w14:textId="64859CFC" w:rsidR="00302FC1" w:rsidRPr="00AB26B3" w:rsidRDefault="00D64F26">
            <w:pPr>
              <w:pStyle w:val="P68B1DB1-Normal15"/>
              <w:keepNext/>
              <w:spacing w:before="40" w:after="0" w:line="240" w:lineRule="auto"/>
              <w:rPr>
                <w:noProof/>
                <w:spacing w:val="-6"/>
                <w:lang w:val="sk-SK"/>
              </w:rPr>
            </w:pPr>
            <w:r w:rsidRPr="00AB26B3">
              <w:rPr>
                <w:noProof/>
                <w:spacing w:val="-6"/>
                <w:lang w:val="sk-SK"/>
              </w:rPr>
              <w:t>Právne predpisy</w:t>
            </w:r>
            <w:r w:rsidR="00AB26B3" w:rsidRPr="00AB26B3">
              <w:rPr>
                <w:noProof/>
                <w:spacing w:val="-6"/>
                <w:lang w:val="sk-SK"/>
              </w:rPr>
              <w:t xml:space="preserve"> o </w:t>
            </w:r>
            <w:r w:rsidRPr="00AB26B3">
              <w:rPr>
                <w:noProof/>
                <w:spacing w:val="-6"/>
                <w:lang w:val="sk-SK"/>
              </w:rPr>
              <w:t>dávkach</w:t>
            </w:r>
            <w:r w:rsidR="00AB26B3" w:rsidRPr="00AB26B3">
              <w:rPr>
                <w:noProof/>
                <w:spacing w:val="-6"/>
                <w:lang w:val="sk-SK"/>
              </w:rPr>
              <w:t xml:space="preserve"> v </w:t>
            </w:r>
            <w:r w:rsidRPr="00AB26B3">
              <w:rPr>
                <w:noProof/>
                <w:spacing w:val="-6"/>
                <w:lang w:val="sk-SK"/>
              </w:rPr>
              <w:t>nezamestnanosti</w:t>
            </w:r>
            <w:r w:rsidR="00AB26B3" w:rsidRPr="00AB26B3">
              <w:rPr>
                <w:noProof/>
                <w:spacing w:val="-6"/>
                <w:lang w:val="sk-SK"/>
              </w:rPr>
              <w:t xml:space="preserve"> a </w:t>
            </w:r>
            <w:r w:rsidRPr="00AB26B3">
              <w:rPr>
                <w:noProof/>
                <w:spacing w:val="-6"/>
                <w:lang w:val="sk-SK"/>
              </w:rPr>
              <w:t>dávkach</w:t>
            </w:r>
            <w:r w:rsidR="00AB26B3" w:rsidRPr="00AB26B3">
              <w:rPr>
                <w:noProof/>
                <w:spacing w:val="-6"/>
                <w:lang w:val="sk-SK"/>
              </w:rPr>
              <w:t xml:space="preserve"> v </w:t>
            </w:r>
            <w:r w:rsidRPr="00AB26B3">
              <w:rPr>
                <w:noProof/>
                <w:spacing w:val="-6"/>
                <w:lang w:val="sk-SK"/>
              </w:rPr>
              <w:t>nezamestnanosti</w:t>
            </w:r>
          </w:p>
        </w:tc>
      </w:tr>
      <w:tr w:rsidR="00302FC1" w:rsidRPr="00AB26B3" w14:paraId="0B53246B"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4A3CF33A"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144</w:t>
            </w:r>
          </w:p>
        </w:tc>
        <w:tc>
          <w:tcPr>
            <w:tcW w:w="5156" w:type="dxa"/>
            <w:tcBorders>
              <w:top w:val="nil"/>
              <w:left w:val="nil"/>
              <w:bottom w:val="single" w:sz="4" w:space="0" w:color="auto"/>
              <w:right w:val="single" w:sz="4" w:space="0" w:color="auto"/>
            </w:tcBorders>
            <w:shd w:val="clear" w:color="auto" w:fill="C6EFCE"/>
            <w:noWrap/>
            <w:vAlign w:val="center"/>
          </w:tcPr>
          <w:p w14:paraId="1F4BC8C5" w14:textId="77447116"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16747_Reforma aktívnych politík trhu práce</w:t>
            </w:r>
          </w:p>
        </w:tc>
        <w:tc>
          <w:tcPr>
            <w:tcW w:w="1560" w:type="dxa"/>
            <w:tcBorders>
              <w:top w:val="nil"/>
              <w:left w:val="nil"/>
              <w:bottom w:val="single" w:sz="4" w:space="0" w:color="auto"/>
              <w:right w:val="single" w:sz="4" w:space="0" w:color="auto"/>
            </w:tcBorders>
            <w:shd w:val="clear" w:color="auto" w:fill="C6EFCE"/>
            <w:noWrap/>
            <w:vAlign w:val="center"/>
          </w:tcPr>
          <w:p w14:paraId="3961F918" w14:textId="463D76D1"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7E9DEB27" w14:textId="6B0C68F1"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Realizácia programu odbornej prípravy</w:t>
            </w:r>
            <w:r w:rsidR="00AB26B3" w:rsidRPr="00AB26B3">
              <w:rPr>
                <w:noProof/>
                <w:spacing w:val="-6"/>
                <w:lang w:val="sk-SK"/>
              </w:rPr>
              <w:t xml:space="preserve"> v </w:t>
            </w:r>
            <w:r w:rsidRPr="00AB26B3">
              <w:rPr>
                <w:noProof/>
                <w:spacing w:val="-6"/>
                <w:lang w:val="sk-SK"/>
              </w:rPr>
              <w:t xml:space="preserve">oblasti aktívnych politík trhu práce </w:t>
            </w:r>
          </w:p>
        </w:tc>
      </w:tr>
      <w:tr w:rsidR="00302FC1" w:rsidRPr="00AB26B3" w14:paraId="37D38B5D"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0FA8CA0E"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145a</w:t>
            </w:r>
          </w:p>
        </w:tc>
        <w:tc>
          <w:tcPr>
            <w:tcW w:w="5156" w:type="dxa"/>
            <w:tcBorders>
              <w:top w:val="nil"/>
              <w:left w:val="nil"/>
              <w:bottom w:val="single" w:sz="4" w:space="0" w:color="auto"/>
              <w:right w:val="single" w:sz="4" w:space="0" w:color="auto"/>
            </w:tcBorders>
            <w:shd w:val="clear" w:color="auto" w:fill="C6EFCE"/>
            <w:noWrap/>
            <w:vAlign w:val="center"/>
          </w:tcPr>
          <w:p w14:paraId="595C42DE" w14:textId="6D8AFED2"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 xml:space="preserve">zručnosti – 16794_Posilnenie systému učňovskej prípravy </w:t>
            </w:r>
          </w:p>
        </w:tc>
        <w:tc>
          <w:tcPr>
            <w:tcW w:w="1560" w:type="dxa"/>
            <w:tcBorders>
              <w:top w:val="nil"/>
              <w:left w:val="nil"/>
              <w:bottom w:val="single" w:sz="4" w:space="0" w:color="auto"/>
              <w:right w:val="single" w:sz="4" w:space="0" w:color="auto"/>
            </w:tcBorders>
            <w:shd w:val="clear" w:color="auto" w:fill="C6EFCE"/>
            <w:noWrap/>
            <w:vAlign w:val="center"/>
          </w:tcPr>
          <w:p w14:paraId="437E18F0"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578F844E" w14:textId="32E1C8D0"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Právny rámec pre vnútroštátny systém odborného vzdelávania</w:t>
            </w:r>
            <w:r w:rsidR="00AB26B3" w:rsidRPr="00AB26B3">
              <w:rPr>
                <w:noProof/>
                <w:spacing w:val="-6"/>
                <w:lang w:val="sk-SK"/>
              </w:rPr>
              <w:t xml:space="preserve"> a </w:t>
            </w:r>
            <w:r w:rsidRPr="00AB26B3">
              <w:rPr>
                <w:noProof/>
                <w:spacing w:val="-6"/>
                <w:lang w:val="sk-SK"/>
              </w:rPr>
              <w:t>prípravy</w:t>
            </w:r>
          </w:p>
        </w:tc>
      </w:tr>
      <w:tr w:rsidR="00302FC1" w:rsidRPr="00AB26B3" w14:paraId="52B4D033"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49963F42"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166</w:t>
            </w:r>
          </w:p>
        </w:tc>
        <w:tc>
          <w:tcPr>
            <w:tcW w:w="5156" w:type="dxa"/>
            <w:tcBorders>
              <w:top w:val="nil"/>
              <w:left w:val="nil"/>
              <w:bottom w:val="single" w:sz="4" w:space="0" w:color="auto"/>
              <w:right w:val="single" w:sz="4" w:space="0" w:color="auto"/>
            </w:tcBorders>
            <w:shd w:val="clear" w:color="auto" w:fill="C6EFCE"/>
            <w:noWrap/>
            <w:vAlign w:val="center"/>
          </w:tcPr>
          <w:p w14:paraId="2405A3F7" w14:textId="5A7EEB5D" w:rsidR="00302FC1" w:rsidRPr="00AB26B3" w:rsidRDefault="00D64F26">
            <w:pPr>
              <w:pStyle w:val="P68B1DB1-Normal52"/>
              <w:keepNext/>
              <w:spacing w:before="40" w:after="0" w:line="240" w:lineRule="auto"/>
              <w:rPr>
                <w:noProof/>
                <w:spacing w:val="-6"/>
                <w:lang w:val="sk-SK"/>
              </w:rPr>
            </w:pPr>
            <w:r w:rsidRPr="00AB26B3">
              <w:rPr>
                <w:noProof/>
                <w:spacing w:val="-6"/>
                <w:szCs w:val="18"/>
                <w:lang w:val="sk-SK"/>
              </w:rPr>
              <w:t>10 – 3.3. Zlepšenie odolnosti, dostupnosti</w:t>
            </w:r>
            <w:r w:rsidR="00AB26B3" w:rsidRPr="00AB26B3">
              <w:rPr>
                <w:noProof/>
                <w:spacing w:val="-6"/>
                <w:szCs w:val="18"/>
                <w:lang w:val="sk-SK"/>
              </w:rPr>
              <w:t xml:space="preserve"> a </w:t>
            </w:r>
            <w:r w:rsidRPr="00AB26B3">
              <w:rPr>
                <w:noProof/>
                <w:spacing w:val="-6"/>
                <w:szCs w:val="18"/>
                <w:lang w:val="sk-SK"/>
              </w:rPr>
              <w:t xml:space="preserve">udržateľnosti zdravotnej starostlivosti </w:t>
            </w:r>
            <w:r w:rsidRPr="00AB26B3">
              <w:rPr>
                <w:noProof/>
                <w:spacing w:val="-6"/>
                <w:lang w:val="sk-SK"/>
              </w:rPr>
              <w:t>– 16755_Zelené investície – Reforma systému primárnej zdravotnej starostlivosti</w:t>
            </w:r>
          </w:p>
        </w:tc>
        <w:tc>
          <w:tcPr>
            <w:tcW w:w="1560" w:type="dxa"/>
            <w:tcBorders>
              <w:top w:val="nil"/>
              <w:left w:val="nil"/>
              <w:bottom w:val="single" w:sz="4" w:space="0" w:color="auto"/>
              <w:right w:val="single" w:sz="4" w:space="0" w:color="auto"/>
            </w:tcBorders>
            <w:shd w:val="clear" w:color="auto" w:fill="C6EFCE"/>
            <w:noWrap/>
            <w:vAlign w:val="center"/>
          </w:tcPr>
          <w:p w14:paraId="076FFE2B"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Cieľ</w:t>
            </w:r>
          </w:p>
        </w:tc>
        <w:tc>
          <w:tcPr>
            <w:tcW w:w="1920" w:type="dxa"/>
            <w:tcBorders>
              <w:top w:val="nil"/>
              <w:left w:val="nil"/>
              <w:bottom w:val="single" w:sz="4" w:space="0" w:color="auto"/>
              <w:right w:val="single" w:sz="4" w:space="0" w:color="auto"/>
            </w:tcBorders>
            <w:shd w:val="clear" w:color="auto" w:fill="C6EFCE"/>
            <w:noWrap/>
            <w:vAlign w:val="center"/>
          </w:tcPr>
          <w:p w14:paraId="6E767D60" w14:textId="7BAE41B7" w:rsidR="00302FC1" w:rsidRPr="00AB26B3" w:rsidRDefault="00D64F26">
            <w:pPr>
              <w:pStyle w:val="P68B1DB1-Normal52"/>
              <w:keepNext/>
              <w:spacing w:before="40" w:after="0" w:line="240" w:lineRule="auto"/>
              <w:rPr>
                <w:noProof/>
                <w:spacing w:val="-6"/>
                <w:lang w:val="sk-SK"/>
              </w:rPr>
            </w:pPr>
            <w:r w:rsidRPr="00AB26B3">
              <w:rPr>
                <w:noProof/>
                <w:spacing w:val="-6"/>
                <w:lang w:val="sk-SK"/>
              </w:rPr>
              <w:t>PHC – jednotky primárnej zdravotnej starostlivosti</w:t>
            </w:r>
            <w:r w:rsidR="00AB26B3" w:rsidRPr="00AB26B3">
              <w:rPr>
                <w:noProof/>
                <w:spacing w:val="-6"/>
                <w:lang w:val="sk-SK"/>
              </w:rPr>
              <w:t xml:space="preserve"> s </w:t>
            </w:r>
            <w:r w:rsidRPr="00AB26B3">
              <w:rPr>
                <w:noProof/>
                <w:spacing w:val="-6"/>
                <w:lang w:val="sk-SK"/>
              </w:rPr>
              <w:t>renovovanou infraštruktúrou – 1. krok</w:t>
            </w:r>
          </w:p>
        </w:tc>
      </w:tr>
      <w:tr w:rsidR="00302FC1" w:rsidRPr="00AB26B3" w14:paraId="75FA75E4"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7DA405F9" w14:textId="77777777" w:rsidR="00302FC1" w:rsidRPr="00AB26B3" w:rsidRDefault="00D64F26">
            <w:pPr>
              <w:pStyle w:val="P68B1DB1-Normal11"/>
              <w:keepNext/>
              <w:spacing w:before="40" w:after="0" w:line="240" w:lineRule="auto"/>
              <w:rPr>
                <w:rFonts w:cs="Times New Roman"/>
                <w:noProof/>
                <w:spacing w:val="-6"/>
                <w:lang w:val="sk-SK"/>
              </w:rPr>
            </w:pPr>
            <w:r w:rsidRPr="00AB26B3">
              <w:rPr>
                <w:noProof/>
                <w:spacing w:val="-6"/>
                <w:lang w:val="sk-SK"/>
              </w:rPr>
              <w:t>168</w:t>
            </w:r>
          </w:p>
        </w:tc>
        <w:tc>
          <w:tcPr>
            <w:tcW w:w="5156" w:type="dxa"/>
            <w:tcBorders>
              <w:top w:val="nil"/>
              <w:left w:val="nil"/>
              <w:bottom w:val="single" w:sz="4" w:space="0" w:color="auto"/>
              <w:right w:val="single" w:sz="4" w:space="0" w:color="auto"/>
            </w:tcBorders>
            <w:shd w:val="clear" w:color="auto" w:fill="C6EFCE"/>
            <w:noWrap/>
            <w:vAlign w:val="center"/>
          </w:tcPr>
          <w:p w14:paraId="18860C4F" w14:textId="035FB95D" w:rsidR="00302FC1" w:rsidRPr="00AB26B3" w:rsidRDefault="00D64F26">
            <w:pPr>
              <w:pStyle w:val="P68B1DB1-Normal11"/>
              <w:keepNext/>
              <w:spacing w:before="40" w:after="0" w:line="240" w:lineRule="auto"/>
              <w:rPr>
                <w:rFonts w:cs="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tc>
        <w:tc>
          <w:tcPr>
            <w:tcW w:w="1560" w:type="dxa"/>
            <w:tcBorders>
              <w:top w:val="nil"/>
              <w:left w:val="nil"/>
              <w:bottom w:val="single" w:sz="4" w:space="0" w:color="auto"/>
              <w:right w:val="single" w:sz="4" w:space="0" w:color="auto"/>
            </w:tcBorders>
            <w:shd w:val="clear" w:color="auto" w:fill="C6EFCE"/>
            <w:noWrap/>
            <w:vAlign w:val="center"/>
          </w:tcPr>
          <w:p w14:paraId="6992E712" w14:textId="77777777" w:rsidR="00302FC1" w:rsidRPr="00AB26B3" w:rsidRDefault="00D64F26">
            <w:pPr>
              <w:pStyle w:val="P68B1DB1-Normal11"/>
              <w:keepNext/>
              <w:spacing w:before="40" w:after="0" w:line="240" w:lineRule="auto"/>
              <w:rPr>
                <w:rFonts w:cs="Times New Roman"/>
                <w:noProof/>
                <w:spacing w:val="-6"/>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43B79C78" w14:textId="3E718E02" w:rsidR="00302FC1" w:rsidRPr="00AB26B3" w:rsidRDefault="00D64F26">
            <w:pPr>
              <w:pStyle w:val="P68B1DB1-Normal11"/>
              <w:keepNext/>
              <w:spacing w:before="40" w:after="0" w:line="240" w:lineRule="auto"/>
              <w:rPr>
                <w:noProof/>
                <w:spacing w:val="-6"/>
                <w:lang w:val="sk-SK"/>
              </w:rPr>
            </w:pPr>
            <w:r w:rsidRPr="00AB26B3">
              <w:rPr>
                <w:noProof/>
                <w:spacing w:val="-6"/>
                <w:lang w:val="sk-SK"/>
              </w:rPr>
              <w:t>Digitálna transformácia – Rozšírenie systému vytvárania</w:t>
            </w:r>
            <w:r w:rsidR="00AB26B3" w:rsidRPr="00AB26B3">
              <w:rPr>
                <w:noProof/>
                <w:spacing w:val="-6"/>
                <w:lang w:val="sk-SK"/>
              </w:rPr>
              <w:t xml:space="preserve"> a </w:t>
            </w:r>
            <w:r w:rsidRPr="00AB26B3">
              <w:rPr>
                <w:noProof/>
                <w:spacing w:val="-6"/>
                <w:lang w:val="sk-SK"/>
              </w:rPr>
              <w:t>riadenia stretnutí</w:t>
            </w:r>
            <w:r w:rsidR="00AB26B3" w:rsidRPr="00AB26B3">
              <w:rPr>
                <w:noProof/>
                <w:spacing w:val="-6"/>
                <w:lang w:val="sk-SK"/>
              </w:rPr>
              <w:t xml:space="preserve"> v </w:t>
            </w:r>
            <w:r w:rsidRPr="00AB26B3">
              <w:rPr>
                <w:noProof/>
                <w:spacing w:val="-6"/>
                <w:lang w:val="sk-SK"/>
              </w:rPr>
              <w:t>rámci národného programu očkovania proti ochoreniu COVID-19, modernizácia infraštruktúry elektronického systému predpisovania liekov</w:t>
            </w:r>
          </w:p>
        </w:tc>
      </w:tr>
      <w:tr w:rsidR="00302FC1" w:rsidRPr="00AB26B3" w14:paraId="28410D2D"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2489A4EA"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170</w:t>
            </w:r>
          </w:p>
        </w:tc>
        <w:tc>
          <w:tcPr>
            <w:tcW w:w="5156" w:type="dxa"/>
            <w:tcBorders>
              <w:top w:val="nil"/>
              <w:left w:val="nil"/>
              <w:bottom w:val="single" w:sz="4" w:space="0" w:color="auto"/>
              <w:right w:val="single" w:sz="4" w:space="0" w:color="auto"/>
            </w:tcBorders>
            <w:shd w:val="clear" w:color="auto" w:fill="C6EFCE"/>
            <w:noWrap/>
            <w:vAlign w:val="center"/>
          </w:tcPr>
          <w:p w14:paraId="4F886CDD" w14:textId="2F21D427" w:rsidR="00302FC1" w:rsidRPr="00AB26B3" w:rsidRDefault="00D64F26">
            <w:pPr>
              <w:pStyle w:val="P68B1DB1-Normal52"/>
              <w:keepNext/>
              <w:spacing w:before="40" w:after="0" w:line="240" w:lineRule="auto"/>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16795_zdravotnícka infraštruktúra</w:t>
            </w:r>
          </w:p>
        </w:tc>
        <w:tc>
          <w:tcPr>
            <w:tcW w:w="1560" w:type="dxa"/>
            <w:tcBorders>
              <w:top w:val="nil"/>
              <w:left w:val="nil"/>
              <w:bottom w:val="single" w:sz="4" w:space="0" w:color="auto"/>
              <w:right w:val="single" w:sz="4" w:space="0" w:color="auto"/>
            </w:tcBorders>
            <w:shd w:val="clear" w:color="auto" w:fill="C6EFCE"/>
            <w:noWrap/>
            <w:vAlign w:val="center"/>
          </w:tcPr>
          <w:p w14:paraId="3FC53B8B"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0C8A147F"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Modernizácia infraštruktúry NHS – krok 1</w:t>
            </w:r>
          </w:p>
        </w:tc>
      </w:tr>
      <w:tr w:rsidR="00302FC1" w:rsidRPr="00AB26B3" w14:paraId="2743336B"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62A3444C"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175</w:t>
            </w:r>
          </w:p>
        </w:tc>
        <w:tc>
          <w:tcPr>
            <w:tcW w:w="5156" w:type="dxa"/>
            <w:tcBorders>
              <w:top w:val="nil"/>
              <w:left w:val="nil"/>
              <w:bottom w:val="single" w:sz="4" w:space="0" w:color="auto"/>
              <w:right w:val="single" w:sz="4" w:space="0" w:color="auto"/>
            </w:tcBorders>
            <w:shd w:val="clear" w:color="auto" w:fill="C6EFCE"/>
            <w:noWrap/>
            <w:vAlign w:val="center"/>
          </w:tcPr>
          <w:p w14:paraId="2C80065B" w14:textId="5ED2D6D6" w:rsidR="00302FC1" w:rsidRPr="00AB26B3" w:rsidRDefault="00D64F26">
            <w:pPr>
              <w:pStyle w:val="P68B1DB1-Normal52"/>
              <w:keepNext/>
              <w:spacing w:before="40" w:after="0" w:line="240" w:lineRule="auto"/>
              <w:rPr>
                <w:noProof/>
                <w:spacing w:val="-6"/>
                <w:lang w:val="sk-SK"/>
              </w:rPr>
            </w:pPr>
            <w:r w:rsidRPr="00AB26B3">
              <w:rPr>
                <w:noProof/>
                <w:spacing w:val="-6"/>
                <w:lang w:val="sk-SK"/>
              </w:rPr>
              <w:t>11 – 3.4. Zlepšenie prístupu</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16726 Optimalizácia sociálnych prínosov</w:t>
            </w:r>
          </w:p>
        </w:tc>
        <w:tc>
          <w:tcPr>
            <w:tcW w:w="1560" w:type="dxa"/>
            <w:tcBorders>
              <w:top w:val="nil"/>
              <w:left w:val="nil"/>
              <w:bottom w:val="single" w:sz="4" w:space="0" w:color="auto"/>
              <w:right w:val="single" w:sz="4" w:space="0" w:color="auto"/>
            </w:tcBorders>
            <w:shd w:val="clear" w:color="auto" w:fill="C6EFCE"/>
            <w:noWrap/>
            <w:vAlign w:val="center"/>
          </w:tcPr>
          <w:p w14:paraId="4680965E"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4E156EA9" w14:textId="3031BD98" w:rsidR="00302FC1" w:rsidRPr="00AB26B3" w:rsidRDefault="00D64F26">
            <w:pPr>
              <w:pStyle w:val="P68B1DB1-Normal15"/>
              <w:keepNext/>
              <w:spacing w:before="40" w:after="0" w:line="240" w:lineRule="auto"/>
              <w:rPr>
                <w:noProof/>
                <w:spacing w:val="-6"/>
                <w:lang w:val="sk-SK"/>
              </w:rPr>
            </w:pPr>
            <w:r w:rsidRPr="00AB26B3">
              <w:rPr>
                <w:noProof/>
                <w:spacing w:val="-6"/>
                <w:lang w:val="sk-SK"/>
              </w:rPr>
              <w:t>Optimalizácia sociálnych výhod predplatené karty</w:t>
            </w:r>
          </w:p>
        </w:tc>
      </w:tr>
      <w:tr w:rsidR="00302FC1" w:rsidRPr="00AB26B3" w14:paraId="49741758"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58186A88"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176</w:t>
            </w:r>
          </w:p>
        </w:tc>
        <w:tc>
          <w:tcPr>
            <w:tcW w:w="5156" w:type="dxa"/>
            <w:tcBorders>
              <w:top w:val="nil"/>
              <w:left w:val="nil"/>
              <w:bottom w:val="single" w:sz="4" w:space="0" w:color="auto"/>
              <w:right w:val="single" w:sz="4" w:space="0" w:color="auto"/>
            </w:tcBorders>
            <w:shd w:val="clear" w:color="auto" w:fill="C6EFCE"/>
            <w:noWrap/>
            <w:vAlign w:val="center"/>
          </w:tcPr>
          <w:p w14:paraId="3BBBDB5E" w14:textId="6CFDD25B"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16904_Zdravotné postihnutie</w:t>
            </w:r>
          </w:p>
        </w:tc>
        <w:tc>
          <w:tcPr>
            <w:tcW w:w="1560" w:type="dxa"/>
            <w:tcBorders>
              <w:top w:val="nil"/>
              <w:left w:val="nil"/>
              <w:bottom w:val="single" w:sz="4" w:space="0" w:color="auto"/>
              <w:right w:val="single" w:sz="4" w:space="0" w:color="auto"/>
            </w:tcBorders>
            <w:shd w:val="clear" w:color="auto" w:fill="C6EFCE"/>
            <w:noWrap/>
            <w:vAlign w:val="center"/>
          </w:tcPr>
          <w:p w14:paraId="30DB7792"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6E86EE62" w14:textId="7383B6A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Posúdenie zdravotného postihnutia osobnej asistencie</w:t>
            </w:r>
          </w:p>
        </w:tc>
      </w:tr>
      <w:tr w:rsidR="00302FC1" w:rsidRPr="00AB26B3" w14:paraId="21D37A83"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05B05A9F"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184</w:t>
            </w:r>
          </w:p>
        </w:tc>
        <w:tc>
          <w:tcPr>
            <w:tcW w:w="5156" w:type="dxa"/>
            <w:tcBorders>
              <w:top w:val="nil"/>
              <w:left w:val="nil"/>
              <w:bottom w:val="single" w:sz="4" w:space="0" w:color="auto"/>
              <w:right w:val="single" w:sz="4" w:space="0" w:color="auto"/>
            </w:tcBorders>
            <w:shd w:val="clear" w:color="auto" w:fill="C6EFCE"/>
            <w:noWrap/>
            <w:vAlign w:val="center"/>
          </w:tcPr>
          <w:p w14:paraId="59913C75" w14:textId="0B7B29FD"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16685_Informovanosť</w:t>
            </w:r>
            <w:r w:rsidR="00AB26B3" w:rsidRPr="00AB26B3">
              <w:rPr>
                <w:noProof/>
                <w:spacing w:val="-6"/>
                <w:lang w:val="sk-SK"/>
              </w:rPr>
              <w:t xml:space="preserve"> o </w:t>
            </w:r>
            <w:r w:rsidRPr="00AB26B3">
              <w:rPr>
                <w:noProof/>
                <w:spacing w:val="-6"/>
                <w:lang w:val="sk-SK"/>
              </w:rPr>
              <w:t>rozmanitosti</w:t>
            </w:r>
          </w:p>
        </w:tc>
        <w:tc>
          <w:tcPr>
            <w:tcW w:w="1560" w:type="dxa"/>
            <w:tcBorders>
              <w:top w:val="nil"/>
              <w:left w:val="nil"/>
              <w:bottom w:val="single" w:sz="4" w:space="0" w:color="auto"/>
              <w:right w:val="single" w:sz="4" w:space="0" w:color="auto"/>
            </w:tcBorders>
            <w:shd w:val="clear" w:color="auto" w:fill="C6EFCE"/>
            <w:noWrap/>
            <w:vAlign w:val="center"/>
          </w:tcPr>
          <w:p w14:paraId="33C94546" w14:textId="3921655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4B735011" w14:textId="2B68B629"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Osvedčenia</w:t>
            </w:r>
            <w:r w:rsidR="00AB26B3" w:rsidRPr="00AB26B3">
              <w:rPr>
                <w:noProof/>
                <w:spacing w:val="-6"/>
                <w:lang w:val="sk-SK"/>
              </w:rPr>
              <w:t xml:space="preserve"> o </w:t>
            </w:r>
            <w:r w:rsidRPr="00AB26B3">
              <w:rPr>
                <w:noProof/>
                <w:spacing w:val="-6"/>
                <w:lang w:val="sk-SK"/>
              </w:rPr>
              <w:t>odbornej príprave vydávané zamestnancom</w:t>
            </w:r>
            <w:r w:rsidR="00AB26B3" w:rsidRPr="00AB26B3">
              <w:rPr>
                <w:noProof/>
                <w:spacing w:val="-6"/>
                <w:lang w:val="sk-SK"/>
              </w:rPr>
              <w:t xml:space="preserve"> v </w:t>
            </w:r>
            <w:r w:rsidRPr="00AB26B3">
              <w:rPr>
                <w:noProof/>
                <w:spacing w:val="-6"/>
                <w:lang w:val="sk-SK"/>
              </w:rPr>
              <w:t>podnikoch súkromného sektora</w:t>
            </w:r>
          </w:p>
        </w:tc>
      </w:tr>
      <w:tr w:rsidR="00302FC1" w:rsidRPr="00AB26B3" w14:paraId="2B7AD52C"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490FC15D"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195a</w:t>
            </w:r>
          </w:p>
        </w:tc>
        <w:tc>
          <w:tcPr>
            <w:tcW w:w="5156" w:type="dxa"/>
            <w:tcBorders>
              <w:top w:val="nil"/>
              <w:left w:val="nil"/>
              <w:bottom w:val="single" w:sz="4" w:space="0" w:color="auto"/>
              <w:right w:val="single" w:sz="4" w:space="0" w:color="auto"/>
            </w:tcBorders>
            <w:shd w:val="clear" w:color="auto" w:fill="C6EFCE"/>
            <w:noWrap/>
            <w:vAlign w:val="center"/>
          </w:tcPr>
          <w:p w14:paraId="7C79FB73" w14:textId="202010BE"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16291_Digitálna transformácia daňovej</w:t>
            </w:r>
            <w:r w:rsidR="00AB26B3" w:rsidRPr="00AB26B3">
              <w:rPr>
                <w:noProof/>
                <w:spacing w:val="-6"/>
                <w:lang w:val="sk-SK"/>
              </w:rPr>
              <w:t xml:space="preserve"> a </w:t>
            </w:r>
            <w:r w:rsidRPr="00AB26B3">
              <w:rPr>
                <w:noProof/>
                <w:spacing w:val="-6"/>
                <w:lang w:val="sk-SK"/>
              </w:rPr>
              <w:t>colnej správy</w:t>
            </w:r>
          </w:p>
        </w:tc>
        <w:tc>
          <w:tcPr>
            <w:tcW w:w="1560" w:type="dxa"/>
            <w:tcBorders>
              <w:top w:val="nil"/>
              <w:left w:val="nil"/>
              <w:bottom w:val="single" w:sz="4" w:space="0" w:color="auto"/>
              <w:right w:val="single" w:sz="4" w:space="0" w:color="auto"/>
            </w:tcBorders>
            <w:shd w:val="clear" w:color="auto" w:fill="C6EFCE"/>
            <w:noWrap/>
            <w:vAlign w:val="center"/>
          </w:tcPr>
          <w:p w14:paraId="6EB075D7"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tcPr>
          <w:p w14:paraId="02A5BE1B" w14:textId="0411E3B5" w:rsidR="00302FC1" w:rsidRPr="00AB26B3" w:rsidRDefault="00D64F26">
            <w:pPr>
              <w:pStyle w:val="P68B1DB1-Normal15"/>
              <w:keepNext/>
              <w:spacing w:before="40" w:after="0" w:line="240" w:lineRule="auto"/>
              <w:rPr>
                <w:rFonts w:eastAsia="Times New Roman"/>
                <w:noProof/>
                <w:spacing w:val="-6"/>
                <w:lang w:val="sk-SK"/>
              </w:rPr>
            </w:pPr>
            <w:r w:rsidRPr="00AB26B3">
              <w:rPr>
                <w:noProof/>
                <w:spacing w:val="-6"/>
                <w:lang w:val="sk-SK"/>
              </w:rPr>
              <w:t>Dodanie i) integrovaného informačného systému pre Generálne riaditeľstvo pre finančné služby IAPR</w:t>
            </w:r>
            <w:r w:rsidR="00AB26B3" w:rsidRPr="00AB26B3">
              <w:rPr>
                <w:noProof/>
                <w:spacing w:val="-6"/>
                <w:lang w:val="sk-SK"/>
              </w:rPr>
              <w:t xml:space="preserve"> a </w:t>
            </w:r>
            <w:r w:rsidRPr="00AB26B3">
              <w:rPr>
                <w:noProof/>
                <w:spacing w:val="-6"/>
                <w:lang w:val="sk-SK"/>
              </w:rPr>
              <w:t>ii) kancelárskeho hardvéru</w:t>
            </w:r>
            <w:r w:rsidR="00AB26B3" w:rsidRPr="00AB26B3">
              <w:rPr>
                <w:noProof/>
                <w:spacing w:val="-6"/>
                <w:lang w:val="sk-SK"/>
              </w:rPr>
              <w:t xml:space="preserve"> a </w:t>
            </w:r>
            <w:r w:rsidRPr="00AB26B3">
              <w:rPr>
                <w:noProof/>
                <w:spacing w:val="-6"/>
                <w:lang w:val="sk-SK"/>
              </w:rPr>
              <w:t>prenosného IT vybavenia pre IAPR</w:t>
            </w:r>
          </w:p>
        </w:tc>
      </w:tr>
      <w:tr w:rsidR="00302FC1" w:rsidRPr="00AB26B3" w14:paraId="50B7CC00"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2250B7C7"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236</w:t>
            </w:r>
          </w:p>
        </w:tc>
        <w:tc>
          <w:tcPr>
            <w:tcW w:w="5156" w:type="dxa"/>
            <w:tcBorders>
              <w:top w:val="nil"/>
              <w:left w:val="nil"/>
              <w:bottom w:val="single" w:sz="4" w:space="0" w:color="auto"/>
              <w:right w:val="single" w:sz="4" w:space="0" w:color="auto"/>
            </w:tcBorders>
            <w:shd w:val="clear" w:color="auto" w:fill="C6EFCE"/>
            <w:noWrap/>
            <w:vAlign w:val="center"/>
          </w:tcPr>
          <w:p w14:paraId="0DA72004" w14:textId="77777777" w:rsidR="00302FC1" w:rsidRPr="00AB26B3" w:rsidRDefault="00D64F26">
            <w:pPr>
              <w:pStyle w:val="P68B1DB1-Normal52"/>
              <w:keepNext/>
              <w:spacing w:before="40" w:after="0" w:line="240" w:lineRule="auto"/>
              <w:rPr>
                <w:rFonts w:eastAsia="Times New Roman" w:cs="Times New Roman"/>
                <w:bCs/>
                <w:noProof/>
                <w:spacing w:val="-6"/>
                <w:szCs w:val="18"/>
                <w:lang w:val="sk-SK"/>
              </w:rPr>
            </w:pPr>
            <w:r w:rsidRPr="00AB26B3">
              <w:rPr>
                <w:noProof/>
                <w:spacing w:val="-6"/>
                <w:lang w:val="sk-SK"/>
              </w:rPr>
              <w:t>14 – 4.3. Zlepšiť efektívnosť justičného systému – 16575 Urýchlenie výkonu spravodlivosti</w:t>
            </w:r>
          </w:p>
        </w:tc>
        <w:tc>
          <w:tcPr>
            <w:tcW w:w="1560" w:type="dxa"/>
            <w:tcBorders>
              <w:top w:val="nil"/>
              <w:left w:val="nil"/>
              <w:bottom w:val="single" w:sz="4" w:space="0" w:color="auto"/>
              <w:right w:val="single" w:sz="4" w:space="0" w:color="auto"/>
            </w:tcBorders>
            <w:shd w:val="clear" w:color="auto" w:fill="C6EFCE"/>
            <w:noWrap/>
            <w:vAlign w:val="center"/>
          </w:tcPr>
          <w:p w14:paraId="5F84014F"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663314F4" w14:textId="77777777" w:rsidR="00302FC1" w:rsidRPr="00AB26B3" w:rsidRDefault="00D64F26">
            <w:pPr>
              <w:pStyle w:val="P68B1DB1-Normal52"/>
              <w:keepNext/>
              <w:spacing w:before="40" w:after="0" w:line="240" w:lineRule="auto"/>
              <w:rPr>
                <w:rFonts w:eastAsia="Times New Roman" w:cs="Times New Roman"/>
                <w:noProof/>
                <w:spacing w:val="-6"/>
                <w:szCs w:val="18"/>
                <w:lang w:val="sk-SK"/>
              </w:rPr>
            </w:pPr>
            <w:r w:rsidRPr="00AB26B3">
              <w:rPr>
                <w:noProof/>
                <w:spacing w:val="-6"/>
                <w:lang w:val="sk-SK"/>
              </w:rPr>
              <w:t xml:space="preserve">Revízia súdnej mapy </w:t>
            </w:r>
          </w:p>
        </w:tc>
      </w:tr>
      <w:tr w:rsidR="00302FC1" w:rsidRPr="00AB26B3" w14:paraId="3B87CA04"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361A0367"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277</w:t>
            </w:r>
          </w:p>
        </w:tc>
        <w:tc>
          <w:tcPr>
            <w:tcW w:w="5156" w:type="dxa"/>
            <w:tcBorders>
              <w:top w:val="nil"/>
              <w:left w:val="nil"/>
              <w:bottom w:val="single" w:sz="4" w:space="0" w:color="auto"/>
              <w:right w:val="single" w:sz="4" w:space="0" w:color="auto"/>
            </w:tcBorders>
            <w:shd w:val="clear" w:color="auto" w:fill="C6EFCE"/>
            <w:noWrap/>
            <w:vAlign w:val="center"/>
          </w:tcPr>
          <w:p w14:paraId="1F01535F" w14:textId="4D3CE732" w:rsidR="00302FC1" w:rsidRPr="00AB26B3" w:rsidRDefault="00D64F26">
            <w:pPr>
              <w:pStyle w:val="P68B1DB1-Normal52"/>
              <w:keepNext/>
              <w:spacing w:before="40" w:after="0" w:line="240" w:lineRule="auto"/>
              <w:rPr>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16786_Zjednodušenie postupov ministerstva infraštruktúry</w:t>
            </w:r>
            <w:r w:rsidR="00AB26B3" w:rsidRPr="00AB26B3">
              <w:rPr>
                <w:noProof/>
                <w:spacing w:val="-6"/>
                <w:lang w:val="sk-SK"/>
              </w:rPr>
              <w:t xml:space="preserve"> a </w:t>
            </w:r>
            <w:r w:rsidRPr="00AB26B3">
              <w:rPr>
                <w:noProof/>
                <w:spacing w:val="-6"/>
                <w:lang w:val="sk-SK"/>
              </w:rPr>
              <w:t>dopravy</w:t>
            </w:r>
          </w:p>
        </w:tc>
        <w:tc>
          <w:tcPr>
            <w:tcW w:w="1560" w:type="dxa"/>
            <w:tcBorders>
              <w:top w:val="nil"/>
              <w:left w:val="nil"/>
              <w:bottom w:val="single" w:sz="4" w:space="0" w:color="auto"/>
              <w:right w:val="single" w:sz="4" w:space="0" w:color="auto"/>
            </w:tcBorders>
            <w:shd w:val="clear" w:color="auto" w:fill="C6EFCE"/>
            <w:noWrap/>
            <w:vAlign w:val="center"/>
          </w:tcPr>
          <w:p w14:paraId="10E82BE5" w14:textId="77777777" w:rsidR="00302FC1" w:rsidRPr="00AB26B3" w:rsidRDefault="00D64F26">
            <w:pPr>
              <w:pStyle w:val="P68B1DB1-Normal52"/>
              <w:keepNext/>
              <w:spacing w:before="40" w:after="0" w:line="240" w:lineRule="auto"/>
              <w:rPr>
                <w:noProof/>
                <w:spacing w:val="-6"/>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35E8B580" w14:textId="73AF5120" w:rsidR="00302FC1" w:rsidRPr="00AB26B3" w:rsidRDefault="00D64F26">
            <w:pPr>
              <w:pStyle w:val="P68B1DB1-Normal15"/>
              <w:keepNext/>
              <w:spacing w:before="40" w:after="0" w:line="240" w:lineRule="auto"/>
              <w:rPr>
                <w:noProof/>
                <w:spacing w:val="-6"/>
                <w:lang w:val="sk-SK"/>
              </w:rPr>
            </w:pPr>
            <w:r w:rsidRPr="00AB26B3">
              <w:rPr>
                <w:noProof/>
                <w:spacing w:val="-6"/>
                <w:lang w:val="sk-SK"/>
              </w:rPr>
              <w:t>Zjednodušenie postupov pre ministerstvo dopravy</w:t>
            </w:r>
          </w:p>
        </w:tc>
      </w:tr>
      <w:tr w:rsidR="00302FC1" w:rsidRPr="00AB26B3" w14:paraId="2DA798B5" w14:textId="77777777">
        <w:trPr>
          <w:trHeight w:val="302"/>
        </w:trPr>
        <w:tc>
          <w:tcPr>
            <w:tcW w:w="959" w:type="dxa"/>
            <w:tcBorders>
              <w:top w:val="nil"/>
              <w:left w:val="single" w:sz="4" w:space="0" w:color="auto"/>
              <w:bottom w:val="single" w:sz="4" w:space="0" w:color="auto"/>
              <w:right w:val="single" w:sz="4" w:space="0" w:color="auto"/>
            </w:tcBorders>
            <w:shd w:val="clear" w:color="auto" w:fill="C6EFCE"/>
            <w:noWrap/>
            <w:vAlign w:val="center"/>
          </w:tcPr>
          <w:p w14:paraId="635DBF1D"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333</w:t>
            </w:r>
          </w:p>
        </w:tc>
        <w:tc>
          <w:tcPr>
            <w:tcW w:w="5156" w:type="dxa"/>
            <w:tcBorders>
              <w:top w:val="nil"/>
              <w:left w:val="nil"/>
              <w:bottom w:val="single" w:sz="4" w:space="0" w:color="auto"/>
              <w:right w:val="single" w:sz="4" w:space="0" w:color="auto"/>
            </w:tcBorders>
            <w:shd w:val="clear" w:color="auto" w:fill="C6EFCE"/>
            <w:noWrap/>
            <w:vAlign w:val="center"/>
          </w:tcPr>
          <w:p w14:paraId="1E799633"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5 – 2.1. Connect – 16844_ Prechod na technológiu 5G uľahčujúci rozvoj inovačných služieb na diaľku</w:t>
            </w:r>
          </w:p>
        </w:tc>
        <w:tc>
          <w:tcPr>
            <w:tcW w:w="1560" w:type="dxa"/>
            <w:tcBorders>
              <w:top w:val="nil"/>
              <w:left w:val="nil"/>
              <w:bottom w:val="single" w:sz="4" w:space="0" w:color="auto"/>
              <w:right w:val="single" w:sz="4" w:space="0" w:color="auto"/>
            </w:tcBorders>
            <w:shd w:val="clear" w:color="auto" w:fill="C6EFCE"/>
            <w:noWrap/>
            <w:vAlign w:val="center"/>
          </w:tcPr>
          <w:p w14:paraId="3983F420"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Míľnik</w:t>
            </w:r>
          </w:p>
        </w:tc>
        <w:tc>
          <w:tcPr>
            <w:tcW w:w="1920" w:type="dxa"/>
            <w:tcBorders>
              <w:top w:val="nil"/>
              <w:left w:val="nil"/>
              <w:bottom w:val="single" w:sz="4" w:space="0" w:color="auto"/>
              <w:right w:val="single" w:sz="4" w:space="0" w:color="auto"/>
            </w:tcBorders>
            <w:shd w:val="clear" w:color="auto" w:fill="C6EFCE"/>
            <w:noWrap/>
            <w:vAlign w:val="center"/>
          </w:tcPr>
          <w:p w14:paraId="1639420D" w14:textId="77777777" w:rsidR="00302FC1" w:rsidRPr="00AB26B3" w:rsidRDefault="00D64F26">
            <w:pPr>
              <w:pStyle w:val="P68B1DB1-Normal52"/>
              <w:keepNext/>
              <w:spacing w:before="40" w:after="0" w:line="240" w:lineRule="auto"/>
              <w:rPr>
                <w:rFonts w:cs="Times New Roman"/>
                <w:noProof/>
                <w:spacing w:val="-6"/>
                <w:szCs w:val="18"/>
                <w:lang w:val="sk-SK"/>
              </w:rPr>
            </w:pPr>
            <w:r w:rsidRPr="00AB26B3">
              <w:rPr>
                <w:noProof/>
                <w:spacing w:val="-6"/>
                <w:lang w:val="sk-SK"/>
              </w:rPr>
              <w:t>Nadobudnutie účinnosti reformy prechodu na technológiu 5G</w:t>
            </w:r>
          </w:p>
        </w:tc>
      </w:tr>
      <w:tr w:rsidR="00302FC1" w:rsidRPr="00AB26B3" w14:paraId="48E89593" w14:textId="77777777">
        <w:trPr>
          <w:trHeight w:val="302"/>
        </w:trPr>
        <w:tc>
          <w:tcPr>
            <w:tcW w:w="9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9A2323"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268a</w:t>
            </w:r>
          </w:p>
        </w:tc>
        <w:tc>
          <w:tcPr>
            <w:tcW w:w="5156" w:type="dxa"/>
            <w:tcBorders>
              <w:top w:val="single" w:sz="4" w:space="0" w:color="auto"/>
              <w:left w:val="nil"/>
              <w:bottom w:val="single" w:sz="4" w:space="0" w:color="auto"/>
              <w:right w:val="single" w:sz="4" w:space="0" w:color="auto"/>
            </w:tcBorders>
            <w:shd w:val="clear" w:color="auto" w:fill="C6EFCE"/>
            <w:noWrap/>
            <w:vAlign w:val="center"/>
          </w:tcPr>
          <w:p w14:paraId="61429ED9" w14:textId="6A8CD2A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53D4E052"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Míľnik</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28AE7C70" w14:textId="77777777" w:rsidR="00302FC1" w:rsidRPr="00AB26B3" w:rsidRDefault="00D64F26">
            <w:pPr>
              <w:pStyle w:val="P68B1DB1-Normal11"/>
              <w:keepNext/>
              <w:spacing w:before="40" w:after="0" w:line="259" w:lineRule="auto"/>
              <w:rPr>
                <w:rFonts w:eastAsia="Times New Roman" w:cs="Calibri"/>
                <w:noProof/>
                <w:color w:val="006100"/>
                <w:spacing w:val="-6"/>
                <w:lang w:val="sk-SK"/>
              </w:rPr>
            </w:pPr>
            <w:r w:rsidRPr="00AB26B3">
              <w:rPr>
                <w:noProof/>
                <w:spacing w:val="-6"/>
                <w:lang w:val="sk-SK"/>
              </w:rPr>
              <w:t>Právne akty pre Helénske železnice</w:t>
            </w:r>
          </w:p>
        </w:tc>
      </w:tr>
      <w:tr w:rsidR="00302FC1" w:rsidRPr="00AB26B3" w14:paraId="431BFB68" w14:textId="77777777">
        <w:trPr>
          <w:trHeight w:val="302"/>
        </w:trPr>
        <w:tc>
          <w:tcPr>
            <w:tcW w:w="9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88D56C" w14:textId="77777777" w:rsidR="00302FC1" w:rsidRPr="00AB26B3" w:rsidRDefault="00D64F26">
            <w:pPr>
              <w:pStyle w:val="P68B1DB1-Normal11"/>
              <w:keepNext/>
              <w:spacing w:before="40" w:after="0" w:line="240" w:lineRule="auto"/>
              <w:rPr>
                <w:noProof/>
                <w:spacing w:val="-6"/>
                <w:lang w:val="sk-SK"/>
              </w:rPr>
            </w:pPr>
            <w:r w:rsidRPr="00AB26B3">
              <w:rPr>
                <w:noProof/>
                <w:spacing w:val="-6"/>
                <w:lang w:val="sk-SK"/>
              </w:rPr>
              <w:t>313</w:t>
            </w:r>
          </w:p>
        </w:tc>
        <w:tc>
          <w:tcPr>
            <w:tcW w:w="5156" w:type="dxa"/>
            <w:tcBorders>
              <w:top w:val="single" w:sz="4" w:space="0" w:color="auto"/>
              <w:left w:val="nil"/>
              <w:bottom w:val="single" w:sz="4" w:space="0" w:color="auto"/>
              <w:right w:val="single" w:sz="4" w:space="0" w:color="auto"/>
            </w:tcBorders>
            <w:shd w:val="clear" w:color="auto" w:fill="C6EFCE"/>
            <w:noWrap/>
            <w:vAlign w:val="center"/>
          </w:tcPr>
          <w:p w14:paraId="607D92EE" w14:textId="6A778CF1" w:rsidR="00302FC1" w:rsidRPr="00AB26B3" w:rsidRDefault="00D64F26">
            <w:pPr>
              <w:pStyle w:val="P68B1DB1-Normal11"/>
              <w:keepNext/>
              <w:spacing w:before="40" w:after="0" w:line="240" w:lineRule="auto"/>
              <w:rPr>
                <w:noProof/>
                <w:spacing w:val="-6"/>
                <w:lang w:val="sk-SK"/>
              </w:rPr>
            </w:pPr>
            <w:r w:rsidRPr="00AB26B3">
              <w:rPr>
                <w:noProof/>
                <w:spacing w:val="-6"/>
                <w:lang w:val="sk-SK"/>
              </w:rPr>
              <w:t> 17 – 4.6. Modernizácia</w:t>
            </w:r>
            <w:r w:rsidR="00AB26B3" w:rsidRPr="00AB26B3">
              <w:rPr>
                <w:noProof/>
                <w:spacing w:val="-6"/>
                <w:lang w:val="sk-SK"/>
              </w:rPr>
              <w:t xml:space="preserve"> a </w:t>
            </w:r>
            <w:r w:rsidRPr="00AB26B3">
              <w:rPr>
                <w:noProof/>
                <w:spacing w:val="-6"/>
                <w:lang w:val="sk-SK"/>
              </w:rPr>
              <w:t>zlepšenie odolnosti kľúčových hospodárskych odvetví – 16653_Digitálna transformácia agropotravinárskeho sektora</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4D6D1D1" w14:textId="77777777" w:rsidR="00302FC1" w:rsidRPr="00AB26B3" w:rsidRDefault="00D64F26">
            <w:pPr>
              <w:pStyle w:val="P68B1DB1-Normal11"/>
              <w:keepNext/>
              <w:spacing w:before="40" w:after="0" w:line="240" w:lineRule="auto"/>
              <w:rPr>
                <w:noProof/>
                <w:spacing w:val="-6"/>
                <w:lang w:val="sk-SK"/>
              </w:rPr>
            </w:pPr>
            <w:r w:rsidRPr="00AB26B3">
              <w:rPr>
                <w:noProof/>
                <w:spacing w:val="-6"/>
                <w:lang w:val="sk-SK"/>
              </w:rPr>
              <w:t>Míľnik</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0690AFA8" w14:textId="785D76A3" w:rsidR="00302FC1" w:rsidRPr="00AB26B3" w:rsidRDefault="00D64F26">
            <w:pPr>
              <w:pStyle w:val="P68B1DB1-Normal15"/>
              <w:keepNext/>
              <w:spacing w:before="40" w:after="0" w:line="240" w:lineRule="auto"/>
              <w:rPr>
                <w:noProof/>
                <w:spacing w:val="-6"/>
                <w:lang w:val="sk-SK"/>
              </w:rPr>
            </w:pPr>
            <w:r w:rsidRPr="00AB26B3">
              <w:rPr>
                <w:noProof/>
                <w:spacing w:val="-6"/>
                <w:lang w:val="sk-SK"/>
              </w:rPr>
              <w:t>Realizácia projektov digitálnej transformácie agropotravinárskeho sektora</w:t>
            </w:r>
          </w:p>
        </w:tc>
      </w:tr>
      <w:tr w:rsidR="00302FC1" w:rsidRPr="00AB26B3" w14:paraId="7E848FBC" w14:textId="77777777">
        <w:trPr>
          <w:trHeight w:val="302"/>
        </w:trPr>
        <w:tc>
          <w:tcPr>
            <w:tcW w:w="9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BF0DC8" w14:textId="77777777"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353</w:t>
            </w:r>
          </w:p>
        </w:tc>
        <w:tc>
          <w:tcPr>
            <w:tcW w:w="5156" w:type="dxa"/>
            <w:tcBorders>
              <w:top w:val="single" w:sz="4" w:space="0" w:color="auto"/>
              <w:left w:val="nil"/>
              <w:bottom w:val="single" w:sz="4" w:space="0" w:color="auto"/>
              <w:right w:val="single" w:sz="4" w:space="0" w:color="auto"/>
            </w:tcBorders>
            <w:shd w:val="clear" w:color="auto" w:fill="C6EFCE"/>
            <w:noWrap/>
            <w:vAlign w:val="center"/>
          </w:tcPr>
          <w:p w14:paraId="45808247" w14:textId="12C211A5" w:rsidR="00302FC1" w:rsidRPr="00AB26B3" w:rsidRDefault="00D64F26">
            <w:pPr>
              <w:pStyle w:val="P68B1DB1-Normal52"/>
              <w:keepNext/>
              <w:spacing w:before="40" w:after="0" w:line="259" w:lineRule="auto"/>
              <w:rPr>
                <w:rFonts w:eastAsia="Times New Roman" w:cs="Times New Roman"/>
                <w:bCs/>
                <w:noProof/>
                <w:spacing w:val="-6"/>
                <w:szCs w:val="18"/>
                <w:lang w:val="sk-SK"/>
              </w:rPr>
            </w:pPr>
            <w:r w:rsidRPr="00AB26B3">
              <w:rPr>
                <w:noProof/>
                <w:spacing w:val="-6"/>
                <w:lang w:val="sk-SK"/>
              </w:rPr>
              <w:t>20 – 5.1. Reformy REPowerEU – 16989_Optimalizácia využívania pevniny</w:t>
            </w:r>
            <w:r w:rsidR="00AB26B3" w:rsidRPr="00AB26B3">
              <w:rPr>
                <w:noProof/>
                <w:spacing w:val="-6"/>
                <w:lang w:val="sk-SK"/>
              </w:rPr>
              <w:t xml:space="preserve"> a </w:t>
            </w:r>
            <w:r w:rsidRPr="00AB26B3">
              <w:rPr>
                <w:noProof/>
                <w:spacing w:val="-6"/>
                <w:lang w:val="sk-SK"/>
              </w:rPr>
              <w:t>morského priestoru na rozvoj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rozvoj veternej energie na mori</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6E12C8B7"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Míľnik</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76ADA44A" w14:textId="64F9A09C" w:rsidR="00302FC1" w:rsidRPr="00AB26B3" w:rsidRDefault="00D64F26">
            <w:pPr>
              <w:pStyle w:val="P68B1DB1-Normal52"/>
              <w:keepNext/>
              <w:spacing w:before="40" w:after="0" w:line="259" w:lineRule="auto"/>
              <w:rPr>
                <w:noProof/>
                <w:spacing w:val="-6"/>
                <w:lang w:val="sk-SK"/>
              </w:rPr>
            </w:pPr>
            <w:r w:rsidRPr="00AB26B3">
              <w:rPr>
                <w:noProof/>
                <w:spacing w:val="-6"/>
                <w:lang w:val="sk-SK"/>
              </w:rPr>
              <w:t>Určenie oblastí pre obnoviteľné zdroje energie</w:t>
            </w:r>
            <w:r w:rsidR="00AB26B3" w:rsidRPr="00AB26B3">
              <w:rPr>
                <w:noProof/>
                <w:spacing w:val="-6"/>
                <w:lang w:val="sk-SK"/>
              </w:rPr>
              <w:t xml:space="preserve"> a </w:t>
            </w:r>
            <w:r w:rsidRPr="00AB26B3">
              <w:rPr>
                <w:noProof/>
                <w:spacing w:val="-6"/>
                <w:lang w:val="sk-SK"/>
              </w:rPr>
              <w:t>rámec pre dvojaké využitie pôdy na poľnohospodárstvo</w:t>
            </w:r>
            <w:r w:rsidR="00AB26B3" w:rsidRPr="00AB26B3">
              <w:rPr>
                <w:noProof/>
                <w:spacing w:val="-6"/>
                <w:lang w:val="sk-SK"/>
              </w:rPr>
              <w:t xml:space="preserve"> a </w:t>
            </w:r>
            <w:r w:rsidRPr="00AB26B3">
              <w:rPr>
                <w:noProof/>
                <w:spacing w:val="-6"/>
                <w:lang w:val="sk-SK"/>
              </w:rPr>
              <w:t>fotovoltiku</w:t>
            </w:r>
          </w:p>
        </w:tc>
      </w:tr>
      <w:tr w:rsidR="00302FC1" w:rsidRPr="00AB26B3" w14:paraId="218CDA35" w14:textId="77777777">
        <w:trPr>
          <w:trHeight w:val="302"/>
        </w:trPr>
        <w:tc>
          <w:tcPr>
            <w:tcW w:w="9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8B0C05" w14:textId="77777777" w:rsidR="00302FC1" w:rsidRPr="00AB26B3" w:rsidRDefault="00D64F26">
            <w:pPr>
              <w:pStyle w:val="P68B1DB1-Normal52"/>
              <w:keepNext/>
              <w:spacing w:before="40" w:after="0" w:line="259" w:lineRule="auto"/>
              <w:rPr>
                <w:noProof/>
                <w:spacing w:val="-6"/>
                <w:lang w:val="sk-SK"/>
              </w:rPr>
            </w:pPr>
            <w:r w:rsidRPr="00AB26B3">
              <w:rPr>
                <w:noProof/>
                <w:spacing w:val="-6"/>
                <w:lang w:val="sk-SK"/>
              </w:rPr>
              <w:t>355</w:t>
            </w:r>
          </w:p>
        </w:tc>
        <w:tc>
          <w:tcPr>
            <w:tcW w:w="5156" w:type="dxa"/>
            <w:tcBorders>
              <w:top w:val="single" w:sz="4" w:space="0" w:color="auto"/>
              <w:left w:val="nil"/>
              <w:bottom w:val="single" w:sz="4" w:space="0" w:color="auto"/>
              <w:right w:val="single" w:sz="4" w:space="0" w:color="auto"/>
            </w:tcBorders>
            <w:shd w:val="clear" w:color="auto" w:fill="C6EFCE"/>
            <w:noWrap/>
            <w:vAlign w:val="center"/>
          </w:tcPr>
          <w:p w14:paraId="7758E4DE" w14:textId="535C95CD" w:rsidR="00302FC1" w:rsidRPr="00AB26B3" w:rsidRDefault="00D64F26">
            <w:pPr>
              <w:pStyle w:val="P68B1DB1-Normal52"/>
              <w:keepNext/>
              <w:spacing w:before="40" w:after="0" w:line="259" w:lineRule="auto"/>
              <w:rPr>
                <w:noProof/>
                <w:spacing w:val="-6"/>
                <w:lang w:val="sk-SK"/>
              </w:rPr>
            </w:pPr>
            <w:r w:rsidRPr="00AB26B3">
              <w:rPr>
                <w:noProof/>
                <w:spacing w:val="-6"/>
                <w:lang w:val="sk-SK"/>
              </w:rPr>
              <w:t>20 – 5.1. Reformy REPowerEU – 16988_Regulačný rámec</w:t>
            </w:r>
            <w:r w:rsidR="00AB26B3" w:rsidRPr="00AB26B3">
              <w:rPr>
                <w:noProof/>
                <w:spacing w:val="-6"/>
                <w:lang w:val="sk-SK"/>
              </w:rPr>
              <w:t xml:space="preserve"> a </w:t>
            </w:r>
            <w:r w:rsidRPr="00AB26B3">
              <w:rPr>
                <w:noProof/>
                <w:spacing w:val="-6"/>
                <w:lang w:val="sk-SK"/>
              </w:rPr>
              <w:t>rámec fungovania trhu pre technológie zachytávania, využívania</w:t>
            </w:r>
            <w:r w:rsidR="00AB26B3" w:rsidRPr="00AB26B3">
              <w:rPr>
                <w:noProof/>
                <w:spacing w:val="-6"/>
                <w:lang w:val="sk-SK"/>
              </w:rPr>
              <w:t xml:space="preserve"> a </w:t>
            </w:r>
            <w:r w:rsidRPr="00AB26B3">
              <w:rPr>
                <w:noProof/>
                <w:spacing w:val="-6"/>
                <w:lang w:val="sk-SK"/>
              </w:rPr>
              <w:t xml:space="preserve">ukladania oxidu uhličitého na podporu dekarbonizácie priemyslu </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8511CAD" w14:textId="77777777" w:rsidR="00302FC1" w:rsidRPr="00AB26B3" w:rsidRDefault="00D64F26">
            <w:pPr>
              <w:pStyle w:val="P68B1DB1-Normal52"/>
              <w:keepNext/>
              <w:spacing w:before="40" w:after="0" w:line="259" w:lineRule="auto"/>
              <w:rPr>
                <w:noProof/>
                <w:spacing w:val="-6"/>
                <w:lang w:val="sk-SK"/>
              </w:rPr>
            </w:pPr>
            <w:r w:rsidRPr="00AB26B3">
              <w:rPr>
                <w:noProof/>
                <w:spacing w:val="-6"/>
                <w:lang w:val="sk-SK"/>
              </w:rPr>
              <w:t>Míľnik</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4AC5CE6C" w14:textId="68B867D6" w:rsidR="00302FC1" w:rsidRPr="00AB26B3" w:rsidRDefault="00D64F26">
            <w:pPr>
              <w:pStyle w:val="P68B1DB1-Normal52"/>
              <w:keepNext/>
              <w:spacing w:before="40" w:after="0" w:line="259" w:lineRule="auto"/>
              <w:rPr>
                <w:noProof/>
                <w:spacing w:val="-6"/>
                <w:lang w:val="sk-SK"/>
              </w:rPr>
            </w:pPr>
            <w:r w:rsidRPr="00AB26B3">
              <w:rPr>
                <w:noProof/>
                <w:spacing w:val="-6"/>
                <w:lang w:val="sk-SK"/>
              </w:rPr>
              <w:t>Vytvorenie právneho rámca pre zachytávanie, využívanie</w:t>
            </w:r>
            <w:r w:rsidR="00AB26B3" w:rsidRPr="00AB26B3">
              <w:rPr>
                <w:noProof/>
                <w:spacing w:val="-6"/>
                <w:lang w:val="sk-SK"/>
              </w:rPr>
              <w:t xml:space="preserve"> a </w:t>
            </w:r>
            <w:r w:rsidRPr="00AB26B3">
              <w:rPr>
                <w:noProof/>
                <w:spacing w:val="-6"/>
                <w:lang w:val="sk-SK"/>
              </w:rPr>
              <w:t>ukladanie oxidu uhličitého.</w:t>
            </w:r>
          </w:p>
        </w:tc>
      </w:tr>
      <w:tr w:rsidR="00302FC1" w:rsidRPr="00AB26B3" w14:paraId="708E509E" w14:textId="77777777">
        <w:trPr>
          <w:trHeight w:val="302"/>
        </w:trPr>
        <w:tc>
          <w:tcPr>
            <w:tcW w:w="9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9BD5FB"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359</w:t>
            </w:r>
          </w:p>
        </w:tc>
        <w:tc>
          <w:tcPr>
            <w:tcW w:w="5156" w:type="dxa"/>
            <w:tcBorders>
              <w:top w:val="single" w:sz="4" w:space="0" w:color="auto"/>
              <w:left w:val="nil"/>
              <w:bottom w:val="single" w:sz="4" w:space="0" w:color="auto"/>
              <w:right w:val="single" w:sz="4" w:space="0" w:color="auto"/>
            </w:tcBorders>
            <w:shd w:val="clear" w:color="auto" w:fill="C6EFCE"/>
            <w:noWrap/>
            <w:vAlign w:val="center"/>
          </w:tcPr>
          <w:p w14:paraId="7C6CD6E5"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20 – 5.1. Reformy REPowerEU – 16991_Regulačný rámec pre inteligentnú sieť</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67D11CA" w14:textId="77777777"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 xml:space="preserve">Míľnik </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3720634D" w14:textId="37EBE47F" w:rsidR="00302FC1" w:rsidRPr="00AB26B3" w:rsidRDefault="00D64F26">
            <w:pPr>
              <w:pStyle w:val="P68B1DB1-Normal52"/>
              <w:keepNext/>
              <w:spacing w:before="40" w:after="0" w:line="259" w:lineRule="auto"/>
              <w:rPr>
                <w:rFonts w:cs="Times New Roman"/>
                <w:noProof/>
                <w:spacing w:val="-6"/>
                <w:lang w:val="sk-SK"/>
              </w:rPr>
            </w:pPr>
            <w:r w:rsidRPr="00AB26B3">
              <w:rPr>
                <w:noProof/>
                <w:spacing w:val="-6"/>
                <w:lang w:val="sk-SK"/>
              </w:rPr>
              <w:t>Rámec pre zmluvy</w:t>
            </w:r>
            <w:r w:rsidR="00AB26B3" w:rsidRPr="00AB26B3">
              <w:rPr>
                <w:noProof/>
                <w:spacing w:val="-6"/>
                <w:lang w:val="sk-SK"/>
              </w:rPr>
              <w:t xml:space="preserve"> s </w:t>
            </w:r>
            <w:r w:rsidRPr="00AB26B3">
              <w:rPr>
                <w:noProof/>
                <w:spacing w:val="-6"/>
                <w:lang w:val="sk-SK"/>
              </w:rPr>
              <w:t xml:space="preserve">dynamickou cenotvorbou </w:t>
            </w:r>
          </w:p>
        </w:tc>
      </w:tr>
      <w:tr w:rsidR="00302FC1" w:rsidRPr="00AB26B3" w14:paraId="1BBD9604" w14:textId="77777777">
        <w:trPr>
          <w:trHeight w:val="302"/>
        </w:trPr>
        <w:tc>
          <w:tcPr>
            <w:tcW w:w="9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48295D" w14:textId="1D258111" w:rsidR="00302FC1" w:rsidRPr="00AB26B3" w:rsidRDefault="00D64F26">
            <w:pPr>
              <w:pStyle w:val="P68B1DB1-Normal52"/>
              <w:keepNext/>
              <w:spacing w:before="40" w:after="0" w:line="259" w:lineRule="auto"/>
              <w:rPr>
                <w:noProof/>
                <w:spacing w:val="-6"/>
                <w:lang w:val="sk-SK"/>
              </w:rPr>
            </w:pPr>
            <w:r w:rsidRPr="00AB26B3">
              <w:rPr>
                <w:noProof/>
                <w:spacing w:val="-6"/>
                <w:lang w:val="sk-SK"/>
              </w:rPr>
              <w:t>296</w:t>
            </w:r>
          </w:p>
        </w:tc>
        <w:tc>
          <w:tcPr>
            <w:tcW w:w="5156" w:type="dxa"/>
            <w:tcBorders>
              <w:top w:val="single" w:sz="4" w:space="0" w:color="auto"/>
              <w:left w:val="nil"/>
              <w:bottom w:val="single" w:sz="4" w:space="0" w:color="auto"/>
              <w:right w:val="single" w:sz="4" w:space="0" w:color="auto"/>
            </w:tcBorders>
            <w:shd w:val="clear" w:color="auto" w:fill="C6EFCE"/>
            <w:noWrap/>
            <w:vAlign w:val="center"/>
          </w:tcPr>
          <w:p w14:paraId="466785B7" w14:textId="74B31F2A" w:rsidR="00302FC1" w:rsidRPr="00AB26B3" w:rsidRDefault="00D64F26">
            <w:pPr>
              <w:pStyle w:val="P68B1DB1-Normal52"/>
              <w:keepNext/>
              <w:spacing w:before="40" w:after="0" w:line="259" w:lineRule="auto"/>
              <w:rPr>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16921_Rekvalifikácia</w:t>
            </w:r>
            <w:r w:rsidR="00AB26B3" w:rsidRPr="00AB26B3">
              <w:rPr>
                <w:noProof/>
                <w:spacing w:val="-6"/>
                <w:lang w:val="sk-SK"/>
              </w:rPr>
              <w:t xml:space="preserve"> a </w:t>
            </w:r>
            <w:r w:rsidRPr="00AB26B3">
              <w:rPr>
                <w:noProof/>
                <w:spacing w:val="-6"/>
                <w:lang w:val="sk-SK"/>
              </w:rPr>
              <w:t>zvyšovanie úrovne zručností</w:t>
            </w:r>
            <w:r w:rsidR="00AB26B3" w:rsidRPr="00AB26B3">
              <w:rPr>
                <w:noProof/>
                <w:spacing w:val="-6"/>
                <w:lang w:val="sk-SK"/>
              </w:rPr>
              <w:t xml:space="preserve"> v </w:t>
            </w:r>
            <w:r w:rsidRPr="00AB26B3">
              <w:rPr>
                <w:noProof/>
                <w:spacing w:val="-6"/>
                <w:lang w:val="sk-SK"/>
              </w:rPr>
              <w:t>cestovnom ruchu</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0C81886A" w14:textId="04F84180" w:rsidR="00302FC1" w:rsidRPr="00AB26B3" w:rsidRDefault="00D64F26">
            <w:pPr>
              <w:pStyle w:val="P68B1DB1-Normal52"/>
              <w:keepNext/>
              <w:spacing w:before="40" w:after="0" w:line="259" w:lineRule="auto"/>
              <w:rPr>
                <w:noProof/>
                <w:spacing w:val="-6"/>
                <w:lang w:val="sk-SK"/>
              </w:rPr>
            </w:pPr>
            <w:r w:rsidRPr="00AB26B3">
              <w:rPr>
                <w:noProof/>
                <w:spacing w:val="-6"/>
                <w:lang w:val="sk-SK"/>
              </w:rPr>
              <w:t>Míľnik</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605AF032" w14:textId="4A0901CF" w:rsidR="00302FC1" w:rsidRPr="00AB26B3" w:rsidRDefault="00D64F26">
            <w:pPr>
              <w:pStyle w:val="P68B1DB1-Normal52"/>
              <w:keepNext/>
              <w:spacing w:before="40" w:after="0" w:line="259" w:lineRule="auto"/>
              <w:rPr>
                <w:noProof/>
                <w:spacing w:val="-6"/>
                <w:lang w:val="sk-SK"/>
              </w:rPr>
            </w:pPr>
            <w:r w:rsidRPr="00AB26B3">
              <w:rPr>
                <w:noProof/>
                <w:spacing w:val="-6"/>
                <w:lang w:val="sk-SK"/>
              </w:rPr>
              <w:t>Rekvalifikácia</w:t>
            </w:r>
            <w:r w:rsidR="00AB26B3" w:rsidRPr="00AB26B3">
              <w:rPr>
                <w:noProof/>
                <w:spacing w:val="-6"/>
                <w:lang w:val="sk-SK"/>
              </w:rPr>
              <w:t xml:space="preserve"> a </w:t>
            </w:r>
            <w:r w:rsidRPr="00AB26B3">
              <w:rPr>
                <w:noProof/>
                <w:spacing w:val="-6"/>
                <w:lang w:val="sk-SK"/>
              </w:rPr>
              <w:t>zvyšovanie úrovne zručností</w:t>
            </w:r>
            <w:r w:rsidR="00AB26B3" w:rsidRPr="00AB26B3">
              <w:rPr>
                <w:noProof/>
                <w:spacing w:val="-6"/>
                <w:lang w:val="sk-SK"/>
              </w:rPr>
              <w:t xml:space="preserve"> v </w:t>
            </w:r>
            <w:r w:rsidRPr="00AB26B3">
              <w:rPr>
                <w:noProof/>
                <w:spacing w:val="-6"/>
                <w:lang w:val="sk-SK"/>
              </w:rPr>
              <w:t>cestovnom ruchu (správa</w:t>
            </w:r>
            <w:r w:rsidR="00AB26B3" w:rsidRPr="00AB26B3">
              <w:rPr>
                <w:noProof/>
                <w:spacing w:val="-6"/>
                <w:lang w:val="sk-SK"/>
              </w:rPr>
              <w:t xml:space="preserve"> o </w:t>
            </w:r>
            <w:r w:rsidRPr="00AB26B3">
              <w:rPr>
                <w:noProof/>
                <w:spacing w:val="-6"/>
                <w:lang w:val="sk-SK"/>
              </w:rPr>
              <w:t>odbornej príprave)</w:t>
            </w:r>
          </w:p>
        </w:tc>
      </w:tr>
      <w:tr w:rsidR="00302FC1" w:rsidRPr="00AB26B3" w14:paraId="357BDCB3" w14:textId="77777777">
        <w:trPr>
          <w:trHeight w:val="302"/>
        </w:trPr>
        <w:tc>
          <w:tcPr>
            <w:tcW w:w="9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B7C0D3"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5156" w:type="dxa"/>
            <w:tcBorders>
              <w:top w:val="single" w:sz="4" w:space="0" w:color="auto"/>
              <w:left w:val="nil"/>
              <w:bottom w:val="single" w:sz="4" w:space="0" w:color="auto"/>
              <w:right w:val="single" w:sz="4" w:space="0" w:color="auto"/>
            </w:tcBorders>
            <w:shd w:val="clear" w:color="auto" w:fill="C6EFCE"/>
            <w:noWrap/>
            <w:vAlign w:val="center"/>
          </w:tcPr>
          <w:p w14:paraId="0A6D2936" w14:textId="77777777" w:rsidR="00302FC1" w:rsidRPr="00AB26B3" w:rsidRDefault="00302FC1">
            <w:pPr>
              <w:keepNext/>
              <w:spacing w:before="40" w:after="0" w:line="259" w:lineRule="auto"/>
              <w:rPr>
                <w:rFonts w:ascii="Times New Roman" w:eastAsia="Times New Roman" w:hAnsi="Times New Roman" w:cs="Times New Roman"/>
                <w:bCs/>
                <w:noProof/>
                <w:spacing w:val="-6"/>
                <w:sz w:val="18"/>
                <w:szCs w:val="18"/>
                <w:lang w:val="sk-SK"/>
              </w:rPr>
            </w:pP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8D2A5D5" w14:textId="77777777"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Suma splátky</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64308C1B" w14:textId="23C198A9" w:rsidR="00302FC1" w:rsidRPr="00AB26B3" w:rsidRDefault="00D64F26">
            <w:pPr>
              <w:pStyle w:val="P68B1DB1-Normal52"/>
              <w:keepNext/>
              <w:spacing w:before="40" w:after="0" w:line="259" w:lineRule="auto"/>
              <w:rPr>
                <w:rFonts w:eastAsia="Times New Roman" w:cs="Times New Roman"/>
                <w:noProof/>
                <w:spacing w:val="-6"/>
                <w:szCs w:val="18"/>
                <w:lang w:val="sk-SK"/>
              </w:rPr>
            </w:pPr>
            <w:r w:rsidRPr="00AB26B3">
              <w:rPr>
                <w:noProof/>
                <w:spacing w:val="-6"/>
                <w:lang w:val="sk-SK"/>
              </w:rPr>
              <w:t>1 022 674 930 EUR</w:t>
            </w:r>
          </w:p>
        </w:tc>
      </w:tr>
    </w:tbl>
    <w:p w14:paraId="41784350" w14:textId="244750B2"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24"/>
          <w:lang w:val="sk-SK"/>
        </w:rPr>
      </w:pPr>
    </w:p>
    <w:p w14:paraId="15E88ACA" w14:textId="1E7472DA" w:rsidR="00AB26B3" w:rsidRPr="00AB26B3" w:rsidRDefault="00D64F26">
      <w:pPr>
        <w:pStyle w:val="P68B1DB1-Normal5"/>
        <w:keepNext/>
        <w:numPr>
          <w:ilvl w:val="1"/>
          <w:numId w:val="85"/>
        </w:numPr>
        <w:spacing w:before="40" w:after="160" w:line="259" w:lineRule="auto"/>
        <w:ind w:left="0"/>
        <w:contextualSpacing/>
        <w:jc w:val="both"/>
        <w:rPr>
          <w:noProof/>
          <w:spacing w:val="-6"/>
          <w:lang w:val="sk-SK"/>
        </w:rPr>
      </w:pPr>
      <w:r w:rsidRPr="00AB26B3">
        <w:rPr>
          <w:noProof/>
          <w:spacing w:val="-6"/>
          <w:lang w:val="sk-SK"/>
        </w:rPr>
        <w:t>Ôsma žiadosť</w:t>
      </w:r>
      <w:r w:rsidR="00AB26B3" w:rsidRPr="00AB26B3">
        <w:rPr>
          <w:noProof/>
          <w:spacing w:val="-6"/>
          <w:lang w:val="sk-SK"/>
        </w:rPr>
        <w:t xml:space="preserve"> o </w:t>
      </w:r>
      <w:r w:rsidRPr="00AB26B3">
        <w:rPr>
          <w:noProof/>
          <w:spacing w:val="-6"/>
          <w:lang w:val="sk-SK"/>
        </w:rPr>
        <w:t>platbu (nenávratná podpora)</w:t>
      </w:r>
      <w:r w:rsidR="00AB26B3" w:rsidRPr="00AB26B3">
        <w:rPr>
          <w:noProof/>
          <w:spacing w:val="-6"/>
          <w:lang w:val="sk-SK"/>
        </w:rPr>
        <w:t>:</w:t>
      </w:r>
    </w:p>
    <w:p w14:paraId="6C1C78BD" w14:textId="52A16D3C"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24"/>
          <w:lang w:val="sk-SK"/>
        </w:rPr>
      </w:pPr>
    </w:p>
    <w:tbl>
      <w:tblPr>
        <w:tblpPr w:leftFromText="180" w:rightFromText="180" w:vertAnchor="text" w:tblpXSpec="center" w:tblpY="1"/>
        <w:tblOverlap w:val="never"/>
        <w:tblW w:w="9588" w:type="dxa"/>
        <w:tblLayout w:type="fixed"/>
        <w:tblLook w:val="04A0" w:firstRow="1" w:lastRow="0" w:firstColumn="1" w:lastColumn="0" w:noHBand="0" w:noVBand="1"/>
      </w:tblPr>
      <w:tblGrid>
        <w:gridCol w:w="1080"/>
        <w:gridCol w:w="5160"/>
        <w:gridCol w:w="1560"/>
        <w:gridCol w:w="1788"/>
      </w:tblGrid>
      <w:tr w:rsidR="00302FC1" w:rsidRPr="00AB26B3" w14:paraId="40822248" w14:textId="77777777">
        <w:trPr>
          <w:trHeight w:val="1266"/>
          <w:tblHeader/>
        </w:trPr>
        <w:tc>
          <w:tcPr>
            <w:tcW w:w="108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B50CD32" w14:textId="6FFDDFE7"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1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5DCA540" w14:textId="46ACB7E8"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5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CBC308F" w14:textId="172984B2"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78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A9FD383" w14:textId="228A3C4E"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6B161706" w14:textId="77777777">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69E7E4" w14:textId="2A5C7B70"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385</w:t>
            </w:r>
          </w:p>
        </w:tc>
        <w:tc>
          <w:tcPr>
            <w:tcW w:w="5160" w:type="dxa"/>
            <w:tcBorders>
              <w:top w:val="single" w:sz="4" w:space="0" w:color="auto"/>
              <w:left w:val="nil"/>
              <w:bottom w:val="single" w:sz="4" w:space="0" w:color="auto"/>
              <w:right w:val="single" w:sz="4" w:space="0" w:color="auto"/>
            </w:tcBorders>
            <w:shd w:val="clear" w:color="auto" w:fill="C6EFCE"/>
            <w:noWrap/>
            <w:vAlign w:val="center"/>
          </w:tcPr>
          <w:p w14:paraId="08F1F777" w14:textId="032EFA13"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16404_Rozvojový program pre miestnu samosprávu „Antonis Tritsis“</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45AF3758" w14:textId="77777777"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Míľnik</w:t>
            </w:r>
          </w:p>
        </w:tc>
        <w:tc>
          <w:tcPr>
            <w:tcW w:w="1788" w:type="dxa"/>
            <w:tcBorders>
              <w:top w:val="single" w:sz="4" w:space="0" w:color="auto"/>
              <w:left w:val="nil"/>
              <w:bottom w:val="single" w:sz="4" w:space="0" w:color="auto"/>
              <w:right w:val="single" w:sz="4" w:space="0" w:color="auto"/>
            </w:tcBorders>
            <w:shd w:val="clear" w:color="auto" w:fill="C6EFCE"/>
            <w:noWrap/>
            <w:vAlign w:val="center"/>
          </w:tcPr>
          <w:p w14:paraId="6DEAFDC3" w14:textId="60BEF0B7"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Rozvojový program pre miestnu samosprávu „Antonis Tritsis“</w:t>
            </w:r>
          </w:p>
        </w:tc>
      </w:tr>
      <w:tr w:rsidR="00302FC1" w:rsidRPr="00AB26B3" w14:paraId="20E77225" w14:textId="77777777">
        <w:trPr>
          <w:trHeight w:val="302"/>
        </w:trPr>
        <w:tc>
          <w:tcPr>
            <w:tcW w:w="1080" w:type="dxa"/>
            <w:tcBorders>
              <w:top w:val="single" w:sz="4" w:space="0" w:color="auto"/>
              <w:left w:val="single" w:sz="4" w:space="0" w:color="auto"/>
              <w:bottom w:val="single" w:sz="4" w:space="0" w:color="auto"/>
              <w:right w:val="single" w:sz="4" w:space="0" w:color="auto"/>
            </w:tcBorders>
            <w:shd w:val="clear" w:color="auto" w:fill="C6EFCE"/>
            <w:noWrap/>
          </w:tcPr>
          <w:p w14:paraId="497E44AE" w14:textId="77777777"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45a</w:t>
            </w:r>
          </w:p>
        </w:tc>
        <w:tc>
          <w:tcPr>
            <w:tcW w:w="5160" w:type="dxa"/>
            <w:tcBorders>
              <w:top w:val="single" w:sz="4" w:space="0" w:color="auto"/>
              <w:left w:val="nil"/>
              <w:bottom w:val="single" w:sz="4" w:space="0" w:color="auto"/>
              <w:right w:val="single" w:sz="4" w:space="0" w:color="auto"/>
            </w:tcBorders>
            <w:shd w:val="clear" w:color="auto" w:fill="C6EFCE"/>
            <w:noWrap/>
          </w:tcPr>
          <w:p w14:paraId="0C1D98A9" w14:textId="74BB0CDD"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–16924_Elektromobilita</w:t>
            </w:r>
          </w:p>
        </w:tc>
        <w:tc>
          <w:tcPr>
            <w:tcW w:w="1560" w:type="dxa"/>
            <w:tcBorders>
              <w:top w:val="single" w:sz="4" w:space="0" w:color="auto"/>
              <w:left w:val="nil"/>
              <w:bottom w:val="single" w:sz="4" w:space="0" w:color="auto"/>
              <w:right w:val="single" w:sz="4" w:space="0" w:color="auto"/>
            </w:tcBorders>
            <w:shd w:val="clear" w:color="auto" w:fill="C6EFCE"/>
            <w:noWrap/>
          </w:tcPr>
          <w:p w14:paraId="66764FE1" w14:textId="77777777"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Míľnik</w:t>
            </w:r>
          </w:p>
        </w:tc>
        <w:tc>
          <w:tcPr>
            <w:tcW w:w="1788" w:type="dxa"/>
            <w:tcBorders>
              <w:top w:val="single" w:sz="4" w:space="0" w:color="auto"/>
              <w:left w:val="nil"/>
              <w:bottom w:val="single" w:sz="4" w:space="0" w:color="auto"/>
              <w:right w:val="single" w:sz="4" w:space="0" w:color="auto"/>
            </w:tcBorders>
            <w:shd w:val="clear" w:color="auto" w:fill="C6EFCE"/>
            <w:noWrap/>
          </w:tcPr>
          <w:p w14:paraId="63E34553" w14:textId="006B9596" w:rsidR="00302FC1" w:rsidRPr="00AB26B3" w:rsidRDefault="00D64F26">
            <w:pPr>
              <w:pStyle w:val="P68B1DB1-Normal15"/>
              <w:keepNext/>
              <w:spacing w:before="40" w:after="0" w:line="240" w:lineRule="auto"/>
              <w:jc w:val="both"/>
              <w:rPr>
                <w:noProof/>
                <w:spacing w:val="-6"/>
                <w:lang w:val="sk-SK"/>
              </w:rPr>
            </w:pPr>
            <w:r w:rsidRPr="00AB26B3">
              <w:rPr>
                <w:noProof/>
                <w:spacing w:val="-6"/>
                <w:lang w:val="sk-SK"/>
              </w:rPr>
              <w:t>Autobus verejnej dopravy – uverejnenie výziev na predkladanie ponúk pre regióny</w:t>
            </w:r>
          </w:p>
        </w:tc>
      </w:tr>
      <w:tr w:rsidR="00302FC1" w:rsidRPr="00AB26B3" w14:paraId="74735C1C" w14:textId="77777777">
        <w:trPr>
          <w:trHeight w:val="302"/>
        </w:trPr>
        <w:tc>
          <w:tcPr>
            <w:tcW w:w="10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12CBFB"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109</w:t>
            </w:r>
          </w:p>
        </w:tc>
        <w:tc>
          <w:tcPr>
            <w:tcW w:w="5160" w:type="dxa"/>
            <w:tcBorders>
              <w:top w:val="single" w:sz="4" w:space="0" w:color="auto"/>
              <w:left w:val="nil"/>
              <w:bottom w:val="single" w:sz="4" w:space="0" w:color="auto"/>
              <w:right w:val="single" w:sz="4" w:space="0" w:color="auto"/>
            </w:tcBorders>
            <w:shd w:val="clear" w:color="auto" w:fill="C6EFCE"/>
            <w:noWrap/>
            <w:vAlign w:val="center"/>
          </w:tcPr>
          <w:p w14:paraId="6E285484"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6 – 2.2. Modernizujme – 16810_CRM pre verejnú správu</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C3F413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788" w:type="dxa"/>
            <w:tcBorders>
              <w:top w:val="single" w:sz="4" w:space="0" w:color="auto"/>
              <w:left w:val="nil"/>
              <w:bottom w:val="single" w:sz="4" w:space="0" w:color="auto"/>
              <w:right w:val="single" w:sz="4" w:space="0" w:color="auto"/>
            </w:tcBorders>
            <w:shd w:val="clear" w:color="auto" w:fill="C6EFCE"/>
            <w:noWrap/>
            <w:vAlign w:val="center"/>
          </w:tcPr>
          <w:p w14:paraId="41B5BF29" w14:textId="05B0E34D"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Systém riadenia vzťahov so zákazníkmi pre verejnú správu</w:t>
            </w:r>
            <w:r w:rsidR="00AB26B3" w:rsidRPr="00AB26B3">
              <w:rPr>
                <w:noProof/>
                <w:spacing w:val="-6"/>
                <w:lang w:val="sk-SK"/>
              </w:rPr>
              <w:t xml:space="preserve"> a </w:t>
            </w:r>
            <w:r w:rsidRPr="00AB26B3">
              <w:rPr>
                <w:noProof/>
                <w:spacing w:val="-6"/>
                <w:lang w:val="sk-SK"/>
              </w:rPr>
              <w:t>Gov.gr – kuriér</w:t>
            </w:r>
          </w:p>
        </w:tc>
      </w:tr>
      <w:tr w:rsidR="00302FC1" w:rsidRPr="00AB26B3" w14:paraId="5F123645"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08A1A4A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114</w:t>
            </w:r>
          </w:p>
        </w:tc>
        <w:tc>
          <w:tcPr>
            <w:tcW w:w="5160" w:type="dxa"/>
            <w:tcBorders>
              <w:top w:val="nil"/>
              <w:left w:val="nil"/>
              <w:bottom w:val="single" w:sz="4" w:space="0" w:color="auto"/>
              <w:right w:val="single" w:sz="4" w:space="0" w:color="auto"/>
            </w:tcBorders>
            <w:shd w:val="clear" w:color="auto" w:fill="C6EFCE"/>
            <w:noWrap/>
            <w:vAlign w:val="center"/>
          </w:tcPr>
          <w:p w14:paraId="3C370FC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16742_Digitálna transformácia ministerstva zahraničných vecí</w:t>
            </w:r>
          </w:p>
        </w:tc>
        <w:tc>
          <w:tcPr>
            <w:tcW w:w="1560" w:type="dxa"/>
            <w:tcBorders>
              <w:top w:val="nil"/>
              <w:left w:val="nil"/>
              <w:bottom w:val="single" w:sz="4" w:space="0" w:color="auto"/>
              <w:right w:val="single" w:sz="4" w:space="0" w:color="auto"/>
            </w:tcBorders>
            <w:shd w:val="clear" w:color="auto" w:fill="C6EFCE"/>
            <w:noWrap/>
            <w:vAlign w:val="center"/>
          </w:tcPr>
          <w:p w14:paraId="276464F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51810E66"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 xml:space="preserve"> Digitálna transformácia ministerstva zahraničných vecí</w:t>
            </w:r>
          </w:p>
        </w:tc>
      </w:tr>
      <w:tr w:rsidR="00302FC1" w:rsidRPr="00AB26B3" w14:paraId="2DADA749"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58B8DF6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115</w:t>
            </w:r>
          </w:p>
        </w:tc>
        <w:tc>
          <w:tcPr>
            <w:tcW w:w="5160" w:type="dxa"/>
            <w:tcBorders>
              <w:top w:val="nil"/>
              <w:left w:val="nil"/>
              <w:bottom w:val="single" w:sz="4" w:space="0" w:color="auto"/>
              <w:right w:val="single" w:sz="4" w:space="0" w:color="auto"/>
            </w:tcBorders>
            <w:shd w:val="clear" w:color="auto" w:fill="C6EFCE"/>
            <w:noWrap/>
            <w:vAlign w:val="center"/>
          </w:tcPr>
          <w:p w14:paraId="475ECF8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Modernizujte – 16791_Digitálna transformácia gréckej národnej organizácie cestovného ruchu</w:t>
            </w:r>
          </w:p>
        </w:tc>
        <w:tc>
          <w:tcPr>
            <w:tcW w:w="1560" w:type="dxa"/>
            <w:tcBorders>
              <w:top w:val="nil"/>
              <w:left w:val="nil"/>
              <w:bottom w:val="single" w:sz="4" w:space="0" w:color="auto"/>
              <w:right w:val="single" w:sz="4" w:space="0" w:color="auto"/>
            </w:tcBorders>
            <w:shd w:val="clear" w:color="auto" w:fill="C6EFCE"/>
            <w:noWrap/>
            <w:vAlign w:val="center"/>
          </w:tcPr>
          <w:p w14:paraId="1B4B48F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323B72BE" w14:textId="3DE14474"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Digitalizácia gréckej národnej organizácie cestovného ruchu </w:t>
            </w:r>
          </w:p>
        </w:tc>
      </w:tr>
      <w:tr w:rsidR="00302FC1" w:rsidRPr="00AB26B3" w14:paraId="6E4CCA72"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219120B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131</w:t>
            </w:r>
          </w:p>
        </w:tc>
        <w:tc>
          <w:tcPr>
            <w:tcW w:w="5160" w:type="dxa"/>
            <w:tcBorders>
              <w:top w:val="nil"/>
              <w:left w:val="nil"/>
              <w:bottom w:val="single" w:sz="4" w:space="0" w:color="auto"/>
              <w:right w:val="single" w:sz="4" w:space="0" w:color="auto"/>
            </w:tcBorders>
            <w:shd w:val="clear" w:color="auto" w:fill="C6EFCE"/>
            <w:noWrap/>
            <w:vAlign w:val="center"/>
          </w:tcPr>
          <w:p w14:paraId="57A0F7C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7 – 2.3. Digitalizácia podnikov – 16706_Digitálna transformácia MSP</w:t>
            </w:r>
          </w:p>
        </w:tc>
        <w:tc>
          <w:tcPr>
            <w:tcW w:w="1560" w:type="dxa"/>
            <w:tcBorders>
              <w:top w:val="nil"/>
              <w:left w:val="nil"/>
              <w:bottom w:val="single" w:sz="4" w:space="0" w:color="auto"/>
              <w:right w:val="single" w:sz="4" w:space="0" w:color="auto"/>
            </w:tcBorders>
            <w:shd w:val="clear" w:color="auto" w:fill="C6EFCE"/>
            <w:noWrap/>
            <w:vAlign w:val="center"/>
          </w:tcPr>
          <w:p w14:paraId="554E6B5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3C784DC8" w14:textId="5E0D1F8A"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Digitálna transformácia MSP – podpora digitalizácie prostredníctvom systémov poukazov</w:t>
            </w:r>
          </w:p>
        </w:tc>
      </w:tr>
      <w:tr w:rsidR="00302FC1" w:rsidRPr="00AB26B3" w14:paraId="799FF4F6"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12FF5A9F"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181a</w:t>
            </w:r>
          </w:p>
        </w:tc>
        <w:tc>
          <w:tcPr>
            <w:tcW w:w="5160" w:type="dxa"/>
            <w:tcBorders>
              <w:top w:val="nil"/>
              <w:left w:val="nil"/>
              <w:bottom w:val="single" w:sz="4" w:space="0" w:color="auto"/>
              <w:right w:val="single" w:sz="4" w:space="0" w:color="auto"/>
            </w:tcBorders>
            <w:shd w:val="clear" w:color="auto" w:fill="C6EFCE"/>
            <w:noWrap/>
            <w:vAlign w:val="center"/>
          </w:tcPr>
          <w:p w14:paraId="69444C1E" w14:textId="71478108"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16402_Sociálne</w:t>
            </w:r>
            <w:r w:rsidR="00AB26B3" w:rsidRPr="00AB26B3">
              <w:rPr>
                <w:noProof/>
                <w:spacing w:val="-6"/>
                <w:lang w:val="sk-SK"/>
              </w:rPr>
              <w:t xml:space="preserve"> a </w:t>
            </w:r>
            <w:r w:rsidRPr="00AB26B3">
              <w:rPr>
                <w:noProof/>
                <w:spacing w:val="-6"/>
                <w:lang w:val="sk-SK"/>
              </w:rPr>
              <w:t>cenovo dostupné bývanie</w:t>
            </w:r>
          </w:p>
        </w:tc>
        <w:tc>
          <w:tcPr>
            <w:tcW w:w="1560" w:type="dxa"/>
            <w:tcBorders>
              <w:top w:val="nil"/>
              <w:left w:val="nil"/>
              <w:bottom w:val="single" w:sz="4" w:space="0" w:color="auto"/>
              <w:right w:val="single" w:sz="4" w:space="0" w:color="auto"/>
            </w:tcBorders>
            <w:shd w:val="clear" w:color="auto" w:fill="C6EFCE"/>
            <w:noWrap/>
            <w:vAlign w:val="center"/>
          </w:tcPr>
          <w:p w14:paraId="7C290A3D"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4D7AC337"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 xml:space="preserve">Zmena právneho aktu </w:t>
            </w:r>
          </w:p>
        </w:tc>
      </w:tr>
      <w:tr w:rsidR="00302FC1" w:rsidRPr="00AB26B3" w14:paraId="3F4BCAC0"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0885755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132</w:t>
            </w:r>
          </w:p>
        </w:tc>
        <w:tc>
          <w:tcPr>
            <w:tcW w:w="5160" w:type="dxa"/>
            <w:tcBorders>
              <w:top w:val="nil"/>
              <w:left w:val="nil"/>
              <w:bottom w:val="single" w:sz="4" w:space="0" w:color="auto"/>
              <w:right w:val="single" w:sz="4" w:space="0" w:color="auto"/>
            </w:tcBorders>
            <w:shd w:val="clear" w:color="auto" w:fill="C6EFCE"/>
            <w:noWrap/>
            <w:vAlign w:val="center"/>
          </w:tcPr>
          <w:p w14:paraId="02F404C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7 – 2.3. Digitalizácia podnikov – 16973_Vytvorenie digitálneho podnikateľského ekosystému na uľahčenie digitálnej transformácie MSP</w:t>
            </w:r>
          </w:p>
        </w:tc>
        <w:tc>
          <w:tcPr>
            <w:tcW w:w="1560" w:type="dxa"/>
            <w:tcBorders>
              <w:top w:val="nil"/>
              <w:left w:val="nil"/>
              <w:bottom w:val="single" w:sz="4" w:space="0" w:color="auto"/>
              <w:right w:val="single" w:sz="4" w:space="0" w:color="auto"/>
            </w:tcBorders>
            <w:shd w:val="clear" w:color="auto" w:fill="C6EFCE"/>
            <w:noWrap/>
            <w:vAlign w:val="center"/>
          </w:tcPr>
          <w:p w14:paraId="6668A65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57C1C26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Digitálna transformácia MSP – Legislatívna reforma na stimulovanie zavádzania technológií</w:t>
            </w:r>
          </w:p>
        </w:tc>
      </w:tr>
      <w:tr w:rsidR="00302FC1" w:rsidRPr="00AB26B3" w14:paraId="5AB26AC0"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tcPr>
          <w:p w14:paraId="59ADFFB7"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135a</w:t>
            </w:r>
          </w:p>
        </w:tc>
        <w:tc>
          <w:tcPr>
            <w:tcW w:w="5160" w:type="dxa"/>
            <w:tcBorders>
              <w:top w:val="nil"/>
              <w:left w:val="nil"/>
              <w:bottom w:val="single" w:sz="4" w:space="0" w:color="auto"/>
              <w:right w:val="single" w:sz="4" w:space="0" w:color="auto"/>
            </w:tcBorders>
            <w:shd w:val="clear" w:color="auto" w:fill="C6EFCE"/>
            <w:noWrap/>
          </w:tcPr>
          <w:p w14:paraId="0337F2C4" w14:textId="0615A95F"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16942_Digitálna transformácia verejných služieb zamestnanosti</w:t>
            </w:r>
          </w:p>
        </w:tc>
        <w:tc>
          <w:tcPr>
            <w:tcW w:w="1560" w:type="dxa"/>
            <w:tcBorders>
              <w:top w:val="nil"/>
              <w:left w:val="nil"/>
              <w:bottom w:val="single" w:sz="4" w:space="0" w:color="auto"/>
              <w:right w:val="single" w:sz="4" w:space="0" w:color="auto"/>
            </w:tcBorders>
            <w:shd w:val="clear" w:color="auto" w:fill="C6EFCE"/>
            <w:noWrap/>
          </w:tcPr>
          <w:p w14:paraId="1468F02B"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tcPr>
          <w:p w14:paraId="18D2667C"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Digitálna transformácia DYPA</w:t>
            </w:r>
          </w:p>
        </w:tc>
      </w:tr>
      <w:tr w:rsidR="00302FC1" w:rsidRPr="00AB26B3" w14:paraId="7CEF07CC"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tcPr>
          <w:p w14:paraId="09B64170"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144a</w:t>
            </w:r>
          </w:p>
        </w:tc>
        <w:tc>
          <w:tcPr>
            <w:tcW w:w="5160" w:type="dxa"/>
            <w:tcBorders>
              <w:top w:val="nil"/>
              <w:left w:val="nil"/>
              <w:bottom w:val="single" w:sz="4" w:space="0" w:color="auto"/>
              <w:right w:val="single" w:sz="4" w:space="0" w:color="auto"/>
            </w:tcBorders>
            <w:shd w:val="clear" w:color="auto" w:fill="C6EFCE"/>
            <w:noWrap/>
          </w:tcPr>
          <w:p w14:paraId="2FF91891" w14:textId="50E2CC92"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16747_Reforma aktívnych politík trhu práce</w:t>
            </w:r>
          </w:p>
        </w:tc>
        <w:tc>
          <w:tcPr>
            <w:tcW w:w="1560" w:type="dxa"/>
            <w:tcBorders>
              <w:top w:val="nil"/>
              <w:left w:val="nil"/>
              <w:bottom w:val="single" w:sz="4" w:space="0" w:color="auto"/>
              <w:right w:val="single" w:sz="4" w:space="0" w:color="auto"/>
            </w:tcBorders>
            <w:shd w:val="clear" w:color="auto" w:fill="C6EFCE"/>
            <w:noWrap/>
          </w:tcPr>
          <w:p w14:paraId="023032F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tcPr>
          <w:p w14:paraId="0E2001BA" w14:textId="77333D78"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 xml:space="preserve">Plnenie programu zamestnanosti aktívnych politík trhu práce </w:t>
            </w:r>
          </w:p>
        </w:tc>
      </w:tr>
      <w:tr w:rsidR="00302FC1" w:rsidRPr="00AB26B3" w14:paraId="41632A09"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tcPr>
          <w:p w14:paraId="790B1C09"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148a</w:t>
            </w:r>
          </w:p>
        </w:tc>
        <w:tc>
          <w:tcPr>
            <w:tcW w:w="5160" w:type="dxa"/>
            <w:tcBorders>
              <w:top w:val="nil"/>
              <w:left w:val="nil"/>
              <w:bottom w:val="single" w:sz="4" w:space="0" w:color="auto"/>
              <w:right w:val="single" w:sz="4" w:space="0" w:color="auto"/>
            </w:tcBorders>
            <w:shd w:val="clear" w:color="auto" w:fill="C6EFCE"/>
            <w:noWrap/>
          </w:tcPr>
          <w:p w14:paraId="3A3F7A15" w14:textId="29A5DA7A"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16676_Digitálna transformácia vzdelávania</w:t>
            </w:r>
          </w:p>
        </w:tc>
        <w:tc>
          <w:tcPr>
            <w:tcW w:w="1560" w:type="dxa"/>
            <w:tcBorders>
              <w:top w:val="nil"/>
              <w:left w:val="nil"/>
              <w:bottom w:val="single" w:sz="4" w:space="0" w:color="auto"/>
              <w:right w:val="single" w:sz="4" w:space="0" w:color="auto"/>
            </w:tcBorders>
            <w:shd w:val="clear" w:color="auto" w:fill="C6EFCE"/>
            <w:noWrap/>
          </w:tcPr>
          <w:p w14:paraId="303B585D"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tcPr>
          <w:p w14:paraId="6FB9AE5D" w14:textId="5BEC84DB"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Stratégia aktualizácie učebných plánov, racionalizácie služieb</w:t>
            </w:r>
            <w:r w:rsidR="00AB26B3" w:rsidRPr="00AB26B3">
              <w:rPr>
                <w:noProof/>
                <w:spacing w:val="-6"/>
                <w:lang w:val="sk-SK"/>
              </w:rPr>
              <w:t xml:space="preserve"> a </w:t>
            </w:r>
            <w:r w:rsidRPr="00AB26B3">
              <w:rPr>
                <w:noProof/>
                <w:spacing w:val="-6"/>
                <w:lang w:val="sk-SK"/>
              </w:rPr>
              <w:t>monitorovania výsledkov digitálnej transformácie vzdelávania</w:t>
            </w:r>
          </w:p>
        </w:tc>
      </w:tr>
      <w:tr w:rsidR="00302FC1" w:rsidRPr="00AB26B3" w14:paraId="1137C06B"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145065AD"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157</w:t>
            </w:r>
          </w:p>
        </w:tc>
        <w:tc>
          <w:tcPr>
            <w:tcW w:w="5160" w:type="dxa"/>
            <w:tcBorders>
              <w:top w:val="nil"/>
              <w:left w:val="nil"/>
              <w:bottom w:val="single" w:sz="4" w:space="0" w:color="auto"/>
              <w:right w:val="single" w:sz="4" w:space="0" w:color="auto"/>
            </w:tcBorders>
            <w:shd w:val="clear" w:color="auto" w:fill="C6EFCE"/>
            <w:noWrap/>
            <w:vAlign w:val="center"/>
          </w:tcPr>
          <w:p w14:paraId="6B595F7C" w14:textId="10D5848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560" w:type="dxa"/>
            <w:tcBorders>
              <w:top w:val="nil"/>
              <w:left w:val="nil"/>
              <w:bottom w:val="single" w:sz="4" w:space="0" w:color="auto"/>
              <w:right w:val="single" w:sz="4" w:space="0" w:color="auto"/>
            </w:tcBorders>
            <w:shd w:val="clear" w:color="auto" w:fill="C6EFCE"/>
            <w:noWrap/>
            <w:vAlign w:val="center"/>
          </w:tcPr>
          <w:p w14:paraId="5EB0F66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788" w:type="dxa"/>
            <w:tcBorders>
              <w:top w:val="nil"/>
              <w:left w:val="nil"/>
              <w:bottom w:val="single" w:sz="4" w:space="0" w:color="auto"/>
              <w:right w:val="single" w:sz="4" w:space="0" w:color="auto"/>
            </w:tcBorders>
            <w:shd w:val="clear" w:color="auto" w:fill="C6EFCE"/>
            <w:noWrap/>
            <w:vAlign w:val="center"/>
          </w:tcPr>
          <w:p w14:paraId="45E8DB7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Zníženie spätne získaných prostriedkov 300000000 – krok 3</w:t>
            </w:r>
          </w:p>
        </w:tc>
      </w:tr>
      <w:tr w:rsidR="00302FC1" w:rsidRPr="00AB26B3" w14:paraId="185A5993"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22DD8318" w14:textId="77777777"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163</w:t>
            </w:r>
          </w:p>
        </w:tc>
        <w:tc>
          <w:tcPr>
            <w:tcW w:w="5160" w:type="dxa"/>
            <w:tcBorders>
              <w:top w:val="nil"/>
              <w:left w:val="nil"/>
              <w:bottom w:val="single" w:sz="4" w:space="0" w:color="auto"/>
              <w:right w:val="single" w:sz="4" w:space="0" w:color="auto"/>
            </w:tcBorders>
            <w:shd w:val="clear" w:color="auto" w:fill="C6EFCE"/>
            <w:noWrap/>
            <w:vAlign w:val="center"/>
          </w:tcPr>
          <w:p w14:paraId="26FAE85E" w14:textId="5EC0D9E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16756_Organizačné reformy</w:t>
            </w:r>
            <w:r w:rsidR="00AB26B3" w:rsidRPr="00AB26B3">
              <w:rPr>
                <w:noProof/>
                <w:spacing w:val="-6"/>
                <w:lang w:val="sk-SK"/>
              </w:rPr>
              <w:t xml:space="preserve"> v </w:t>
            </w:r>
            <w:r w:rsidRPr="00AB26B3">
              <w:rPr>
                <w:noProof/>
                <w:spacing w:val="-6"/>
                <w:lang w:val="sk-SK"/>
              </w:rPr>
              <w:t xml:space="preserve">systéme zdravotnej starostlivosti </w:t>
            </w:r>
          </w:p>
        </w:tc>
        <w:tc>
          <w:tcPr>
            <w:tcW w:w="1560" w:type="dxa"/>
            <w:tcBorders>
              <w:top w:val="nil"/>
              <w:left w:val="nil"/>
              <w:bottom w:val="single" w:sz="4" w:space="0" w:color="auto"/>
              <w:right w:val="single" w:sz="4" w:space="0" w:color="auto"/>
            </w:tcBorders>
            <w:shd w:val="clear" w:color="auto" w:fill="C6EFCE"/>
            <w:noWrap/>
            <w:vAlign w:val="center"/>
          </w:tcPr>
          <w:p w14:paraId="02B11DE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5FD56396" w14:textId="454F953C"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Grécky DRG inštitút KETEKNY</w:t>
            </w:r>
            <w:r w:rsidR="00AB26B3" w:rsidRPr="00AB26B3">
              <w:rPr>
                <w:noProof/>
                <w:spacing w:val="-6"/>
                <w:lang w:val="sk-SK"/>
              </w:rPr>
              <w:t xml:space="preserve"> a </w:t>
            </w:r>
            <w:r w:rsidRPr="00AB26B3">
              <w:rPr>
                <w:noProof/>
                <w:spacing w:val="-6"/>
                <w:lang w:val="sk-SK"/>
              </w:rPr>
              <w:t xml:space="preserve">nová Agentúra pre zabezpečenie kvality zdravotnej starostlivosti ODIPY </w:t>
            </w:r>
          </w:p>
        </w:tc>
      </w:tr>
      <w:tr w:rsidR="00302FC1" w:rsidRPr="00AB26B3" w14:paraId="2FD40D34"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5D2B0BFB" w14:textId="77777777"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164</w:t>
            </w:r>
          </w:p>
        </w:tc>
        <w:tc>
          <w:tcPr>
            <w:tcW w:w="5160" w:type="dxa"/>
            <w:tcBorders>
              <w:top w:val="nil"/>
              <w:left w:val="nil"/>
              <w:bottom w:val="single" w:sz="4" w:space="0" w:color="auto"/>
              <w:right w:val="single" w:sz="4" w:space="0" w:color="auto"/>
            </w:tcBorders>
            <w:shd w:val="clear" w:color="auto" w:fill="C6EFCE"/>
            <w:noWrap/>
            <w:vAlign w:val="center"/>
          </w:tcPr>
          <w:p w14:paraId="57778322" w14:textId="0A07D98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16756_Organizačné reformy</w:t>
            </w:r>
            <w:r w:rsidR="00AB26B3" w:rsidRPr="00AB26B3">
              <w:rPr>
                <w:noProof/>
                <w:spacing w:val="-6"/>
                <w:lang w:val="sk-SK"/>
              </w:rPr>
              <w:t xml:space="preserve"> v </w:t>
            </w:r>
            <w:r w:rsidRPr="00AB26B3">
              <w:rPr>
                <w:noProof/>
                <w:spacing w:val="-6"/>
                <w:lang w:val="sk-SK"/>
              </w:rPr>
              <w:t xml:space="preserve">systéme zdravotnej starostlivosti </w:t>
            </w:r>
          </w:p>
        </w:tc>
        <w:tc>
          <w:tcPr>
            <w:tcW w:w="1560" w:type="dxa"/>
            <w:tcBorders>
              <w:top w:val="nil"/>
              <w:left w:val="nil"/>
              <w:bottom w:val="single" w:sz="4" w:space="0" w:color="auto"/>
              <w:right w:val="single" w:sz="4" w:space="0" w:color="auto"/>
            </w:tcBorders>
            <w:shd w:val="clear" w:color="auto" w:fill="C6EFCE"/>
            <w:noWrap/>
            <w:vAlign w:val="center"/>
          </w:tcPr>
          <w:p w14:paraId="1EEE9F3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1788" w:type="dxa"/>
            <w:tcBorders>
              <w:top w:val="nil"/>
              <w:left w:val="nil"/>
              <w:bottom w:val="single" w:sz="4" w:space="0" w:color="auto"/>
              <w:right w:val="single" w:sz="4" w:space="0" w:color="auto"/>
            </w:tcBorders>
            <w:shd w:val="clear" w:color="auto" w:fill="C6EFCE"/>
            <w:noWrap/>
            <w:vAlign w:val="center"/>
          </w:tcPr>
          <w:p w14:paraId="435F0873" w14:textId="3E8B9480"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Systém zdravotnej starostlivosti – odborná príprava</w:t>
            </w:r>
            <w:r w:rsidR="00AB26B3" w:rsidRPr="00AB26B3">
              <w:rPr>
                <w:noProof/>
                <w:spacing w:val="-6"/>
                <w:lang w:val="sk-SK"/>
              </w:rPr>
              <w:t xml:space="preserve"> v </w:t>
            </w:r>
            <w:r w:rsidRPr="00AB26B3">
              <w:rPr>
                <w:noProof/>
                <w:spacing w:val="-6"/>
                <w:lang w:val="sk-SK"/>
              </w:rPr>
              <w:t>oblasti KETEKNY</w:t>
            </w:r>
          </w:p>
        </w:tc>
      </w:tr>
      <w:tr w:rsidR="00302FC1" w:rsidRPr="00AB26B3" w14:paraId="139E8EB7"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750B4D2B" w14:textId="77777777"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166a</w:t>
            </w:r>
          </w:p>
        </w:tc>
        <w:tc>
          <w:tcPr>
            <w:tcW w:w="5160" w:type="dxa"/>
            <w:tcBorders>
              <w:top w:val="nil"/>
              <w:left w:val="nil"/>
              <w:bottom w:val="single" w:sz="4" w:space="0" w:color="auto"/>
              <w:right w:val="single" w:sz="4" w:space="0" w:color="auto"/>
            </w:tcBorders>
            <w:shd w:val="clear" w:color="auto" w:fill="C6EFCE"/>
            <w:noWrap/>
            <w:vAlign w:val="center"/>
          </w:tcPr>
          <w:p w14:paraId="4D9C5D30"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16755_Zelené investície – Reforma systému primárnej zdravotnej starostlivosti</w:t>
            </w:r>
          </w:p>
        </w:tc>
        <w:tc>
          <w:tcPr>
            <w:tcW w:w="1560" w:type="dxa"/>
            <w:tcBorders>
              <w:top w:val="nil"/>
              <w:left w:val="nil"/>
              <w:bottom w:val="single" w:sz="4" w:space="0" w:color="auto"/>
              <w:right w:val="single" w:sz="4" w:space="0" w:color="auto"/>
            </w:tcBorders>
            <w:shd w:val="clear" w:color="auto" w:fill="C6EFCE"/>
            <w:noWrap/>
            <w:vAlign w:val="center"/>
          </w:tcPr>
          <w:p w14:paraId="02AFC9F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1788" w:type="dxa"/>
            <w:tcBorders>
              <w:top w:val="nil"/>
              <w:left w:val="nil"/>
              <w:bottom w:val="single" w:sz="4" w:space="0" w:color="auto"/>
              <w:right w:val="single" w:sz="4" w:space="0" w:color="auto"/>
            </w:tcBorders>
            <w:shd w:val="clear" w:color="auto" w:fill="C6EFCE"/>
            <w:noWrap/>
            <w:vAlign w:val="center"/>
          </w:tcPr>
          <w:p w14:paraId="2CE2CB50" w14:textId="5C4CAE4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PHC – jednotky primárnej zdravotnej starostlivosti</w:t>
            </w:r>
            <w:r w:rsidR="00AB26B3" w:rsidRPr="00AB26B3">
              <w:rPr>
                <w:noProof/>
                <w:spacing w:val="-6"/>
                <w:lang w:val="sk-SK"/>
              </w:rPr>
              <w:t xml:space="preserve"> s </w:t>
            </w:r>
            <w:r w:rsidRPr="00AB26B3">
              <w:rPr>
                <w:noProof/>
                <w:spacing w:val="-6"/>
                <w:lang w:val="sk-SK"/>
              </w:rPr>
              <w:t>renovovanou infraštruktúrou – 2. krok</w:t>
            </w:r>
          </w:p>
        </w:tc>
      </w:tr>
      <w:tr w:rsidR="00302FC1" w:rsidRPr="00AB26B3" w14:paraId="53CD8F20"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44D5B40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169</w:t>
            </w:r>
          </w:p>
        </w:tc>
        <w:tc>
          <w:tcPr>
            <w:tcW w:w="5160" w:type="dxa"/>
            <w:tcBorders>
              <w:top w:val="nil"/>
              <w:left w:val="nil"/>
              <w:bottom w:val="single" w:sz="4" w:space="0" w:color="auto"/>
              <w:right w:val="single" w:sz="4" w:space="0" w:color="auto"/>
            </w:tcBorders>
            <w:shd w:val="clear" w:color="auto" w:fill="C6EFCE"/>
            <w:noWrap/>
            <w:vAlign w:val="center"/>
          </w:tcPr>
          <w:p w14:paraId="55678D0A" w14:textId="783D2BD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16753_Zriadenie domácej zdravotnej starostlivosti</w:t>
            </w:r>
            <w:r w:rsidR="00AB26B3" w:rsidRPr="00AB26B3">
              <w:rPr>
                <w:noProof/>
                <w:spacing w:val="-6"/>
                <w:lang w:val="sk-SK"/>
              </w:rPr>
              <w:t xml:space="preserve"> a </w:t>
            </w:r>
            <w:r w:rsidRPr="00AB26B3">
              <w:rPr>
                <w:noProof/>
                <w:spacing w:val="-6"/>
                <w:lang w:val="sk-SK"/>
              </w:rPr>
              <w:t>nemocničných systémov</w:t>
            </w:r>
            <w:r w:rsidR="00AB26B3" w:rsidRPr="00AB26B3">
              <w:rPr>
                <w:noProof/>
                <w:spacing w:val="-6"/>
                <w:lang w:val="sk-SK"/>
              </w:rPr>
              <w:t xml:space="preserve"> v </w:t>
            </w:r>
            <w:r w:rsidRPr="00AB26B3">
              <w:rPr>
                <w:noProof/>
                <w:spacing w:val="-6"/>
                <w:lang w:val="sk-SK"/>
              </w:rPr>
              <w:t>domácnosti</w:t>
            </w:r>
          </w:p>
        </w:tc>
        <w:tc>
          <w:tcPr>
            <w:tcW w:w="1560" w:type="dxa"/>
            <w:tcBorders>
              <w:top w:val="nil"/>
              <w:left w:val="nil"/>
              <w:bottom w:val="single" w:sz="4" w:space="0" w:color="auto"/>
              <w:right w:val="single" w:sz="4" w:space="0" w:color="auto"/>
            </w:tcBorders>
            <w:shd w:val="clear" w:color="auto" w:fill="C6EFCE"/>
            <w:noWrap/>
            <w:vAlign w:val="center"/>
          </w:tcPr>
          <w:p w14:paraId="009A8A1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43B00C1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Domáca starostlivosť – otvorenie referenčných miest</w:t>
            </w:r>
          </w:p>
        </w:tc>
      </w:tr>
      <w:tr w:rsidR="00302FC1" w:rsidRPr="00AB26B3" w14:paraId="5696988D"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0FF894B9"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170a</w:t>
            </w:r>
          </w:p>
        </w:tc>
        <w:tc>
          <w:tcPr>
            <w:tcW w:w="5160" w:type="dxa"/>
            <w:tcBorders>
              <w:top w:val="nil"/>
              <w:left w:val="nil"/>
              <w:bottom w:val="single" w:sz="4" w:space="0" w:color="auto"/>
              <w:right w:val="single" w:sz="4" w:space="0" w:color="auto"/>
            </w:tcBorders>
            <w:shd w:val="clear" w:color="auto" w:fill="C6EFCE"/>
            <w:noWrap/>
            <w:vAlign w:val="center"/>
          </w:tcPr>
          <w:p w14:paraId="4E6E255E" w14:textId="31FE0941"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16795_zdravotnícka infraštruktúra</w:t>
            </w:r>
          </w:p>
        </w:tc>
        <w:tc>
          <w:tcPr>
            <w:tcW w:w="1560" w:type="dxa"/>
            <w:tcBorders>
              <w:top w:val="nil"/>
              <w:left w:val="nil"/>
              <w:bottom w:val="single" w:sz="4" w:space="0" w:color="auto"/>
              <w:right w:val="single" w:sz="4" w:space="0" w:color="auto"/>
            </w:tcBorders>
            <w:shd w:val="clear" w:color="auto" w:fill="C6EFCE"/>
            <w:noWrap/>
            <w:vAlign w:val="center"/>
          </w:tcPr>
          <w:p w14:paraId="729C6EC6"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1788" w:type="dxa"/>
            <w:tcBorders>
              <w:top w:val="nil"/>
              <w:left w:val="nil"/>
              <w:bottom w:val="single" w:sz="4" w:space="0" w:color="auto"/>
              <w:right w:val="single" w:sz="4" w:space="0" w:color="auto"/>
            </w:tcBorders>
            <w:shd w:val="clear" w:color="auto" w:fill="C6EFCE"/>
            <w:noWrap/>
            <w:vAlign w:val="center"/>
          </w:tcPr>
          <w:p w14:paraId="765283C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Modernizácia infraštruktúry NHS – krok 2</w:t>
            </w:r>
          </w:p>
        </w:tc>
      </w:tr>
      <w:tr w:rsidR="00302FC1" w:rsidRPr="00AB26B3" w14:paraId="10E3DC32"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6A672DAA"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170b</w:t>
            </w:r>
          </w:p>
        </w:tc>
        <w:tc>
          <w:tcPr>
            <w:tcW w:w="5160" w:type="dxa"/>
            <w:tcBorders>
              <w:top w:val="nil"/>
              <w:left w:val="nil"/>
              <w:bottom w:val="single" w:sz="4" w:space="0" w:color="auto"/>
              <w:right w:val="single" w:sz="4" w:space="0" w:color="auto"/>
            </w:tcBorders>
            <w:shd w:val="clear" w:color="auto" w:fill="C6EFCE"/>
            <w:noWrap/>
            <w:vAlign w:val="center"/>
          </w:tcPr>
          <w:p w14:paraId="134FC7CD" w14:textId="4EDA56B4"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16795_zdravotnícka infraštruktúra</w:t>
            </w:r>
          </w:p>
        </w:tc>
        <w:tc>
          <w:tcPr>
            <w:tcW w:w="1560" w:type="dxa"/>
            <w:tcBorders>
              <w:top w:val="nil"/>
              <w:left w:val="nil"/>
              <w:bottom w:val="single" w:sz="4" w:space="0" w:color="auto"/>
              <w:right w:val="single" w:sz="4" w:space="0" w:color="auto"/>
            </w:tcBorders>
            <w:shd w:val="clear" w:color="auto" w:fill="C6EFCE"/>
            <w:noWrap/>
            <w:vAlign w:val="center"/>
          </w:tcPr>
          <w:p w14:paraId="76B0AC4E"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1788" w:type="dxa"/>
            <w:tcBorders>
              <w:top w:val="nil"/>
              <w:left w:val="nil"/>
              <w:bottom w:val="single" w:sz="4" w:space="0" w:color="auto"/>
              <w:right w:val="single" w:sz="4" w:space="0" w:color="auto"/>
            </w:tcBorders>
            <w:shd w:val="clear" w:color="auto" w:fill="C6EFCE"/>
            <w:noWrap/>
            <w:vAlign w:val="center"/>
          </w:tcPr>
          <w:p w14:paraId="72CF2C50"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Modernizácia infraštruktúry NHS – krok 3</w:t>
            </w:r>
          </w:p>
        </w:tc>
      </w:tr>
      <w:tr w:rsidR="00302FC1" w:rsidRPr="00AB26B3" w14:paraId="675318A0"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tcPr>
          <w:p w14:paraId="108329A2"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184a</w:t>
            </w:r>
          </w:p>
        </w:tc>
        <w:tc>
          <w:tcPr>
            <w:tcW w:w="5160" w:type="dxa"/>
            <w:tcBorders>
              <w:top w:val="nil"/>
              <w:left w:val="nil"/>
              <w:bottom w:val="single" w:sz="4" w:space="0" w:color="auto"/>
              <w:right w:val="single" w:sz="4" w:space="0" w:color="auto"/>
            </w:tcBorders>
            <w:shd w:val="clear" w:color="auto" w:fill="C6EFCE"/>
            <w:noWrap/>
          </w:tcPr>
          <w:p w14:paraId="12E0D990" w14:textId="26D095D9"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16685_Informovanosť</w:t>
            </w:r>
            <w:r w:rsidR="00AB26B3" w:rsidRPr="00AB26B3">
              <w:rPr>
                <w:noProof/>
                <w:spacing w:val="-6"/>
                <w:lang w:val="sk-SK"/>
              </w:rPr>
              <w:t xml:space="preserve"> o </w:t>
            </w:r>
            <w:r w:rsidRPr="00AB26B3">
              <w:rPr>
                <w:noProof/>
                <w:spacing w:val="-6"/>
                <w:lang w:val="sk-SK"/>
              </w:rPr>
              <w:t>rozmanitosti</w:t>
            </w:r>
          </w:p>
        </w:tc>
        <w:tc>
          <w:tcPr>
            <w:tcW w:w="1560" w:type="dxa"/>
            <w:tcBorders>
              <w:top w:val="nil"/>
              <w:left w:val="nil"/>
              <w:bottom w:val="single" w:sz="4" w:space="0" w:color="auto"/>
              <w:right w:val="single" w:sz="4" w:space="0" w:color="auto"/>
            </w:tcBorders>
            <w:shd w:val="clear" w:color="auto" w:fill="C6EFCE"/>
            <w:noWrap/>
          </w:tcPr>
          <w:p w14:paraId="57071525"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tcPr>
          <w:p w14:paraId="45C3103F" w14:textId="3AE32618"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Právny akt,</w:t>
            </w:r>
            <w:r w:rsidR="00AB26B3" w:rsidRPr="00AB26B3">
              <w:rPr>
                <w:noProof/>
                <w:spacing w:val="-6"/>
                <w:lang w:val="sk-SK"/>
              </w:rPr>
              <w:t xml:space="preserve"> v </w:t>
            </w:r>
            <w:r w:rsidRPr="00AB26B3">
              <w:rPr>
                <w:noProof/>
                <w:spacing w:val="-6"/>
                <w:lang w:val="sk-SK"/>
              </w:rPr>
              <w:t>ktorom sa špecifikuje úloha strediska pre monitorovanie rovnosti,</w:t>
            </w:r>
            <w:r w:rsidR="00AB26B3" w:rsidRPr="00AB26B3">
              <w:rPr>
                <w:noProof/>
                <w:spacing w:val="-6"/>
                <w:lang w:val="sk-SK"/>
              </w:rPr>
              <w:t xml:space="preserve"> a </w:t>
            </w:r>
            <w:r w:rsidRPr="00AB26B3">
              <w:rPr>
                <w:noProof/>
                <w:spacing w:val="-6"/>
                <w:lang w:val="sk-SK"/>
              </w:rPr>
              <w:t>právny akt, ktorým sa stanovuje začatie pilotného projektu systému hodnotenia</w:t>
            </w:r>
            <w:r w:rsidR="00AB26B3" w:rsidRPr="00AB26B3">
              <w:rPr>
                <w:noProof/>
                <w:spacing w:val="-6"/>
                <w:lang w:val="sk-SK"/>
              </w:rPr>
              <w:t xml:space="preserve"> a </w:t>
            </w:r>
            <w:r w:rsidRPr="00AB26B3">
              <w:rPr>
                <w:noProof/>
                <w:spacing w:val="-6"/>
                <w:lang w:val="sk-SK"/>
              </w:rPr>
              <w:t>oceňovania podnikov/organizácií podporujúcich rozmanitosť</w:t>
            </w:r>
            <w:r w:rsidR="00AB26B3" w:rsidRPr="00AB26B3">
              <w:rPr>
                <w:noProof/>
                <w:spacing w:val="-6"/>
                <w:lang w:val="sk-SK"/>
              </w:rPr>
              <w:t xml:space="preserve"> a </w:t>
            </w:r>
            <w:r w:rsidRPr="00AB26B3">
              <w:rPr>
                <w:noProof/>
                <w:spacing w:val="-6"/>
                <w:lang w:val="sk-SK"/>
              </w:rPr>
              <w:t>začlenenie</w:t>
            </w:r>
          </w:p>
        </w:tc>
      </w:tr>
      <w:tr w:rsidR="00302FC1" w:rsidRPr="00AB26B3" w14:paraId="746F63B5"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79E4A6DC"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185</w:t>
            </w:r>
          </w:p>
        </w:tc>
        <w:tc>
          <w:tcPr>
            <w:tcW w:w="5160" w:type="dxa"/>
            <w:tcBorders>
              <w:top w:val="nil"/>
              <w:left w:val="nil"/>
              <w:bottom w:val="single" w:sz="4" w:space="0" w:color="auto"/>
              <w:right w:val="single" w:sz="4" w:space="0" w:color="auto"/>
            </w:tcBorders>
            <w:shd w:val="clear" w:color="auto" w:fill="C6EFCE"/>
            <w:noWrap/>
            <w:vAlign w:val="center"/>
          </w:tcPr>
          <w:p w14:paraId="53E245F9" w14:textId="63432483"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16763_Digitálna transformácia prisťahovaleckého</w:t>
            </w:r>
            <w:r w:rsidR="00AB26B3" w:rsidRPr="00AB26B3">
              <w:rPr>
                <w:noProof/>
                <w:spacing w:val="-6"/>
                <w:lang w:val="sk-SK"/>
              </w:rPr>
              <w:t xml:space="preserve"> a </w:t>
            </w:r>
            <w:r w:rsidRPr="00AB26B3">
              <w:rPr>
                <w:noProof/>
                <w:spacing w:val="-6"/>
                <w:lang w:val="sk-SK"/>
              </w:rPr>
              <w:t xml:space="preserve">azylového systému </w:t>
            </w:r>
          </w:p>
        </w:tc>
        <w:tc>
          <w:tcPr>
            <w:tcW w:w="1560" w:type="dxa"/>
            <w:tcBorders>
              <w:top w:val="nil"/>
              <w:left w:val="nil"/>
              <w:bottom w:val="single" w:sz="4" w:space="0" w:color="auto"/>
              <w:right w:val="single" w:sz="4" w:space="0" w:color="auto"/>
            </w:tcBorders>
            <w:shd w:val="clear" w:color="auto" w:fill="C6EFCE"/>
            <w:noWrap/>
            <w:vAlign w:val="center"/>
          </w:tcPr>
          <w:p w14:paraId="2AA34BA2"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55994816"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Digitalizácia migračného azylového systému</w:t>
            </w:r>
          </w:p>
        </w:tc>
      </w:tr>
      <w:tr w:rsidR="00302FC1" w:rsidRPr="00AB26B3" w14:paraId="6ADBAA1E"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70511049"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186</w:t>
            </w:r>
          </w:p>
        </w:tc>
        <w:tc>
          <w:tcPr>
            <w:tcW w:w="5160" w:type="dxa"/>
            <w:tcBorders>
              <w:top w:val="nil"/>
              <w:left w:val="nil"/>
              <w:bottom w:val="single" w:sz="4" w:space="0" w:color="auto"/>
              <w:right w:val="single" w:sz="4" w:space="0" w:color="auto"/>
            </w:tcBorders>
            <w:shd w:val="clear" w:color="auto" w:fill="C6EFCE"/>
            <w:noWrap/>
            <w:vAlign w:val="center"/>
          </w:tcPr>
          <w:p w14:paraId="70EAB255" w14:textId="26B93226"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16922_Sociálna integrácia</w:t>
            </w:r>
          </w:p>
        </w:tc>
        <w:tc>
          <w:tcPr>
            <w:tcW w:w="1560" w:type="dxa"/>
            <w:tcBorders>
              <w:top w:val="nil"/>
              <w:left w:val="nil"/>
              <w:bottom w:val="single" w:sz="4" w:space="0" w:color="auto"/>
              <w:right w:val="single" w:sz="4" w:space="0" w:color="auto"/>
            </w:tcBorders>
            <w:shd w:val="clear" w:color="auto" w:fill="C6EFCE"/>
            <w:noWrap/>
            <w:vAlign w:val="center"/>
          </w:tcPr>
          <w:p w14:paraId="76C863C8"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Cieľ</w:t>
            </w:r>
          </w:p>
        </w:tc>
        <w:tc>
          <w:tcPr>
            <w:tcW w:w="1788" w:type="dxa"/>
            <w:tcBorders>
              <w:top w:val="nil"/>
              <w:left w:val="nil"/>
              <w:bottom w:val="single" w:sz="4" w:space="0" w:color="auto"/>
              <w:right w:val="single" w:sz="4" w:space="0" w:color="auto"/>
            </w:tcBorders>
            <w:shd w:val="clear" w:color="auto" w:fill="C6EFCE"/>
            <w:noWrap/>
            <w:vAlign w:val="center"/>
          </w:tcPr>
          <w:p w14:paraId="00A8E812"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 xml:space="preserve">Dokončenie renovácie sociálnych bytov </w:t>
            </w:r>
          </w:p>
        </w:tc>
      </w:tr>
      <w:tr w:rsidR="00302FC1" w:rsidRPr="00AB26B3" w14:paraId="1D19CB89"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4189DD04" w14:textId="635A390F"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208</w:t>
            </w:r>
          </w:p>
        </w:tc>
        <w:tc>
          <w:tcPr>
            <w:tcW w:w="5160" w:type="dxa"/>
            <w:tcBorders>
              <w:top w:val="nil"/>
              <w:left w:val="nil"/>
              <w:bottom w:val="single" w:sz="4" w:space="0" w:color="auto"/>
              <w:right w:val="single" w:sz="4" w:space="0" w:color="auto"/>
            </w:tcBorders>
            <w:shd w:val="clear" w:color="auto" w:fill="C6EFCE"/>
            <w:noWrap/>
            <w:vAlign w:val="center"/>
          </w:tcPr>
          <w:p w14:paraId="60F0A882" w14:textId="4762CB5D"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16972_Reforma verejnej správy</w:t>
            </w:r>
          </w:p>
        </w:tc>
        <w:tc>
          <w:tcPr>
            <w:tcW w:w="1560" w:type="dxa"/>
            <w:tcBorders>
              <w:top w:val="nil"/>
              <w:left w:val="nil"/>
              <w:bottom w:val="single" w:sz="4" w:space="0" w:color="auto"/>
              <w:right w:val="single" w:sz="4" w:space="0" w:color="auto"/>
            </w:tcBorders>
            <w:shd w:val="clear" w:color="auto" w:fill="C6EFCE"/>
            <w:noWrap/>
            <w:vAlign w:val="center"/>
          </w:tcPr>
          <w:p w14:paraId="0B7D7D10" w14:textId="5446A6C2"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01EA3B7F"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Školenia pre štátnych zamestnancov,</w:t>
            </w:r>
          </w:p>
          <w:p w14:paraId="11F918EF"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Nadobudnutie účinnosti právnych aktov,</w:t>
            </w:r>
          </w:p>
          <w:p w14:paraId="68338FA0" w14:textId="1C3E393C"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Uvedenie informačných systémov do prevádzky </w:t>
            </w:r>
          </w:p>
        </w:tc>
      </w:tr>
      <w:tr w:rsidR="00302FC1" w:rsidRPr="00AB26B3" w14:paraId="3067669E"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081A27D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213</w:t>
            </w:r>
          </w:p>
        </w:tc>
        <w:tc>
          <w:tcPr>
            <w:tcW w:w="5160" w:type="dxa"/>
            <w:tcBorders>
              <w:top w:val="nil"/>
              <w:left w:val="nil"/>
              <w:bottom w:val="single" w:sz="4" w:space="0" w:color="auto"/>
              <w:right w:val="single" w:sz="4" w:space="0" w:color="auto"/>
            </w:tcBorders>
            <w:shd w:val="clear" w:color="auto" w:fill="C6EFCE"/>
            <w:noWrap/>
            <w:vAlign w:val="center"/>
          </w:tcPr>
          <w:p w14:paraId="6E77AB3D" w14:textId="29756BC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16703_Boj proti nezákonnému obchodu</w:t>
            </w:r>
            <w:r w:rsidR="00AB26B3" w:rsidRPr="00AB26B3">
              <w:rPr>
                <w:noProof/>
                <w:spacing w:val="-6"/>
                <w:lang w:val="sk-SK"/>
              </w:rPr>
              <w:t xml:space="preserve"> a </w:t>
            </w:r>
            <w:r w:rsidRPr="00AB26B3">
              <w:rPr>
                <w:noProof/>
                <w:spacing w:val="-6"/>
                <w:lang w:val="sk-SK"/>
              </w:rPr>
              <w:t>ochrana duševného vlastníctva</w:t>
            </w:r>
          </w:p>
        </w:tc>
        <w:tc>
          <w:tcPr>
            <w:tcW w:w="1560" w:type="dxa"/>
            <w:tcBorders>
              <w:top w:val="nil"/>
              <w:left w:val="nil"/>
              <w:bottom w:val="single" w:sz="4" w:space="0" w:color="auto"/>
              <w:right w:val="single" w:sz="4" w:space="0" w:color="auto"/>
            </w:tcBorders>
            <w:shd w:val="clear" w:color="auto" w:fill="C6EFCE"/>
            <w:noWrap/>
            <w:vAlign w:val="center"/>
          </w:tcPr>
          <w:p w14:paraId="7FF1233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60E0F016" w14:textId="7B2BDE2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Vytvorenie informačného systému</w:t>
            </w:r>
            <w:r w:rsidR="00AB26B3" w:rsidRPr="00AB26B3">
              <w:rPr>
                <w:noProof/>
                <w:spacing w:val="-6"/>
                <w:lang w:val="sk-SK"/>
              </w:rPr>
              <w:t xml:space="preserve"> a </w:t>
            </w:r>
            <w:r w:rsidRPr="00AB26B3">
              <w:rPr>
                <w:noProof/>
                <w:spacing w:val="-6"/>
                <w:lang w:val="sk-SK"/>
              </w:rPr>
              <w:t>zabezpečenie kontrolných staníc</w:t>
            </w:r>
            <w:r w:rsidR="00AB26B3" w:rsidRPr="00AB26B3">
              <w:rPr>
                <w:noProof/>
                <w:spacing w:val="-6"/>
                <w:lang w:val="sk-SK"/>
              </w:rPr>
              <w:t xml:space="preserve"> a </w:t>
            </w:r>
            <w:r w:rsidRPr="00AB26B3">
              <w:rPr>
                <w:noProof/>
                <w:spacing w:val="-6"/>
                <w:lang w:val="sk-SK"/>
              </w:rPr>
              <w:t>odbornej prípravy na boj proti nezákonnému obchodu</w:t>
            </w:r>
          </w:p>
        </w:tc>
      </w:tr>
      <w:tr w:rsidR="00302FC1" w:rsidRPr="00AB26B3" w14:paraId="554F623D"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09D8811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217</w:t>
            </w:r>
          </w:p>
        </w:tc>
        <w:tc>
          <w:tcPr>
            <w:tcW w:w="5160" w:type="dxa"/>
            <w:tcBorders>
              <w:top w:val="nil"/>
              <w:left w:val="nil"/>
              <w:bottom w:val="single" w:sz="4" w:space="0" w:color="auto"/>
              <w:right w:val="single" w:sz="4" w:space="0" w:color="auto"/>
            </w:tcBorders>
            <w:shd w:val="clear" w:color="auto" w:fill="C6EFCE"/>
            <w:noWrap/>
            <w:vAlign w:val="center"/>
          </w:tcPr>
          <w:p w14:paraId="51DCD99F" w14:textId="617266B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Modernizácia verejnej správy,</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16940_Modernizácia Helénskeho fondu pre zálohové vklady</w:t>
            </w:r>
            <w:r w:rsidR="00AB26B3" w:rsidRPr="00AB26B3">
              <w:rPr>
                <w:noProof/>
                <w:spacing w:val="-6"/>
                <w:lang w:val="sk-SK"/>
              </w:rPr>
              <w:t xml:space="preserve"> a </w:t>
            </w:r>
            <w:r w:rsidRPr="00AB26B3">
              <w:rPr>
                <w:noProof/>
                <w:spacing w:val="-6"/>
                <w:lang w:val="sk-SK"/>
              </w:rPr>
              <w:t>úvery </w:t>
            </w:r>
          </w:p>
        </w:tc>
        <w:tc>
          <w:tcPr>
            <w:tcW w:w="1560" w:type="dxa"/>
            <w:tcBorders>
              <w:top w:val="nil"/>
              <w:left w:val="nil"/>
              <w:bottom w:val="single" w:sz="4" w:space="0" w:color="auto"/>
              <w:right w:val="single" w:sz="4" w:space="0" w:color="auto"/>
            </w:tcBorders>
            <w:shd w:val="clear" w:color="auto" w:fill="C6EFCE"/>
            <w:noWrap/>
            <w:vAlign w:val="center"/>
          </w:tcPr>
          <w:p w14:paraId="20957E2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22168740" w14:textId="78544DEB"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Vytvorenie systému digitalizácie archívu</w:t>
            </w:r>
            <w:r w:rsidR="00AB26B3" w:rsidRPr="00AB26B3">
              <w:rPr>
                <w:noProof/>
                <w:spacing w:val="-6"/>
                <w:lang w:val="sk-SK"/>
              </w:rPr>
              <w:t xml:space="preserve"> a </w:t>
            </w:r>
            <w:r w:rsidRPr="00AB26B3">
              <w:rPr>
                <w:noProof/>
                <w:spacing w:val="-6"/>
                <w:lang w:val="sk-SK"/>
              </w:rPr>
              <w:t>správy dokumentov</w:t>
            </w:r>
            <w:r w:rsidR="00AB26B3" w:rsidRPr="00AB26B3">
              <w:rPr>
                <w:noProof/>
                <w:spacing w:val="-6"/>
                <w:lang w:val="sk-SK"/>
              </w:rPr>
              <w:t xml:space="preserve"> a </w:t>
            </w:r>
            <w:r w:rsidRPr="00AB26B3">
              <w:rPr>
                <w:noProof/>
                <w:spacing w:val="-6"/>
                <w:lang w:val="sk-SK"/>
              </w:rPr>
              <w:t>integrovaného informačného systému pre Helénsky fond na zálohovanie zásielok</w:t>
            </w:r>
            <w:r w:rsidR="00AB26B3" w:rsidRPr="00AB26B3">
              <w:rPr>
                <w:noProof/>
                <w:spacing w:val="-6"/>
                <w:lang w:val="sk-SK"/>
              </w:rPr>
              <w:t xml:space="preserve"> a </w:t>
            </w:r>
            <w:r w:rsidRPr="00AB26B3">
              <w:rPr>
                <w:noProof/>
                <w:spacing w:val="-6"/>
                <w:lang w:val="sk-SK"/>
              </w:rPr>
              <w:t>úvery</w:t>
            </w:r>
          </w:p>
        </w:tc>
      </w:tr>
      <w:tr w:rsidR="00302FC1" w:rsidRPr="00AB26B3" w14:paraId="53E76F73"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61789CA5"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268b</w:t>
            </w:r>
          </w:p>
        </w:tc>
        <w:tc>
          <w:tcPr>
            <w:tcW w:w="5160" w:type="dxa"/>
            <w:tcBorders>
              <w:top w:val="nil"/>
              <w:left w:val="nil"/>
              <w:bottom w:val="single" w:sz="4" w:space="0" w:color="auto"/>
              <w:right w:val="single" w:sz="4" w:space="0" w:color="auto"/>
            </w:tcBorders>
            <w:shd w:val="clear" w:color="auto" w:fill="C6EFCE"/>
            <w:noWrap/>
            <w:vAlign w:val="center"/>
          </w:tcPr>
          <w:p w14:paraId="6B1E41A7" w14:textId="4EDCFD82"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560" w:type="dxa"/>
            <w:tcBorders>
              <w:top w:val="nil"/>
              <w:left w:val="nil"/>
              <w:bottom w:val="single" w:sz="4" w:space="0" w:color="auto"/>
              <w:right w:val="single" w:sz="4" w:space="0" w:color="auto"/>
            </w:tcBorders>
            <w:shd w:val="clear" w:color="auto" w:fill="C6EFCE"/>
            <w:noWrap/>
            <w:vAlign w:val="center"/>
          </w:tcPr>
          <w:p w14:paraId="02C98A19"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08C3A040" w14:textId="1A9AA29D" w:rsidR="00302FC1" w:rsidRPr="00AB26B3" w:rsidRDefault="00D64F26">
            <w:pPr>
              <w:pStyle w:val="P68B1DB1-Normal11"/>
              <w:keepNext/>
              <w:spacing w:before="40" w:after="0" w:line="240" w:lineRule="auto"/>
              <w:jc w:val="both"/>
              <w:rPr>
                <w:rFonts w:cs="Times New Roman"/>
                <w:noProof/>
                <w:spacing w:val="-6"/>
                <w:lang w:val="sk-SK"/>
              </w:rPr>
            </w:pPr>
            <w:r w:rsidRPr="00AB26B3">
              <w:rPr>
                <w:noProof/>
                <w:spacing w:val="-6"/>
                <w:lang w:val="sk-SK"/>
              </w:rPr>
              <w:t>Viacročný investičný program, nová zmluvná dohoda</w:t>
            </w:r>
            <w:r w:rsidR="00AB26B3" w:rsidRPr="00AB26B3">
              <w:rPr>
                <w:noProof/>
                <w:spacing w:val="-6"/>
                <w:lang w:val="sk-SK"/>
              </w:rPr>
              <w:t xml:space="preserve"> a </w:t>
            </w:r>
            <w:r w:rsidRPr="00AB26B3">
              <w:rPr>
                <w:noProof/>
                <w:spacing w:val="-6"/>
                <w:lang w:val="sk-SK"/>
              </w:rPr>
              <w:t>technický manažér</w:t>
            </w:r>
          </w:p>
        </w:tc>
      </w:tr>
      <w:tr w:rsidR="00302FC1" w:rsidRPr="00AB26B3" w14:paraId="21ABA96E"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vAlign w:val="center"/>
          </w:tcPr>
          <w:p w14:paraId="70AB621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294</w:t>
            </w:r>
          </w:p>
        </w:tc>
        <w:tc>
          <w:tcPr>
            <w:tcW w:w="5160" w:type="dxa"/>
            <w:tcBorders>
              <w:top w:val="nil"/>
              <w:left w:val="nil"/>
              <w:bottom w:val="single" w:sz="4" w:space="0" w:color="auto"/>
              <w:right w:val="single" w:sz="4" w:space="0" w:color="auto"/>
            </w:tcBorders>
            <w:shd w:val="clear" w:color="auto" w:fill="C6EFCE"/>
            <w:noWrap/>
            <w:vAlign w:val="center"/>
          </w:tcPr>
          <w:p w14:paraId="79DED64E" w14:textId="45193E0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16944_Master plan for the renewal of the Greek passenger shipping fleet (Hlavný plán obnovy gréckej flotily osobnej lodnej dopravy)</w:t>
            </w:r>
          </w:p>
        </w:tc>
        <w:tc>
          <w:tcPr>
            <w:tcW w:w="1560" w:type="dxa"/>
            <w:tcBorders>
              <w:top w:val="nil"/>
              <w:left w:val="nil"/>
              <w:bottom w:val="single" w:sz="4" w:space="0" w:color="auto"/>
              <w:right w:val="single" w:sz="4" w:space="0" w:color="auto"/>
            </w:tcBorders>
            <w:shd w:val="clear" w:color="auto" w:fill="C6EFCE"/>
            <w:noWrap/>
            <w:vAlign w:val="center"/>
          </w:tcPr>
          <w:p w14:paraId="74D0795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vAlign w:val="center"/>
          </w:tcPr>
          <w:p w14:paraId="7CCB6341"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Hlavný plán obnovy gréckej flotily osobnej lodnej dopravy</w:t>
            </w:r>
          </w:p>
        </w:tc>
      </w:tr>
      <w:tr w:rsidR="00302FC1" w:rsidRPr="00AB26B3" w14:paraId="554A83D9"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tcPr>
          <w:p w14:paraId="63645935"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332</w:t>
            </w:r>
          </w:p>
        </w:tc>
        <w:tc>
          <w:tcPr>
            <w:tcW w:w="5160" w:type="dxa"/>
            <w:tcBorders>
              <w:top w:val="nil"/>
              <w:left w:val="nil"/>
              <w:bottom w:val="single" w:sz="4" w:space="0" w:color="auto"/>
              <w:right w:val="single" w:sz="4" w:space="0" w:color="auto"/>
            </w:tcBorders>
            <w:shd w:val="clear" w:color="auto" w:fill="C6EFCE"/>
            <w:noWrap/>
          </w:tcPr>
          <w:p w14:paraId="1BBF3A9F" w14:textId="3C1F11B3"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16983_Predbežná kontrola seizmickej odolnosti verejných budov</w:t>
            </w:r>
          </w:p>
        </w:tc>
        <w:tc>
          <w:tcPr>
            <w:tcW w:w="1560" w:type="dxa"/>
            <w:tcBorders>
              <w:top w:val="nil"/>
              <w:left w:val="nil"/>
              <w:bottom w:val="single" w:sz="4" w:space="0" w:color="auto"/>
              <w:right w:val="single" w:sz="4" w:space="0" w:color="auto"/>
            </w:tcBorders>
            <w:shd w:val="clear" w:color="auto" w:fill="C6EFCE"/>
            <w:noWrap/>
          </w:tcPr>
          <w:p w14:paraId="12389C9D"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tcPr>
          <w:p w14:paraId="20DCE504"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Ukončenie predbežných seizmických inšpekcií</w:t>
            </w:r>
          </w:p>
        </w:tc>
      </w:tr>
      <w:tr w:rsidR="00302FC1" w:rsidRPr="00AB26B3" w14:paraId="6522D7D1"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tcPr>
          <w:p w14:paraId="26B0FAEB"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336</w:t>
            </w:r>
          </w:p>
        </w:tc>
        <w:tc>
          <w:tcPr>
            <w:tcW w:w="5160" w:type="dxa"/>
            <w:tcBorders>
              <w:top w:val="nil"/>
              <w:left w:val="nil"/>
              <w:bottom w:val="single" w:sz="4" w:space="0" w:color="auto"/>
              <w:right w:val="single" w:sz="4" w:space="0" w:color="auto"/>
            </w:tcBorders>
            <w:shd w:val="clear" w:color="auto" w:fill="C6EFCE"/>
            <w:noWrap/>
          </w:tcPr>
          <w:p w14:paraId="6E96D01A" w14:textId="2D89FCE9"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16984_Reforma osobných lekárov</w:t>
            </w:r>
          </w:p>
        </w:tc>
        <w:tc>
          <w:tcPr>
            <w:tcW w:w="1560" w:type="dxa"/>
            <w:tcBorders>
              <w:top w:val="nil"/>
              <w:left w:val="nil"/>
              <w:bottom w:val="single" w:sz="4" w:space="0" w:color="auto"/>
              <w:right w:val="single" w:sz="4" w:space="0" w:color="auto"/>
            </w:tcBorders>
            <w:shd w:val="clear" w:color="auto" w:fill="C6EFCE"/>
            <w:noWrap/>
          </w:tcPr>
          <w:p w14:paraId="2ABA6145"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Míľnik</w:t>
            </w:r>
          </w:p>
        </w:tc>
        <w:tc>
          <w:tcPr>
            <w:tcW w:w="1788" w:type="dxa"/>
            <w:tcBorders>
              <w:top w:val="nil"/>
              <w:left w:val="nil"/>
              <w:bottom w:val="single" w:sz="4" w:space="0" w:color="auto"/>
              <w:right w:val="single" w:sz="4" w:space="0" w:color="auto"/>
            </w:tcBorders>
            <w:shd w:val="clear" w:color="auto" w:fill="C6EFCE"/>
            <w:noWrap/>
          </w:tcPr>
          <w:p w14:paraId="4B32563A"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 xml:space="preserve">Osobná reforma týkajúca sa lekárov – registrácia </w:t>
            </w:r>
          </w:p>
        </w:tc>
      </w:tr>
      <w:tr w:rsidR="00302FC1" w:rsidRPr="00AB26B3" w14:paraId="08F71319" w14:textId="77777777">
        <w:trPr>
          <w:trHeight w:val="302"/>
        </w:trPr>
        <w:tc>
          <w:tcPr>
            <w:tcW w:w="1080" w:type="dxa"/>
            <w:tcBorders>
              <w:top w:val="nil"/>
              <w:left w:val="single" w:sz="4" w:space="0" w:color="auto"/>
              <w:bottom w:val="single" w:sz="4" w:space="0" w:color="auto"/>
              <w:right w:val="single" w:sz="4" w:space="0" w:color="auto"/>
            </w:tcBorders>
            <w:shd w:val="clear" w:color="auto" w:fill="C6EFCE"/>
            <w:noWrap/>
          </w:tcPr>
          <w:p w14:paraId="04BE6A96"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344</w:t>
            </w:r>
          </w:p>
        </w:tc>
        <w:tc>
          <w:tcPr>
            <w:tcW w:w="5160" w:type="dxa"/>
            <w:tcBorders>
              <w:top w:val="nil"/>
              <w:left w:val="nil"/>
              <w:bottom w:val="single" w:sz="4" w:space="0" w:color="auto"/>
              <w:right w:val="single" w:sz="4" w:space="0" w:color="auto"/>
            </w:tcBorders>
            <w:shd w:val="clear" w:color="auto" w:fill="C6EFCE"/>
            <w:noWrap/>
          </w:tcPr>
          <w:p w14:paraId="180BA10F" w14:textId="7C732440"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16986_Dokončenie národného katastra</w:t>
            </w:r>
          </w:p>
        </w:tc>
        <w:tc>
          <w:tcPr>
            <w:tcW w:w="1560" w:type="dxa"/>
            <w:tcBorders>
              <w:top w:val="nil"/>
              <w:left w:val="nil"/>
              <w:bottom w:val="single" w:sz="4" w:space="0" w:color="auto"/>
              <w:right w:val="single" w:sz="4" w:space="0" w:color="auto"/>
            </w:tcBorders>
            <w:shd w:val="clear" w:color="auto" w:fill="C6EFCE"/>
            <w:noWrap/>
          </w:tcPr>
          <w:p w14:paraId="112E8881"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Cieľ</w:t>
            </w:r>
          </w:p>
        </w:tc>
        <w:tc>
          <w:tcPr>
            <w:tcW w:w="1788" w:type="dxa"/>
            <w:tcBorders>
              <w:top w:val="nil"/>
              <w:left w:val="nil"/>
              <w:bottom w:val="single" w:sz="4" w:space="0" w:color="auto"/>
              <w:right w:val="single" w:sz="4" w:space="0" w:color="auto"/>
            </w:tcBorders>
            <w:shd w:val="clear" w:color="auto" w:fill="C6EFCE"/>
            <w:noWrap/>
          </w:tcPr>
          <w:p w14:paraId="41377E5A"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Katastrálne mapovanie – dokončenie</w:t>
            </w:r>
          </w:p>
        </w:tc>
      </w:tr>
      <w:tr w:rsidR="00302FC1" w:rsidRPr="00AB26B3" w14:paraId="2EDF1917" w14:textId="77777777">
        <w:trPr>
          <w:trHeight w:val="302"/>
        </w:trPr>
        <w:tc>
          <w:tcPr>
            <w:tcW w:w="1080" w:type="dxa"/>
            <w:tcBorders>
              <w:top w:val="single" w:sz="4" w:space="0" w:color="auto"/>
              <w:left w:val="single" w:sz="4" w:space="0" w:color="auto"/>
              <w:bottom w:val="single" w:sz="4" w:space="0" w:color="auto"/>
              <w:right w:val="single" w:sz="4" w:space="0" w:color="auto"/>
            </w:tcBorders>
            <w:shd w:val="clear" w:color="auto" w:fill="C6EFCE"/>
            <w:noWrap/>
          </w:tcPr>
          <w:p w14:paraId="09A455BD"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357</w:t>
            </w:r>
          </w:p>
        </w:tc>
        <w:tc>
          <w:tcPr>
            <w:tcW w:w="5160" w:type="dxa"/>
            <w:tcBorders>
              <w:top w:val="single" w:sz="4" w:space="0" w:color="auto"/>
              <w:left w:val="nil"/>
              <w:bottom w:val="single" w:sz="4" w:space="0" w:color="auto"/>
              <w:right w:val="single" w:sz="4" w:space="0" w:color="auto"/>
            </w:tcBorders>
            <w:shd w:val="clear" w:color="auto" w:fill="C6EFCE"/>
            <w:noWrap/>
          </w:tcPr>
          <w:p w14:paraId="0079FB39" w14:textId="5E17B126"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20 – 5.1. Reformy REPowerEU – 16990_Sieťová</w:t>
            </w:r>
            <w:r w:rsidR="00AB26B3" w:rsidRPr="00AB26B3">
              <w:rPr>
                <w:noProof/>
                <w:spacing w:val="-6"/>
                <w:lang w:val="sk-SK"/>
              </w:rPr>
              <w:t xml:space="preserve"> a </w:t>
            </w:r>
            <w:r w:rsidRPr="00AB26B3">
              <w:rPr>
                <w:noProof/>
                <w:spacing w:val="-6"/>
                <w:lang w:val="sk-SK"/>
              </w:rPr>
              <w:t>skladovacia kapacita – podpora investícií do uskladňovania</w:t>
            </w:r>
          </w:p>
        </w:tc>
        <w:tc>
          <w:tcPr>
            <w:tcW w:w="1560" w:type="dxa"/>
            <w:tcBorders>
              <w:top w:val="single" w:sz="4" w:space="0" w:color="auto"/>
              <w:left w:val="nil"/>
              <w:bottom w:val="single" w:sz="4" w:space="0" w:color="auto"/>
              <w:right w:val="single" w:sz="4" w:space="0" w:color="auto"/>
            </w:tcBorders>
            <w:shd w:val="clear" w:color="auto" w:fill="C6EFCE"/>
            <w:noWrap/>
          </w:tcPr>
          <w:p w14:paraId="62A758BA"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 xml:space="preserve">Míľnik </w:t>
            </w:r>
          </w:p>
        </w:tc>
        <w:tc>
          <w:tcPr>
            <w:tcW w:w="1788" w:type="dxa"/>
            <w:tcBorders>
              <w:top w:val="single" w:sz="4" w:space="0" w:color="auto"/>
              <w:left w:val="nil"/>
              <w:bottom w:val="single" w:sz="4" w:space="0" w:color="auto"/>
              <w:right w:val="single" w:sz="4" w:space="0" w:color="auto"/>
            </w:tcBorders>
            <w:shd w:val="clear" w:color="auto" w:fill="C6EFCE"/>
            <w:noWrap/>
          </w:tcPr>
          <w:p w14:paraId="4903B90E" w14:textId="77777777" w:rsidR="00302FC1" w:rsidRPr="00AB26B3" w:rsidRDefault="00D64F26">
            <w:pPr>
              <w:pStyle w:val="P68B1DB1-Normal52"/>
              <w:keepNext/>
              <w:spacing w:before="40" w:after="0" w:line="259" w:lineRule="auto"/>
              <w:jc w:val="both"/>
              <w:rPr>
                <w:rFonts w:cs="Times New Roman"/>
                <w:noProof/>
                <w:spacing w:val="-6"/>
                <w:lang w:val="sk-SK"/>
              </w:rPr>
            </w:pPr>
            <w:r w:rsidRPr="00AB26B3">
              <w:rPr>
                <w:noProof/>
                <w:spacing w:val="-6"/>
                <w:lang w:val="sk-SK"/>
              </w:rPr>
              <w:t>Nadobudnutie účinnosti právnych aktov</w:t>
            </w:r>
          </w:p>
        </w:tc>
      </w:tr>
      <w:tr w:rsidR="00302FC1" w:rsidRPr="00AB26B3" w14:paraId="744437F0" w14:textId="77777777">
        <w:trPr>
          <w:trHeight w:val="302"/>
        </w:trPr>
        <w:tc>
          <w:tcPr>
            <w:tcW w:w="1080" w:type="dxa"/>
            <w:tcBorders>
              <w:top w:val="single" w:sz="4" w:space="0" w:color="auto"/>
              <w:left w:val="single" w:sz="4" w:space="0" w:color="auto"/>
              <w:bottom w:val="single" w:sz="4" w:space="0" w:color="auto"/>
              <w:right w:val="single" w:sz="4" w:space="0" w:color="auto"/>
            </w:tcBorders>
            <w:shd w:val="clear" w:color="auto" w:fill="C6EFCE"/>
            <w:noWrap/>
          </w:tcPr>
          <w:p w14:paraId="3FD25A60"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362</w:t>
            </w:r>
          </w:p>
        </w:tc>
        <w:tc>
          <w:tcPr>
            <w:tcW w:w="5160" w:type="dxa"/>
            <w:tcBorders>
              <w:top w:val="single" w:sz="4" w:space="0" w:color="auto"/>
              <w:left w:val="nil"/>
              <w:bottom w:val="single" w:sz="4" w:space="0" w:color="auto"/>
              <w:right w:val="single" w:sz="4" w:space="0" w:color="auto"/>
            </w:tcBorders>
            <w:shd w:val="clear" w:color="auto" w:fill="C6EFCE"/>
            <w:noWrap/>
          </w:tcPr>
          <w:p w14:paraId="03E1F89C" w14:textId="208E4F50"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20 – 5. Reformy REPowerEU – 16992_Súbor nástrojov na podporu spoločného využívania energie, vlastnej spotreby</w:t>
            </w:r>
            <w:r w:rsidR="00AB26B3" w:rsidRPr="00AB26B3">
              <w:rPr>
                <w:noProof/>
                <w:spacing w:val="-6"/>
                <w:lang w:val="sk-SK"/>
              </w:rPr>
              <w:t xml:space="preserve"> a </w:t>
            </w:r>
            <w:r w:rsidRPr="00AB26B3">
              <w:rPr>
                <w:noProof/>
                <w:spacing w:val="-6"/>
                <w:lang w:val="sk-SK"/>
              </w:rPr>
              <w:t>komunít vyrábajúcich energiu</w:t>
            </w:r>
            <w:r w:rsidR="00AB26B3" w:rsidRPr="00AB26B3">
              <w:rPr>
                <w:noProof/>
                <w:spacing w:val="-6"/>
                <w:lang w:val="sk-SK"/>
              </w:rPr>
              <w:t xml:space="preserve"> z </w:t>
            </w:r>
            <w:r w:rsidRPr="00AB26B3">
              <w:rPr>
                <w:noProof/>
                <w:spacing w:val="-6"/>
                <w:lang w:val="sk-SK"/>
              </w:rPr>
              <w:t>obnoviteľných zdrojov</w:t>
            </w:r>
          </w:p>
        </w:tc>
        <w:tc>
          <w:tcPr>
            <w:tcW w:w="1560" w:type="dxa"/>
            <w:tcBorders>
              <w:top w:val="single" w:sz="4" w:space="0" w:color="auto"/>
              <w:left w:val="nil"/>
              <w:bottom w:val="single" w:sz="4" w:space="0" w:color="auto"/>
              <w:right w:val="single" w:sz="4" w:space="0" w:color="auto"/>
            </w:tcBorders>
            <w:shd w:val="clear" w:color="auto" w:fill="C6EFCE"/>
            <w:noWrap/>
          </w:tcPr>
          <w:p w14:paraId="0F0B2316"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single" w:sz="4" w:space="0" w:color="auto"/>
              <w:left w:val="nil"/>
              <w:bottom w:val="single" w:sz="4" w:space="0" w:color="auto"/>
              <w:right w:val="single" w:sz="4" w:space="0" w:color="auto"/>
            </w:tcBorders>
            <w:shd w:val="clear" w:color="auto" w:fill="C6EFCE"/>
            <w:noWrap/>
            <w:vAlign w:val="bottom"/>
          </w:tcPr>
          <w:p w14:paraId="394DAF20" w14:textId="2EFD8EA9"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Zriadenie registra samospotrebiteľov</w:t>
            </w:r>
            <w:r w:rsidR="00AB26B3" w:rsidRPr="00AB26B3">
              <w:rPr>
                <w:noProof/>
                <w:spacing w:val="-6"/>
                <w:lang w:val="sk-SK"/>
              </w:rPr>
              <w:t xml:space="preserve"> a </w:t>
            </w:r>
            <w:r w:rsidRPr="00AB26B3">
              <w:rPr>
                <w:noProof/>
                <w:spacing w:val="-6"/>
                <w:lang w:val="sk-SK"/>
              </w:rPr>
              <w:t>technická pomoc pre energetické spoločenstvá</w:t>
            </w:r>
          </w:p>
        </w:tc>
      </w:tr>
      <w:tr w:rsidR="00302FC1" w:rsidRPr="00AB26B3" w14:paraId="28A764DE" w14:textId="77777777">
        <w:trPr>
          <w:trHeight w:val="302"/>
        </w:trPr>
        <w:tc>
          <w:tcPr>
            <w:tcW w:w="1080" w:type="dxa"/>
            <w:tcBorders>
              <w:top w:val="single" w:sz="4" w:space="0" w:color="auto"/>
              <w:left w:val="single" w:sz="4" w:space="0" w:color="auto"/>
              <w:bottom w:val="single" w:sz="4" w:space="0" w:color="auto"/>
              <w:right w:val="single" w:sz="4" w:space="0" w:color="auto"/>
            </w:tcBorders>
            <w:shd w:val="clear" w:color="auto" w:fill="C6EFCE"/>
            <w:noWrap/>
          </w:tcPr>
          <w:p w14:paraId="7822DFCE" w14:textId="77777777" w:rsidR="00302FC1" w:rsidRPr="00AB26B3" w:rsidRDefault="00D64F26">
            <w:pPr>
              <w:pStyle w:val="P68B1DB1-Normal52"/>
              <w:keepNext/>
              <w:spacing w:before="40" w:after="0" w:line="259" w:lineRule="auto"/>
              <w:jc w:val="both"/>
              <w:rPr>
                <w:rFonts w:eastAsia="Times New Roman" w:cs="Times New Roman"/>
                <w:bCs/>
                <w:noProof/>
                <w:spacing w:val="-6"/>
                <w:szCs w:val="18"/>
                <w:lang w:val="sk-SK"/>
              </w:rPr>
            </w:pPr>
            <w:r w:rsidRPr="00AB26B3">
              <w:rPr>
                <w:noProof/>
                <w:spacing w:val="-6"/>
                <w:lang w:val="sk-SK"/>
              </w:rPr>
              <w:t>364</w:t>
            </w:r>
          </w:p>
        </w:tc>
        <w:tc>
          <w:tcPr>
            <w:tcW w:w="5160" w:type="dxa"/>
            <w:tcBorders>
              <w:top w:val="single" w:sz="4" w:space="0" w:color="auto"/>
              <w:left w:val="nil"/>
              <w:bottom w:val="single" w:sz="4" w:space="0" w:color="auto"/>
              <w:right w:val="single" w:sz="4" w:space="0" w:color="auto"/>
            </w:tcBorders>
            <w:shd w:val="clear" w:color="auto" w:fill="C6EFCE"/>
            <w:noWrap/>
          </w:tcPr>
          <w:p w14:paraId="6CF0D825" w14:textId="2711BA12" w:rsidR="00302FC1" w:rsidRPr="00AB26B3" w:rsidRDefault="00D64F26">
            <w:pPr>
              <w:pStyle w:val="P68B1DB1-Normal52"/>
              <w:keepNext/>
              <w:spacing w:before="40" w:after="0" w:line="259" w:lineRule="auto"/>
              <w:jc w:val="both"/>
              <w:rPr>
                <w:rFonts w:eastAsia="Times New Roman" w:cs="Times New Roman"/>
                <w:bCs/>
                <w:noProof/>
                <w:spacing w:val="-6"/>
                <w:szCs w:val="18"/>
                <w:lang w:val="sk-SK"/>
              </w:rPr>
            </w:pPr>
            <w:r w:rsidRPr="00AB26B3">
              <w:rPr>
                <w:noProof/>
                <w:spacing w:val="-6"/>
                <w:lang w:val="sk-SK"/>
              </w:rPr>
              <w:t>20 – 5. Reformy REPowerEU – 16993_Plán inovačných intervencií</w:t>
            </w:r>
            <w:r w:rsidR="00AB26B3" w:rsidRPr="00AB26B3">
              <w:rPr>
                <w:noProof/>
                <w:spacing w:val="-6"/>
                <w:lang w:val="sk-SK"/>
              </w:rPr>
              <w:t xml:space="preserve"> v </w:t>
            </w:r>
            <w:r w:rsidRPr="00AB26B3">
              <w:rPr>
                <w:noProof/>
                <w:spacing w:val="-6"/>
                <w:lang w:val="sk-SK"/>
              </w:rPr>
              <w:t>oblasti energetickej efektívnosti</w:t>
            </w:r>
            <w:r w:rsidR="00AB26B3" w:rsidRPr="00AB26B3">
              <w:rPr>
                <w:noProof/>
                <w:spacing w:val="-6"/>
                <w:lang w:val="sk-SK"/>
              </w:rPr>
              <w:t xml:space="preserve"> a </w:t>
            </w:r>
            <w:r w:rsidRPr="00AB26B3">
              <w:rPr>
                <w:noProof/>
                <w:spacing w:val="-6"/>
                <w:lang w:val="sk-SK"/>
              </w:rPr>
              <w:t>identifikácia nových finančných nástrojov</w:t>
            </w:r>
          </w:p>
        </w:tc>
        <w:tc>
          <w:tcPr>
            <w:tcW w:w="1560" w:type="dxa"/>
            <w:tcBorders>
              <w:top w:val="single" w:sz="4" w:space="0" w:color="auto"/>
              <w:left w:val="nil"/>
              <w:bottom w:val="single" w:sz="4" w:space="0" w:color="auto"/>
              <w:right w:val="single" w:sz="4" w:space="0" w:color="auto"/>
            </w:tcBorders>
            <w:shd w:val="clear" w:color="auto" w:fill="C6EFCE"/>
            <w:noWrap/>
          </w:tcPr>
          <w:p w14:paraId="6EA0FC73"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Míľnik</w:t>
            </w:r>
          </w:p>
        </w:tc>
        <w:tc>
          <w:tcPr>
            <w:tcW w:w="1788" w:type="dxa"/>
            <w:tcBorders>
              <w:top w:val="single" w:sz="4" w:space="0" w:color="auto"/>
              <w:left w:val="nil"/>
              <w:bottom w:val="single" w:sz="4" w:space="0" w:color="auto"/>
              <w:right w:val="single" w:sz="4" w:space="0" w:color="auto"/>
            </w:tcBorders>
            <w:shd w:val="clear" w:color="auto" w:fill="C6EFCE"/>
            <w:noWrap/>
          </w:tcPr>
          <w:p w14:paraId="3101AF1B"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Spustenie negrantového finančného nástroja</w:t>
            </w:r>
          </w:p>
        </w:tc>
      </w:tr>
      <w:tr w:rsidR="00302FC1" w:rsidRPr="00AB26B3" w14:paraId="7A5F8F61" w14:textId="77777777">
        <w:trPr>
          <w:trHeight w:val="302"/>
        </w:trPr>
        <w:tc>
          <w:tcPr>
            <w:tcW w:w="1080"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8D56C1F"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160" w:type="dxa"/>
            <w:tcBorders>
              <w:top w:val="single" w:sz="4" w:space="0" w:color="auto"/>
              <w:left w:val="nil"/>
              <w:bottom w:val="single" w:sz="4" w:space="0" w:color="auto"/>
              <w:right w:val="single" w:sz="4" w:space="0" w:color="auto"/>
            </w:tcBorders>
            <w:shd w:val="clear" w:color="auto" w:fill="C6EFCE"/>
            <w:noWrap/>
            <w:vAlign w:val="bottom"/>
          </w:tcPr>
          <w:p w14:paraId="6EA1A212"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560" w:type="dxa"/>
            <w:tcBorders>
              <w:top w:val="single" w:sz="4" w:space="0" w:color="auto"/>
              <w:left w:val="nil"/>
              <w:bottom w:val="single" w:sz="4" w:space="0" w:color="auto"/>
              <w:right w:val="single" w:sz="4" w:space="0" w:color="auto"/>
            </w:tcBorders>
            <w:shd w:val="clear" w:color="auto" w:fill="C6EFCE"/>
            <w:noWrap/>
            <w:vAlign w:val="bottom"/>
          </w:tcPr>
          <w:p w14:paraId="49D39150"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Suma splátky</w:t>
            </w:r>
          </w:p>
        </w:tc>
        <w:tc>
          <w:tcPr>
            <w:tcW w:w="1788" w:type="dxa"/>
            <w:tcBorders>
              <w:top w:val="single" w:sz="4" w:space="0" w:color="auto"/>
              <w:left w:val="nil"/>
              <w:bottom w:val="single" w:sz="4" w:space="0" w:color="auto"/>
              <w:right w:val="single" w:sz="4" w:space="0" w:color="auto"/>
            </w:tcBorders>
            <w:shd w:val="clear" w:color="auto" w:fill="C6EFCE"/>
            <w:noWrap/>
            <w:vAlign w:val="bottom"/>
          </w:tcPr>
          <w:p w14:paraId="547A7ECE" w14:textId="06B8B011"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1 696 474 735 EUR</w:t>
            </w:r>
          </w:p>
        </w:tc>
      </w:tr>
    </w:tbl>
    <w:p w14:paraId="3F0C87AE"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p w14:paraId="3318AFB2" w14:textId="2D905A3E" w:rsidR="00AB26B3" w:rsidRPr="00AB26B3" w:rsidRDefault="00D64F26">
      <w:pPr>
        <w:pStyle w:val="P68B1DB1-Normal5"/>
        <w:keepNext/>
        <w:numPr>
          <w:ilvl w:val="1"/>
          <w:numId w:val="85"/>
        </w:numPr>
        <w:spacing w:before="40" w:after="160" w:line="259" w:lineRule="auto"/>
        <w:ind w:left="0"/>
        <w:contextualSpacing/>
        <w:jc w:val="both"/>
        <w:rPr>
          <w:noProof/>
          <w:spacing w:val="-6"/>
          <w:lang w:val="sk-SK"/>
        </w:rPr>
      </w:pPr>
      <w:r w:rsidRPr="00AB26B3">
        <w:rPr>
          <w:noProof/>
          <w:spacing w:val="-6"/>
          <w:lang w:val="sk-SK"/>
        </w:rPr>
        <w:t>Deviata žiadosť</w:t>
      </w:r>
      <w:r w:rsidR="00AB26B3" w:rsidRPr="00AB26B3">
        <w:rPr>
          <w:noProof/>
          <w:spacing w:val="-6"/>
          <w:lang w:val="sk-SK"/>
        </w:rPr>
        <w:t xml:space="preserve"> o </w:t>
      </w:r>
      <w:r w:rsidRPr="00AB26B3">
        <w:rPr>
          <w:noProof/>
          <w:spacing w:val="-6"/>
          <w:lang w:val="sk-SK"/>
        </w:rPr>
        <w:t>platbu (nenávratná podpora)</w:t>
      </w:r>
      <w:r w:rsidR="00AB26B3" w:rsidRPr="00AB26B3">
        <w:rPr>
          <w:noProof/>
          <w:spacing w:val="-6"/>
          <w:lang w:val="sk-SK"/>
        </w:rPr>
        <w:t>:</w:t>
      </w:r>
    </w:p>
    <w:p w14:paraId="39159A11" w14:textId="152121C1"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24"/>
          <w:lang w:val="sk-SK"/>
        </w:rPr>
      </w:pPr>
    </w:p>
    <w:tbl>
      <w:tblPr>
        <w:tblpPr w:leftFromText="180" w:rightFromText="180" w:vertAnchor="text" w:tblpX="-245" w:tblpY="1"/>
        <w:tblOverlap w:val="never"/>
        <w:tblW w:w="10117" w:type="dxa"/>
        <w:tblLook w:val="04A0" w:firstRow="1" w:lastRow="0" w:firstColumn="1" w:lastColumn="0" w:noHBand="0" w:noVBand="1"/>
      </w:tblPr>
      <w:tblGrid>
        <w:gridCol w:w="576"/>
        <w:gridCol w:w="8"/>
        <w:gridCol w:w="5573"/>
        <w:gridCol w:w="1680"/>
        <w:gridCol w:w="2280"/>
      </w:tblGrid>
      <w:tr w:rsidR="00302FC1" w:rsidRPr="00AB26B3" w14:paraId="2821544C" w14:textId="77777777">
        <w:trPr>
          <w:trHeight w:val="1124"/>
          <w:tblHeader/>
        </w:trPr>
        <w:tc>
          <w:tcPr>
            <w:tcW w:w="584"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0CC45A1E" w14:textId="28E12B67" w:rsidR="00302FC1" w:rsidRPr="00AB26B3" w:rsidRDefault="00D64F26">
            <w:pPr>
              <w:pStyle w:val="P68B1DB1-Normal14"/>
              <w:keepNext/>
              <w:spacing w:before="40" w:after="0" w:line="256"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57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3C1DF81" w14:textId="0D421141" w:rsidR="00302FC1" w:rsidRPr="00AB26B3" w:rsidRDefault="00D64F26">
            <w:pPr>
              <w:pStyle w:val="P68B1DB1-Normal10"/>
              <w:keepNext/>
              <w:spacing w:before="40" w:after="0" w:line="256"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8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FA830F5" w14:textId="248C53FD" w:rsidR="00302FC1" w:rsidRPr="00AB26B3" w:rsidRDefault="00D64F26">
            <w:pPr>
              <w:pStyle w:val="P68B1DB1-Normal10"/>
              <w:keepNext/>
              <w:spacing w:before="40" w:after="0" w:line="256" w:lineRule="auto"/>
              <w:jc w:val="center"/>
              <w:rPr>
                <w:rFonts w:eastAsia="Times New Roman" w:cs="Times New Roman"/>
                <w:bCs/>
                <w:noProof/>
                <w:spacing w:val="-6"/>
                <w:szCs w:val="18"/>
                <w:lang w:val="sk-SK"/>
              </w:rPr>
            </w:pPr>
            <w:r w:rsidRPr="00AB26B3">
              <w:rPr>
                <w:noProof/>
                <w:spacing w:val="-6"/>
                <w:lang w:val="sk-SK"/>
              </w:rPr>
              <w:t>Míľnik/cieľ</w:t>
            </w:r>
          </w:p>
        </w:tc>
        <w:tc>
          <w:tcPr>
            <w:tcW w:w="228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26AD95C" w14:textId="39BF2A70" w:rsidR="00302FC1" w:rsidRPr="00AB26B3" w:rsidRDefault="00D64F26">
            <w:pPr>
              <w:pStyle w:val="P68B1DB1-Normal10"/>
              <w:keepNext/>
              <w:spacing w:before="40" w:after="0" w:line="256"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19760BF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1ABB21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w:t>
            </w:r>
          </w:p>
        </w:tc>
        <w:tc>
          <w:tcPr>
            <w:tcW w:w="5581" w:type="dxa"/>
            <w:gridSpan w:val="2"/>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2DBE4F6" w14:textId="46E8EAD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1 – 1.1. Power up – 16870_Intervencie na prepojenie elektrických sietí ostrovov</w:t>
            </w:r>
            <w:r w:rsidR="00AB26B3" w:rsidRPr="00AB26B3">
              <w:rPr>
                <w:noProof/>
                <w:spacing w:val="-6"/>
                <w:lang w:val="sk-SK"/>
              </w:rPr>
              <w:t xml:space="preserve"> a </w:t>
            </w:r>
            <w:r w:rsidRPr="00AB26B3">
              <w:rPr>
                <w:noProof/>
                <w:spacing w:val="-6"/>
                <w:lang w:val="sk-SK"/>
              </w:rPr>
              <w:t>investície do elektrickej siete</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14:paraId="58EB8B9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2280" w:type="dxa"/>
            <w:tcBorders>
              <w:top w:val="single" w:sz="4" w:space="0" w:color="auto"/>
              <w:left w:val="nil"/>
              <w:bottom w:val="single" w:sz="4" w:space="0" w:color="auto"/>
              <w:right w:val="single" w:sz="4" w:space="0" w:color="auto"/>
            </w:tcBorders>
            <w:shd w:val="clear" w:color="auto" w:fill="C6EFCE"/>
            <w:noWrap/>
            <w:vAlign w:val="center"/>
            <w:hideMark/>
          </w:tcPr>
          <w:p w14:paraId="5F56A14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xml:space="preserve">Prepojenie ostrovov </w:t>
            </w:r>
          </w:p>
        </w:tc>
      </w:tr>
      <w:tr w:rsidR="00302FC1" w:rsidRPr="00AB26B3" w14:paraId="6406545E"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0B4ECA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15</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7E77CD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Power up – 16871_Revitalizačné opatrenia najviac postihnutých území (územia spravodlivej transformácie)</w:t>
            </w:r>
          </w:p>
        </w:tc>
        <w:tc>
          <w:tcPr>
            <w:tcW w:w="1680" w:type="dxa"/>
            <w:tcBorders>
              <w:top w:val="nil"/>
              <w:left w:val="nil"/>
              <w:bottom w:val="single" w:sz="4" w:space="0" w:color="auto"/>
              <w:right w:val="single" w:sz="4" w:space="0" w:color="auto"/>
            </w:tcBorders>
            <w:shd w:val="clear" w:color="auto" w:fill="C6EFCE"/>
            <w:noWrap/>
            <w:vAlign w:val="center"/>
            <w:hideMark/>
          </w:tcPr>
          <w:p w14:paraId="26AC0F9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31DF7132" w14:textId="2FFE1FB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Rekultivácia pôdy</w:t>
            </w:r>
          </w:p>
        </w:tc>
      </w:tr>
      <w:tr w:rsidR="00302FC1" w:rsidRPr="00AB26B3" w14:paraId="48742DB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1DF85B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16</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71AC3E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 – 1.1. Napájanie – 16926_Podpora inštalácie zásobníkových systémov na zvýšenie prieniku OZE</w:t>
            </w:r>
          </w:p>
        </w:tc>
        <w:tc>
          <w:tcPr>
            <w:tcW w:w="1680" w:type="dxa"/>
            <w:tcBorders>
              <w:top w:val="nil"/>
              <w:left w:val="nil"/>
              <w:bottom w:val="single" w:sz="4" w:space="0" w:color="auto"/>
              <w:right w:val="single" w:sz="4" w:space="0" w:color="auto"/>
            </w:tcBorders>
            <w:shd w:val="clear" w:color="auto" w:fill="C6EFCE"/>
            <w:noWrap/>
            <w:vAlign w:val="center"/>
            <w:hideMark/>
          </w:tcPr>
          <w:p w14:paraId="38DB6F9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5556799" w14:textId="0C775BC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Uskladňovanie energie – inštalovaný zásobník batérií</w:t>
            </w:r>
            <w:r w:rsidR="00AB26B3" w:rsidRPr="00AB26B3">
              <w:rPr>
                <w:noProof/>
                <w:spacing w:val="-6"/>
                <w:lang w:val="sk-SK"/>
              </w:rPr>
              <w:t xml:space="preserve"> a </w:t>
            </w:r>
            <w:r w:rsidRPr="00AB26B3">
              <w:rPr>
                <w:noProof/>
                <w:spacing w:val="-6"/>
                <w:lang w:val="sk-SK"/>
              </w:rPr>
              <w:t>stavebno-inžinierske práce prečerpávacej vodnej stanice Amfilochia</w:t>
            </w:r>
          </w:p>
        </w:tc>
      </w:tr>
      <w:tr w:rsidR="00302FC1" w:rsidRPr="00AB26B3" w14:paraId="26337BE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C0A130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989D09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xml:space="preserve">1 – 1.1. Napájanie – 16900_HEDNO nadzemná sieť </w:t>
            </w:r>
          </w:p>
        </w:tc>
        <w:tc>
          <w:tcPr>
            <w:tcW w:w="1680" w:type="dxa"/>
            <w:tcBorders>
              <w:top w:val="nil"/>
              <w:left w:val="nil"/>
              <w:bottom w:val="single" w:sz="4" w:space="0" w:color="auto"/>
              <w:right w:val="single" w:sz="4" w:space="0" w:color="auto"/>
            </w:tcBorders>
            <w:shd w:val="clear" w:color="auto" w:fill="C6EFCE"/>
            <w:noWrap/>
            <w:vAlign w:val="center"/>
            <w:hideMark/>
          </w:tcPr>
          <w:p w14:paraId="5712DAE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965ECA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HEDNO – hlavná sieť</w:t>
            </w:r>
          </w:p>
        </w:tc>
      </w:tr>
      <w:tr w:rsidR="00302FC1" w:rsidRPr="00AB26B3" w14:paraId="5EA595BF"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0246B1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02C161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xml:space="preserve">1 – 1.1. Power up – 16899_ Hellenic Electricity Distribution Network Operator (HEDNO) HV/MV rozvodne </w:t>
            </w:r>
          </w:p>
        </w:tc>
        <w:tc>
          <w:tcPr>
            <w:tcW w:w="1680" w:type="dxa"/>
            <w:tcBorders>
              <w:top w:val="nil"/>
              <w:left w:val="nil"/>
              <w:bottom w:val="single" w:sz="4" w:space="0" w:color="auto"/>
              <w:right w:val="single" w:sz="4" w:space="0" w:color="auto"/>
            </w:tcBorders>
            <w:shd w:val="clear" w:color="auto" w:fill="C6EFCE"/>
            <w:noWrap/>
            <w:vAlign w:val="center"/>
            <w:hideMark/>
          </w:tcPr>
          <w:p w14:paraId="26590D1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157C176"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HEDNO – rozvodne HV/MV</w:t>
            </w:r>
          </w:p>
        </w:tc>
      </w:tr>
      <w:tr w:rsidR="00302FC1" w:rsidRPr="00AB26B3" w14:paraId="7B579E7F"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6E9DF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26</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BAF2E4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16872_Energetická obnova obytných budov</w:t>
            </w:r>
          </w:p>
        </w:tc>
        <w:tc>
          <w:tcPr>
            <w:tcW w:w="1680" w:type="dxa"/>
            <w:tcBorders>
              <w:top w:val="nil"/>
              <w:left w:val="nil"/>
              <w:bottom w:val="single" w:sz="4" w:space="0" w:color="auto"/>
              <w:right w:val="single" w:sz="4" w:space="0" w:color="auto"/>
            </w:tcBorders>
            <w:shd w:val="clear" w:color="auto" w:fill="C6EFCE"/>
            <w:noWrap/>
            <w:vAlign w:val="center"/>
            <w:hideMark/>
          </w:tcPr>
          <w:p w14:paraId="6A8F24F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108938E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Renovácia obytných budov – renovácia obytných budov #3</w:t>
            </w:r>
          </w:p>
        </w:tc>
      </w:tr>
      <w:tr w:rsidR="00302FC1" w:rsidRPr="00AB26B3" w14:paraId="01E46CD0"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B68660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F1EBFA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Renovate – 16879_Príprava mestských plánov pri vykonávaní reformy mestskej politiky</w:t>
            </w:r>
          </w:p>
        </w:tc>
        <w:tc>
          <w:tcPr>
            <w:tcW w:w="1680" w:type="dxa"/>
            <w:tcBorders>
              <w:top w:val="nil"/>
              <w:left w:val="nil"/>
              <w:bottom w:val="single" w:sz="4" w:space="0" w:color="auto"/>
              <w:right w:val="single" w:sz="4" w:space="0" w:color="auto"/>
            </w:tcBorders>
            <w:shd w:val="clear" w:color="auto" w:fill="C6EFCE"/>
            <w:noWrap/>
            <w:vAlign w:val="center"/>
            <w:hideMark/>
          </w:tcPr>
          <w:p w14:paraId="79AA806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D0C74AA" w14:textId="589DD4F8"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Prípravné kroky pre mestské plány</w:t>
            </w:r>
          </w:p>
        </w:tc>
      </w:tr>
      <w:tr w:rsidR="00302FC1" w:rsidRPr="00AB26B3" w14:paraId="0D9C638F"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32F0CE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F0DD8C0" w14:textId="772B8136"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Renovate – 16894_Vytvorenie nového osobitného priestorového plánovania pre OZE, priemysel</w:t>
            </w:r>
            <w:r w:rsidR="00AB26B3" w:rsidRPr="00AB26B3">
              <w:rPr>
                <w:noProof/>
                <w:spacing w:val="-6"/>
                <w:lang w:val="sk-SK"/>
              </w:rPr>
              <w:t xml:space="preserve"> a </w:t>
            </w:r>
            <w:r w:rsidRPr="00AB26B3">
              <w:rPr>
                <w:noProof/>
                <w:spacing w:val="-6"/>
                <w:lang w:val="sk-SK"/>
              </w:rPr>
              <w:t>cestovný ruch</w:t>
            </w:r>
          </w:p>
        </w:tc>
        <w:tc>
          <w:tcPr>
            <w:tcW w:w="1680" w:type="dxa"/>
            <w:tcBorders>
              <w:top w:val="nil"/>
              <w:left w:val="nil"/>
              <w:bottom w:val="single" w:sz="4" w:space="0" w:color="auto"/>
              <w:right w:val="single" w:sz="4" w:space="0" w:color="auto"/>
            </w:tcBorders>
            <w:shd w:val="clear" w:color="auto" w:fill="C6EFCE"/>
            <w:noWrap/>
            <w:vAlign w:val="center"/>
            <w:hideMark/>
          </w:tcPr>
          <w:p w14:paraId="4141136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891D4C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Prijatie osobitných priestorových rámcov</w:t>
            </w:r>
          </w:p>
        </w:tc>
      </w:tr>
      <w:tr w:rsidR="00302FC1" w:rsidRPr="00AB26B3" w14:paraId="6041B977"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3A41E4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36</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A2A1530" w14:textId="7DCDDA4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16874_Energetika</w:t>
            </w:r>
            <w:r w:rsidR="00AB26B3" w:rsidRPr="00AB26B3">
              <w:rPr>
                <w:noProof/>
                <w:spacing w:val="-6"/>
                <w:lang w:val="sk-SK"/>
              </w:rPr>
              <w:t xml:space="preserve"> a </w:t>
            </w:r>
            <w:r w:rsidRPr="00AB26B3">
              <w:rPr>
                <w:noProof/>
                <w:spacing w:val="-6"/>
                <w:lang w:val="sk-SK"/>
              </w:rPr>
              <w:t>podnikanie</w:t>
            </w:r>
          </w:p>
        </w:tc>
        <w:tc>
          <w:tcPr>
            <w:tcW w:w="1680" w:type="dxa"/>
            <w:tcBorders>
              <w:top w:val="nil"/>
              <w:left w:val="nil"/>
              <w:bottom w:val="single" w:sz="4" w:space="0" w:color="auto"/>
              <w:right w:val="single" w:sz="4" w:space="0" w:color="auto"/>
            </w:tcBorders>
            <w:shd w:val="clear" w:color="auto" w:fill="C6EFCE"/>
            <w:noWrap/>
            <w:vAlign w:val="center"/>
            <w:hideMark/>
          </w:tcPr>
          <w:p w14:paraId="0B7B76E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1A8E4D8C" w14:textId="0733178E"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Energetická efektívnosť</w:t>
            </w:r>
            <w:r w:rsidR="00AB26B3" w:rsidRPr="00AB26B3">
              <w:rPr>
                <w:noProof/>
                <w:spacing w:val="-6"/>
                <w:lang w:val="sk-SK"/>
              </w:rPr>
              <w:t xml:space="preserve"> v </w:t>
            </w:r>
            <w:r w:rsidRPr="00AB26B3">
              <w:rPr>
                <w:noProof/>
                <w:spacing w:val="-6"/>
                <w:lang w:val="sk-SK"/>
              </w:rPr>
              <w:t>súkromnom sektore</w:t>
            </w:r>
          </w:p>
        </w:tc>
      </w:tr>
      <w:tr w:rsidR="00302FC1" w:rsidRPr="00AB26B3" w14:paraId="342646FB"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475009E"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39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7A586F1" w14:textId="07F58A2E"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 – 1.2. Renovujme – 16932_olympijské atletické centrum</w:t>
            </w:r>
            <w:r w:rsidR="00AB26B3" w:rsidRPr="00AB26B3">
              <w:rPr>
                <w:noProof/>
                <w:spacing w:val="-6"/>
                <w:lang w:val="sk-SK"/>
              </w:rPr>
              <w:t xml:space="preserve"> v </w:t>
            </w:r>
            <w:r w:rsidRPr="00AB26B3">
              <w:rPr>
                <w:noProof/>
                <w:spacing w:val="-6"/>
                <w:lang w:val="sk-SK"/>
              </w:rPr>
              <w:t>Aténach</w:t>
            </w:r>
          </w:p>
        </w:tc>
        <w:tc>
          <w:tcPr>
            <w:tcW w:w="1680" w:type="dxa"/>
            <w:tcBorders>
              <w:top w:val="nil"/>
              <w:left w:val="nil"/>
              <w:bottom w:val="single" w:sz="4" w:space="0" w:color="auto"/>
              <w:right w:val="single" w:sz="4" w:space="0" w:color="auto"/>
            </w:tcBorders>
            <w:shd w:val="clear" w:color="auto" w:fill="C6EFCE"/>
            <w:noWrap/>
            <w:vAlign w:val="center"/>
            <w:hideMark/>
          </w:tcPr>
          <w:p w14:paraId="1436815A"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A0D1D36"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OAKA – vykonávanie prác</w:t>
            </w:r>
          </w:p>
        </w:tc>
      </w:tr>
      <w:tr w:rsidR="00302FC1" w:rsidRPr="00AB26B3" w14:paraId="0D01B29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7DE50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7C7E8D9" w14:textId="4407583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Renovate – 16873_ – Intervencie</w:t>
            </w:r>
            <w:r w:rsidR="00AB26B3" w:rsidRPr="00AB26B3">
              <w:rPr>
                <w:noProof/>
                <w:spacing w:val="-6"/>
                <w:lang w:val="sk-SK"/>
              </w:rPr>
              <w:t xml:space="preserve"> v </w:t>
            </w:r>
            <w:r w:rsidRPr="00AB26B3">
              <w:rPr>
                <w:noProof/>
                <w:spacing w:val="-6"/>
                <w:lang w:val="sk-SK"/>
              </w:rPr>
              <w:t>obytných oblastiach</w:t>
            </w:r>
            <w:r w:rsidR="00AB26B3" w:rsidRPr="00AB26B3">
              <w:rPr>
                <w:noProof/>
                <w:spacing w:val="-6"/>
                <w:lang w:val="sk-SK"/>
              </w:rPr>
              <w:t xml:space="preserve"> a </w:t>
            </w:r>
            <w:r w:rsidRPr="00AB26B3">
              <w:rPr>
                <w:noProof/>
                <w:spacing w:val="-6"/>
                <w:lang w:val="sk-SK"/>
              </w:rPr>
              <w:t>vo fonde budov</w:t>
            </w:r>
          </w:p>
        </w:tc>
        <w:tc>
          <w:tcPr>
            <w:tcW w:w="1680" w:type="dxa"/>
            <w:tcBorders>
              <w:top w:val="nil"/>
              <w:left w:val="nil"/>
              <w:bottom w:val="single" w:sz="4" w:space="0" w:color="auto"/>
              <w:right w:val="single" w:sz="4" w:space="0" w:color="auto"/>
            </w:tcBorders>
            <w:shd w:val="clear" w:color="auto" w:fill="C6EFCE"/>
            <w:noWrap/>
            <w:vAlign w:val="center"/>
            <w:hideMark/>
          </w:tcPr>
          <w:p w14:paraId="7B3CCC9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68164B7" w14:textId="0ED490CA" w:rsidR="00302FC1" w:rsidRPr="00AB26B3" w:rsidRDefault="00D64F26">
            <w:pPr>
              <w:pStyle w:val="P68B1DB1-Normal34"/>
              <w:keepNext/>
              <w:spacing w:before="40" w:after="0" w:line="240" w:lineRule="auto"/>
              <w:jc w:val="both"/>
              <w:rPr>
                <w:rFonts w:ascii="Times New Roman" w:eastAsia="Times New Roman" w:hAnsi="Times New Roman" w:cs="Times New Roman"/>
                <w:noProof/>
                <w:spacing w:val="-6"/>
                <w:szCs w:val="18"/>
                <w:lang w:val="sk-SK"/>
              </w:rPr>
            </w:pPr>
            <w:r w:rsidRPr="00AB26B3">
              <w:rPr>
                <w:rFonts w:ascii="Times New Roman" w:hAnsi="Times New Roman"/>
                <w:noProof/>
                <w:spacing w:val="-6"/>
                <w:lang w:val="sk-SK"/>
              </w:rPr>
              <w:t>Zásahy</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mestách</w:t>
            </w:r>
            <w:r w:rsidRPr="00AB26B3">
              <w:rPr>
                <w:rFonts w:ascii="Times New Roman" w:hAnsi="Times New Roman" w:cs="Times New Roman"/>
                <w:noProof/>
                <w:color w:val="A4262C"/>
                <w:spacing w:val="-6"/>
                <w:szCs w:val="18"/>
                <w:bdr w:val="none" w:sz="0" w:space="0" w:color="auto" w:frame="1"/>
                <w:lang w:val="sk-SK"/>
              </w:rPr>
              <w:t xml:space="preserve"> </w:t>
            </w:r>
            <w:r w:rsidRPr="00AB26B3">
              <w:rPr>
                <w:rFonts w:ascii="Times New Roman" w:hAnsi="Times New Roman"/>
                <w:noProof/>
                <w:spacing w:val="-6"/>
                <w:lang w:val="sk-SK"/>
              </w:rPr>
              <w:t>– vykonávanie prác</w:t>
            </w:r>
          </w:p>
        </w:tc>
      </w:tr>
      <w:tr w:rsidR="00302FC1" w:rsidRPr="00AB26B3" w14:paraId="6C54B89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52D639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41</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95145D6" w14:textId="3F3048C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16875_Rozvoj infraštruktúry</w:t>
            </w:r>
            <w:r w:rsidR="00AB26B3" w:rsidRPr="00AB26B3">
              <w:rPr>
                <w:noProof/>
                <w:spacing w:val="-6"/>
                <w:lang w:val="sk-SK"/>
              </w:rPr>
              <w:t xml:space="preserve"> a </w:t>
            </w:r>
            <w:r w:rsidRPr="00AB26B3">
              <w:rPr>
                <w:noProof/>
                <w:spacing w:val="-6"/>
                <w:lang w:val="sk-SK"/>
              </w:rPr>
              <w:t>obnova budov</w:t>
            </w:r>
            <w:r w:rsidR="00AB26B3" w:rsidRPr="00AB26B3">
              <w:rPr>
                <w:noProof/>
                <w:spacing w:val="-6"/>
                <w:lang w:val="sk-SK"/>
              </w:rPr>
              <w:t xml:space="preserve"> v </w:t>
            </w:r>
            <w:r w:rsidRPr="00AB26B3">
              <w:rPr>
                <w:noProof/>
                <w:spacing w:val="-6"/>
                <w:lang w:val="sk-SK"/>
              </w:rPr>
              <w:t>bývalých kráľovských nehnuteľnostiach</w:t>
            </w:r>
            <w:r w:rsidR="00AB26B3" w:rsidRPr="00AB26B3">
              <w:rPr>
                <w:noProof/>
                <w:spacing w:val="-6"/>
                <w:lang w:val="sk-SK"/>
              </w:rPr>
              <w:t xml:space="preserve"> v </w:t>
            </w:r>
            <w:r w:rsidRPr="00AB26B3">
              <w:rPr>
                <w:noProof/>
                <w:spacing w:val="-6"/>
                <w:lang w:val="sk-SK"/>
              </w:rPr>
              <w:t>Tatoi</w:t>
            </w:r>
          </w:p>
        </w:tc>
        <w:tc>
          <w:tcPr>
            <w:tcW w:w="1680" w:type="dxa"/>
            <w:tcBorders>
              <w:top w:val="nil"/>
              <w:left w:val="nil"/>
              <w:bottom w:val="single" w:sz="4" w:space="0" w:color="auto"/>
              <w:right w:val="single" w:sz="4" w:space="0" w:color="auto"/>
            </w:tcBorders>
            <w:shd w:val="clear" w:color="auto" w:fill="C6EFCE"/>
            <w:noWrap/>
            <w:vAlign w:val="center"/>
            <w:hideMark/>
          </w:tcPr>
          <w:p w14:paraId="0DF0D0E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A8ADD3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Tatoi – obnovený</w:t>
            </w:r>
          </w:p>
        </w:tc>
      </w:tr>
      <w:tr w:rsidR="00302FC1" w:rsidRPr="00AB26B3" w14:paraId="16C062A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93AEC4D"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52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487FF4B" w14:textId="545CCD16"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16924_ Elektromobilita</w:t>
            </w:r>
          </w:p>
        </w:tc>
        <w:tc>
          <w:tcPr>
            <w:tcW w:w="1680" w:type="dxa"/>
            <w:tcBorders>
              <w:top w:val="nil"/>
              <w:left w:val="nil"/>
              <w:bottom w:val="single" w:sz="4" w:space="0" w:color="auto"/>
              <w:right w:val="single" w:sz="4" w:space="0" w:color="auto"/>
            </w:tcBorders>
            <w:shd w:val="clear" w:color="auto" w:fill="C6EFCE"/>
            <w:noWrap/>
            <w:vAlign w:val="center"/>
            <w:hideMark/>
          </w:tcPr>
          <w:p w14:paraId="6059B85C"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6D0292A3" w14:textId="081A4A6D"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Autobusy – nahradenie elektrickými autobusmi</w:t>
            </w:r>
            <w:r w:rsidR="00AB26B3" w:rsidRPr="00AB26B3">
              <w:rPr>
                <w:noProof/>
                <w:spacing w:val="-6"/>
                <w:lang w:val="sk-SK"/>
              </w:rPr>
              <w:t xml:space="preserve"> a </w:t>
            </w:r>
            <w:r w:rsidRPr="00AB26B3">
              <w:rPr>
                <w:noProof/>
                <w:spacing w:val="-6"/>
                <w:lang w:val="sk-SK"/>
              </w:rPr>
              <w:t>priame zadanie zmluvy</w:t>
            </w:r>
            <w:r w:rsidR="00AB26B3" w:rsidRPr="00AB26B3">
              <w:rPr>
                <w:noProof/>
                <w:spacing w:val="-6"/>
                <w:lang w:val="sk-SK"/>
              </w:rPr>
              <w:t xml:space="preserve"> o </w:t>
            </w:r>
            <w:r w:rsidRPr="00AB26B3">
              <w:rPr>
                <w:noProof/>
                <w:spacing w:val="-6"/>
                <w:lang w:val="sk-SK"/>
              </w:rPr>
              <w:t>službách vo verejnom záujme na služby pravidelnej autobusovej dopravy pre mestské oblasti regionálnej jednotky Solún.</w:t>
            </w:r>
          </w:p>
        </w:tc>
      </w:tr>
      <w:tr w:rsidR="00302FC1" w:rsidRPr="00AB26B3" w14:paraId="2E1F3480"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95D98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8C67AEA" w14:textId="3FDBE23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16831_Produc- E Green</w:t>
            </w:r>
          </w:p>
        </w:tc>
        <w:tc>
          <w:tcPr>
            <w:tcW w:w="1680" w:type="dxa"/>
            <w:tcBorders>
              <w:top w:val="nil"/>
              <w:left w:val="nil"/>
              <w:bottom w:val="single" w:sz="4" w:space="0" w:color="auto"/>
              <w:right w:val="single" w:sz="4" w:space="0" w:color="auto"/>
            </w:tcBorders>
            <w:shd w:val="clear" w:color="auto" w:fill="C6EFCE"/>
            <w:noWrap/>
            <w:vAlign w:val="center"/>
            <w:hideMark/>
          </w:tcPr>
          <w:p w14:paraId="6166347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28F730FD" w14:textId="4357639C"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CCS – vŕtanie jednej jamky</w:t>
            </w:r>
          </w:p>
        </w:tc>
      </w:tr>
      <w:tr w:rsidR="00302FC1" w:rsidRPr="00AB26B3" w14:paraId="2904E4B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E2DDD2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54</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40891188" w14:textId="18BB666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 – 1.3. Nabíjanie</w:t>
            </w:r>
            <w:r w:rsidR="00AB26B3" w:rsidRPr="00AB26B3">
              <w:rPr>
                <w:noProof/>
                <w:spacing w:val="-6"/>
                <w:lang w:val="sk-SK"/>
              </w:rPr>
              <w:t xml:space="preserve"> a </w:t>
            </w:r>
            <w:r w:rsidRPr="00AB26B3">
              <w:rPr>
                <w:noProof/>
                <w:spacing w:val="-6"/>
                <w:lang w:val="sk-SK"/>
              </w:rPr>
              <w:t>dopĺňanie paliva – 16831_Produc- E Green</w:t>
            </w:r>
          </w:p>
        </w:tc>
        <w:tc>
          <w:tcPr>
            <w:tcW w:w="1680" w:type="dxa"/>
            <w:tcBorders>
              <w:top w:val="nil"/>
              <w:left w:val="nil"/>
              <w:bottom w:val="single" w:sz="4" w:space="0" w:color="auto"/>
              <w:right w:val="single" w:sz="4" w:space="0" w:color="auto"/>
            </w:tcBorders>
            <w:shd w:val="clear" w:color="auto" w:fill="C6EFCE"/>
            <w:noWrap/>
            <w:vAlign w:val="center"/>
            <w:hideMark/>
          </w:tcPr>
          <w:p w14:paraId="6572607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FEB1801" w14:textId="02997F36"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Priemyselné jednotky – dokončenie stavebných prác</w:t>
            </w:r>
            <w:r w:rsidR="00AB26B3" w:rsidRPr="00AB26B3">
              <w:rPr>
                <w:noProof/>
                <w:spacing w:val="-6"/>
                <w:lang w:val="sk-SK"/>
              </w:rPr>
              <w:t xml:space="preserve"> a </w:t>
            </w:r>
            <w:r w:rsidRPr="00AB26B3">
              <w:rPr>
                <w:noProof/>
                <w:spacing w:val="-6"/>
                <w:lang w:val="sk-SK"/>
              </w:rPr>
              <w:t xml:space="preserve">inštalácia zariadení </w:t>
            </w:r>
          </w:p>
        </w:tc>
      </w:tr>
      <w:tr w:rsidR="00302FC1" w:rsidRPr="00AB26B3" w14:paraId="3940C2F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C6E7D2"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59a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8B824A0" w14:textId="28059716"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16772_Právny predpis</w:t>
            </w:r>
            <w:r w:rsidR="00AB26B3" w:rsidRPr="00AB26B3">
              <w:rPr>
                <w:noProof/>
                <w:spacing w:val="-6"/>
                <w:lang w:val="sk-SK"/>
              </w:rPr>
              <w:t xml:space="preserve"> o </w:t>
            </w:r>
            <w:r w:rsidRPr="00AB26B3">
              <w:rPr>
                <w:noProof/>
                <w:spacing w:val="-6"/>
                <w:lang w:val="sk-SK"/>
              </w:rPr>
              <w:t>nakladaní</w:t>
            </w:r>
            <w:r w:rsidR="00AB26B3" w:rsidRPr="00AB26B3">
              <w:rPr>
                <w:noProof/>
                <w:spacing w:val="-6"/>
                <w:lang w:val="sk-SK"/>
              </w:rPr>
              <w:t xml:space="preserve"> s </w:t>
            </w:r>
            <w:r w:rsidRPr="00AB26B3">
              <w:rPr>
                <w:noProof/>
                <w:spacing w:val="-6"/>
                <w:lang w:val="sk-SK"/>
              </w:rPr>
              <w:t>odpadom</w:t>
            </w:r>
            <w:r w:rsidR="00AB26B3" w:rsidRPr="00AB26B3">
              <w:rPr>
                <w:noProof/>
                <w:spacing w:val="-6"/>
                <w:lang w:val="sk-SK"/>
              </w:rPr>
              <w:t xml:space="preserve"> v </w:t>
            </w:r>
            <w:r w:rsidRPr="00AB26B3">
              <w:rPr>
                <w:noProof/>
                <w:spacing w:val="-6"/>
                <w:lang w:val="sk-SK"/>
              </w:rPr>
              <w:t>záujme udržateľného skládkovania</w:t>
            </w:r>
            <w:r w:rsidR="00AB26B3" w:rsidRPr="00AB26B3">
              <w:rPr>
                <w:noProof/>
                <w:spacing w:val="-6"/>
                <w:lang w:val="sk-SK"/>
              </w:rPr>
              <w:t xml:space="preserve"> a </w:t>
            </w:r>
            <w:r w:rsidRPr="00AB26B3">
              <w:rPr>
                <w:noProof/>
                <w:spacing w:val="-6"/>
                <w:lang w:val="sk-SK"/>
              </w:rPr>
              <w:t>recyklácie</w:t>
            </w:r>
          </w:p>
        </w:tc>
        <w:tc>
          <w:tcPr>
            <w:tcW w:w="1680" w:type="dxa"/>
            <w:tcBorders>
              <w:top w:val="nil"/>
              <w:left w:val="nil"/>
              <w:bottom w:val="single" w:sz="4" w:space="0" w:color="auto"/>
              <w:right w:val="single" w:sz="4" w:space="0" w:color="auto"/>
            </w:tcBorders>
            <w:shd w:val="clear" w:color="auto" w:fill="C6EFCE"/>
            <w:noWrap/>
            <w:vAlign w:val="center"/>
            <w:hideMark/>
          </w:tcPr>
          <w:p w14:paraId="2B61F6F4"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84BA689" w14:textId="158DAA1E"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Certifikácia orgánov pre nakladanie</w:t>
            </w:r>
            <w:r w:rsidR="00AB26B3" w:rsidRPr="00AB26B3">
              <w:rPr>
                <w:noProof/>
                <w:spacing w:val="-6"/>
                <w:lang w:val="sk-SK"/>
              </w:rPr>
              <w:t xml:space="preserve"> s </w:t>
            </w:r>
            <w:r w:rsidRPr="00AB26B3">
              <w:rPr>
                <w:noProof/>
                <w:spacing w:val="-6"/>
                <w:lang w:val="sk-SK"/>
              </w:rPr>
              <w:t>tuhým odpadom (FODSA) regulačným orgánom</w:t>
            </w:r>
          </w:p>
        </w:tc>
      </w:tr>
      <w:tr w:rsidR="00302FC1" w:rsidRPr="00AB26B3" w14:paraId="4E4C864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48363F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F9F5226" w14:textId="78198B5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16849_Národný plán zalesňovania, obnova</w:t>
            </w:r>
            <w:r w:rsidR="00AB26B3" w:rsidRPr="00AB26B3">
              <w:rPr>
                <w:noProof/>
                <w:spacing w:val="-6"/>
                <w:lang w:val="sk-SK"/>
              </w:rPr>
              <w:t xml:space="preserve"> a </w:t>
            </w:r>
            <w:r w:rsidRPr="00AB26B3">
              <w:rPr>
                <w:noProof/>
                <w:spacing w:val="-6"/>
                <w:lang w:val="sk-SK"/>
              </w:rPr>
              <w:t>prevencia („antiNERO“), opatrenia proti erózii</w:t>
            </w:r>
            <w:r w:rsidR="00AB26B3" w:rsidRPr="00AB26B3">
              <w:rPr>
                <w:noProof/>
                <w:spacing w:val="-6"/>
                <w:lang w:val="sk-SK"/>
              </w:rPr>
              <w:t xml:space="preserve"> a </w:t>
            </w:r>
            <w:r w:rsidRPr="00AB26B3">
              <w:rPr>
                <w:noProof/>
                <w:spacing w:val="-6"/>
                <w:lang w:val="sk-SK"/>
              </w:rPr>
              <w:t>protipovodňová ochrana</w:t>
            </w:r>
          </w:p>
        </w:tc>
        <w:tc>
          <w:tcPr>
            <w:tcW w:w="1680" w:type="dxa"/>
            <w:tcBorders>
              <w:top w:val="nil"/>
              <w:left w:val="nil"/>
              <w:bottom w:val="single" w:sz="4" w:space="0" w:color="auto"/>
              <w:right w:val="single" w:sz="4" w:space="0" w:color="auto"/>
            </w:tcBorders>
            <w:shd w:val="clear" w:color="auto" w:fill="C6EFCE"/>
            <w:noWrap/>
            <w:vAlign w:val="center"/>
            <w:hideMark/>
          </w:tcPr>
          <w:p w14:paraId="5E1F5DF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4647E41" w14:textId="2D56A25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Opätovné zalesňovanie, obnova</w:t>
            </w:r>
            <w:r w:rsidR="00AB26B3" w:rsidRPr="00AB26B3">
              <w:rPr>
                <w:noProof/>
                <w:spacing w:val="-6"/>
                <w:lang w:val="sk-SK"/>
              </w:rPr>
              <w:t xml:space="preserve"> a </w:t>
            </w:r>
            <w:r w:rsidRPr="00AB26B3">
              <w:rPr>
                <w:noProof/>
                <w:spacing w:val="-6"/>
                <w:lang w:val="sk-SK"/>
              </w:rPr>
              <w:t>prevencia – vykonávanie</w:t>
            </w:r>
          </w:p>
        </w:tc>
      </w:tr>
      <w:tr w:rsidR="00302FC1" w:rsidRPr="00AB26B3" w14:paraId="093EF94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8C8965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64</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23BFF5C" w14:textId="59B12A2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16851_Ochrana biodiverzity ako hnacia sila udržateľného rastu</w:t>
            </w:r>
          </w:p>
        </w:tc>
        <w:tc>
          <w:tcPr>
            <w:tcW w:w="1680" w:type="dxa"/>
            <w:tcBorders>
              <w:top w:val="nil"/>
              <w:left w:val="nil"/>
              <w:bottom w:val="single" w:sz="4" w:space="0" w:color="auto"/>
              <w:right w:val="single" w:sz="4" w:space="0" w:color="auto"/>
            </w:tcBorders>
            <w:shd w:val="clear" w:color="auto" w:fill="C6EFCE"/>
            <w:noWrap/>
            <w:vAlign w:val="center"/>
            <w:hideMark/>
          </w:tcPr>
          <w:p w14:paraId="02C06D6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2B30C69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Biodiverzita</w:t>
            </w:r>
          </w:p>
        </w:tc>
      </w:tr>
      <w:tr w:rsidR="00302FC1" w:rsidRPr="00AB26B3" w14:paraId="41D23E3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FEDFDA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73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8288F82" w14:textId="2B975AA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16846_ Infraštruktúra nakladania</w:t>
            </w:r>
            <w:r w:rsidR="00AB26B3" w:rsidRPr="00AB26B3">
              <w:rPr>
                <w:noProof/>
                <w:spacing w:val="-6"/>
                <w:lang w:val="sk-SK"/>
              </w:rPr>
              <w:t xml:space="preserve"> s </w:t>
            </w:r>
            <w:r w:rsidRPr="00AB26B3">
              <w:rPr>
                <w:noProof/>
                <w:spacing w:val="-6"/>
                <w:lang w:val="sk-SK"/>
              </w:rPr>
              <w:t>komunálnymi odpadovými vodami</w:t>
            </w:r>
            <w:r w:rsidR="00AB26B3" w:rsidRPr="00AB26B3">
              <w:rPr>
                <w:noProof/>
                <w:spacing w:val="-6"/>
                <w:lang w:val="sk-SK"/>
              </w:rPr>
              <w:t xml:space="preserve"> a </w:t>
            </w:r>
            <w:r w:rsidRPr="00AB26B3">
              <w:rPr>
                <w:noProof/>
                <w:spacing w:val="-6"/>
                <w:lang w:val="sk-SK"/>
              </w:rPr>
              <w:t>kalmi</w:t>
            </w:r>
            <w:r w:rsidR="00AB26B3" w:rsidRPr="00AB26B3">
              <w:rPr>
                <w:noProof/>
                <w:spacing w:val="-6"/>
                <w:lang w:val="sk-SK"/>
              </w:rPr>
              <w:t xml:space="preserve"> z </w:t>
            </w:r>
            <w:r w:rsidRPr="00AB26B3">
              <w:rPr>
                <w:noProof/>
                <w:spacing w:val="-6"/>
                <w:lang w:val="sk-SK"/>
              </w:rPr>
              <w:t>čistenia odpadových vôd</w:t>
            </w:r>
          </w:p>
        </w:tc>
        <w:tc>
          <w:tcPr>
            <w:tcW w:w="1680" w:type="dxa"/>
            <w:tcBorders>
              <w:top w:val="nil"/>
              <w:left w:val="nil"/>
              <w:bottom w:val="single" w:sz="4" w:space="0" w:color="auto"/>
              <w:right w:val="single" w:sz="4" w:space="0" w:color="auto"/>
            </w:tcBorders>
            <w:shd w:val="clear" w:color="auto" w:fill="C6EFCE"/>
            <w:noWrap/>
            <w:vAlign w:val="center"/>
            <w:hideMark/>
          </w:tcPr>
          <w:p w14:paraId="471675F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3B99692" w14:textId="476FBBD2"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Výstavba projektov infraštruktúry na nakladanie</w:t>
            </w:r>
            <w:r w:rsidR="00AB26B3" w:rsidRPr="00AB26B3">
              <w:rPr>
                <w:noProof/>
                <w:spacing w:val="-6"/>
                <w:lang w:val="sk-SK"/>
              </w:rPr>
              <w:t xml:space="preserve"> s </w:t>
            </w:r>
            <w:r w:rsidRPr="00AB26B3">
              <w:rPr>
                <w:noProof/>
                <w:spacing w:val="-6"/>
                <w:lang w:val="sk-SK"/>
              </w:rPr>
              <w:t>komunálnymi odpadovými vodami</w:t>
            </w:r>
            <w:r w:rsidR="00AB26B3" w:rsidRPr="00AB26B3">
              <w:rPr>
                <w:noProof/>
                <w:spacing w:val="-6"/>
                <w:lang w:val="sk-SK"/>
              </w:rPr>
              <w:t xml:space="preserve"> a </w:t>
            </w:r>
            <w:r w:rsidRPr="00AB26B3">
              <w:rPr>
                <w:noProof/>
                <w:spacing w:val="-6"/>
                <w:lang w:val="sk-SK"/>
              </w:rPr>
              <w:t>kalmi</w:t>
            </w:r>
          </w:p>
        </w:tc>
      </w:tr>
      <w:tr w:rsidR="00302FC1" w:rsidRPr="00AB26B3" w14:paraId="0D0A67AB"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9A8F83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74</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247B0C6" w14:textId="7C3ECAD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16850_Infraštruktúra zásobovania pitnou vodou</w:t>
            </w:r>
            <w:r w:rsidR="00AB26B3" w:rsidRPr="00AB26B3">
              <w:rPr>
                <w:noProof/>
                <w:spacing w:val="-6"/>
                <w:lang w:val="sk-SK"/>
              </w:rPr>
              <w:t xml:space="preserve"> a </w:t>
            </w:r>
            <w:r w:rsidRPr="00AB26B3">
              <w:rPr>
                <w:noProof/>
                <w:spacing w:val="-6"/>
                <w:lang w:val="sk-SK"/>
              </w:rPr>
              <w:t>úspora vody</w:t>
            </w:r>
          </w:p>
        </w:tc>
        <w:tc>
          <w:tcPr>
            <w:tcW w:w="1680" w:type="dxa"/>
            <w:tcBorders>
              <w:top w:val="nil"/>
              <w:left w:val="nil"/>
              <w:bottom w:val="single" w:sz="4" w:space="0" w:color="auto"/>
              <w:right w:val="single" w:sz="4" w:space="0" w:color="auto"/>
            </w:tcBorders>
            <w:shd w:val="clear" w:color="auto" w:fill="C6EFCE"/>
            <w:noWrap/>
            <w:vAlign w:val="center"/>
            <w:hideMark/>
          </w:tcPr>
          <w:p w14:paraId="33555E6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D130096" w14:textId="009A4CE8"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Vykonané projekty vodohospodárskej infraštruktúry</w:t>
            </w:r>
          </w:p>
        </w:tc>
      </w:tr>
      <w:tr w:rsidR="00302FC1" w:rsidRPr="00AB26B3" w14:paraId="6A50B8ED"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37B142" w14:textId="77777777"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 xml:space="preserve"> 81</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A981C46" w14:textId="183B858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16910_Riadenie</w:t>
            </w:r>
            <w:r w:rsidR="00AB26B3" w:rsidRPr="00AB26B3">
              <w:rPr>
                <w:noProof/>
                <w:spacing w:val="-6"/>
                <w:lang w:val="sk-SK"/>
              </w:rPr>
              <w:t xml:space="preserve"> a </w:t>
            </w:r>
            <w:r w:rsidRPr="00AB26B3">
              <w:rPr>
                <w:noProof/>
                <w:spacing w:val="-6"/>
                <w:lang w:val="sk-SK"/>
              </w:rPr>
              <w:t>monitorovanie civilnej ochrany</w:t>
            </w:r>
          </w:p>
        </w:tc>
        <w:tc>
          <w:tcPr>
            <w:tcW w:w="1680" w:type="dxa"/>
            <w:tcBorders>
              <w:top w:val="nil"/>
              <w:left w:val="nil"/>
              <w:bottom w:val="single" w:sz="4" w:space="0" w:color="auto"/>
              <w:right w:val="single" w:sz="4" w:space="0" w:color="auto"/>
            </w:tcBorders>
            <w:shd w:val="clear" w:color="auto" w:fill="C6EFCE"/>
            <w:noWrap/>
            <w:vAlign w:val="center"/>
            <w:hideMark/>
          </w:tcPr>
          <w:p w14:paraId="6881877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C36B87F" w14:textId="2214A89E"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Ukončenie riadenia</w:t>
            </w:r>
            <w:r w:rsidR="00AB26B3" w:rsidRPr="00AB26B3">
              <w:rPr>
                <w:noProof/>
                <w:spacing w:val="-6"/>
                <w:lang w:val="sk-SK"/>
              </w:rPr>
              <w:t xml:space="preserve"> a </w:t>
            </w:r>
            <w:r w:rsidRPr="00AB26B3">
              <w:rPr>
                <w:noProof/>
                <w:spacing w:val="-6"/>
                <w:lang w:val="sk-SK"/>
              </w:rPr>
              <w:t>monitorovania civilnej ochrany</w:t>
            </w:r>
          </w:p>
        </w:tc>
      </w:tr>
      <w:tr w:rsidR="00302FC1" w:rsidRPr="00AB26B3" w14:paraId="7F0010C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5D33F4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82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43059B3" w14:textId="3801E9C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16911_Letecké prostriedky krízového riadenia</w:t>
            </w:r>
          </w:p>
        </w:tc>
        <w:tc>
          <w:tcPr>
            <w:tcW w:w="1680" w:type="dxa"/>
            <w:tcBorders>
              <w:top w:val="nil"/>
              <w:left w:val="nil"/>
              <w:bottom w:val="single" w:sz="4" w:space="0" w:color="auto"/>
              <w:right w:val="single" w:sz="4" w:space="0" w:color="auto"/>
            </w:tcBorders>
            <w:shd w:val="clear" w:color="auto" w:fill="C6EFCE"/>
            <w:noWrap/>
            <w:vAlign w:val="center"/>
            <w:hideMark/>
          </w:tcPr>
          <w:p w14:paraId="4DEDCAA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3683F2A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Dokončenie projektu leteckých prostriedkov na krízové riadenie</w:t>
            </w:r>
          </w:p>
        </w:tc>
      </w:tr>
      <w:tr w:rsidR="00302FC1" w:rsidRPr="00AB26B3" w14:paraId="1935527F"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08FCF7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83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8182010" w14:textId="25F1297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16912_Zariadenie na hasenie požiarov, prevenciu</w:t>
            </w:r>
            <w:r w:rsidR="00AB26B3" w:rsidRPr="00AB26B3">
              <w:rPr>
                <w:noProof/>
                <w:spacing w:val="-6"/>
                <w:lang w:val="sk-SK"/>
              </w:rPr>
              <w:t xml:space="preserve"> a </w:t>
            </w:r>
            <w:r w:rsidRPr="00AB26B3">
              <w:rPr>
                <w:noProof/>
                <w:spacing w:val="-6"/>
                <w:lang w:val="sk-SK"/>
              </w:rPr>
              <w:t>reakciu</w:t>
            </w:r>
          </w:p>
        </w:tc>
        <w:tc>
          <w:tcPr>
            <w:tcW w:w="1680" w:type="dxa"/>
            <w:tcBorders>
              <w:top w:val="nil"/>
              <w:left w:val="nil"/>
              <w:bottom w:val="single" w:sz="4" w:space="0" w:color="auto"/>
              <w:right w:val="single" w:sz="4" w:space="0" w:color="auto"/>
            </w:tcBorders>
            <w:shd w:val="clear" w:color="auto" w:fill="C6EFCE"/>
            <w:noWrap/>
            <w:vAlign w:val="center"/>
            <w:hideMark/>
          </w:tcPr>
          <w:p w14:paraId="0092F95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2174CEF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Dokončenie vybavenia na boj proti lesom</w:t>
            </w:r>
          </w:p>
        </w:tc>
      </w:tr>
      <w:tr w:rsidR="00302FC1" w:rsidRPr="00AB26B3" w14:paraId="715361A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tcPr>
          <w:p w14:paraId="46241A68" w14:textId="0CF31874" w:rsidR="00302FC1" w:rsidRPr="00AB26B3" w:rsidRDefault="00D64F26">
            <w:pPr>
              <w:pStyle w:val="P68B1DB1-Normal11"/>
              <w:spacing w:line="240" w:lineRule="auto"/>
              <w:jc w:val="both"/>
              <w:rPr>
                <w:noProof/>
                <w:spacing w:val="-6"/>
                <w:lang w:val="sk-SK"/>
              </w:rPr>
            </w:pPr>
            <w:r w:rsidRPr="00AB26B3">
              <w:rPr>
                <w:noProof/>
                <w:spacing w:val="-6"/>
                <w:lang w:val="sk-SK"/>
              </w:rPr>
              <w:t>316</w:t>
            </w:r>
          </w:p>
        </w:tc>
        <w:tc>
          <w:tcPr>
            <w:tcW w:w="5581" w:type="dxa"/>
            <w:gridSpan w:val="2"/>
            <w:tcBorders>
              <w:top w:val="nil"/>
              <w:left w:val="single" w:sz="4" w:space="0" w:color="auto"/>
              <w:bottom w:val="single" w:sz="4" w:space="0" w:color="auto"/>
              <w:right w:val="single" w:sz="4" w:space="0" w:color="auto"/>
            </w:tcBorders>
            <w:shd w:val="clear" w:color="auto" w:fill="C6EFCE"/>
            <w:noWrap/>
          </w:tcPr>
          <w:p w14:paraId="7215DDF2" w14:textId="512BA903" w:rsidR="00302FC1" w:rsidRPr="00AB26B3" w:rsidRDefault="00D64F26">
            <w:pPr>
              <w:pStyle w:val="P68B1DB1-Normal52"/>
              <w:spacing w:line="240" w:lineRule="auto"/>
              <w:jc w:val="both"/>
              <w:rPr>
                <w:noProof/>
                <w:spacing w:val="-6"/>
                <w:lang w:val="sk-SK"/>
              </w:rPr>
            </w:pPr>
            <w:r w:rsidRPr="00AB26B3">
              <w:rPr>
                <w:noProof/>
                <w:spacing w:val="-6"/>
                <w:lang w:val="sk-SK"/>
              </w:rPr>
              <w:t>4 – 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16285_ Národná vodohospodárska stratégia</w:t>
            </w:r>
          </w:p>
        </w:tc>
        <w:tc>
          <w:tcPr>
            <w:tcW w:w="1680" w:type="dxa"/>
            <w:tcBorders>
              <w:top w:val="nil"/>
              <w:left w:val="nil"/>
              <w:bottom w:val="single" w:sz="4" w:space="0" w:color="auto"/>
              <w:right w:val="single" w:sz="4" w:space="0" w:color="auto"/>
            </w:tcBorders>
            <w:shd w:val="clear" w:color="auto" w:fill="C6EFCE"/>
            <w:noWrap/>
          </w:tcPr>
          <w:p w14:paraId="4BF088C5" w14:textId="79A32299" w:rsidR="00302FC1" w:rsidRPr="00AB26B3" w:rsidRDefault="00D64F26">
            <w:pPr>
              <w:pStyle w:val="P68B1DB1-Normal52"/>
              <w:spacing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tcPr>
          <w:p w14:paraId="65BBD125" w14:textId="768D86CD" w:rsidR="00302FC1" w:rsidRPr="00AB26B3" w:rsidRDefault="00D64F26">
            <w:pPr>
              <w:pStyle w:val="P68B1DB1-Normal52"/>
              <w:spacing w:line="240" w:lineRule="auto"/>
              <w:jc w:val="both"/>
              <w:rPr>
                <w:noProof/>
                <w:spacing w:val="-6"/>
                <w:lang w:val="sk-SK"/>
              </w:rPr>
            </w:pPr>
            <w:r w:rsidRPr="00AB26B3">
              <w:rPr>
                <w:noProof/>
                <w:spacing w:val="-6"/>
                <w:lang w:val="sk-SK"/>
              </w:rPr>
              <w:t>Národná vodohospodárska stratégia</w:t>
            </w:r>
            <w:r w:rsidR="00AB26B3" w:rsidRPr="00AB26B3">
              <w:rPr>
                <w:noProof/>
                <w:spacing w:val="-6"/>
                <w:lang w:val="sk-SK"/>
              </w:rPr>
              <w:t xml:space="preserve"> a </w:t>
            </w:r>
            <w:r w:rsidRPr="00AB26B3">
              <w:rPr>
                <w:noProof/>
                <w:spacing w:val="-6"/>
                <w:lang w:val="sk-SK"/>
              </w:rPr>
              <w:t>rozšírenie zodpovednosti dvoch vodohospodárskych podnikov</w:t>
            </w:r>
          </w:p>
        </w:tc>
      </w:tr>
      <w:tr w:rsidR="00302FC1" w:rsidRPr="00AB26B3" w14:paraId="56F2E2D5"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DAA92EA" w14:textId="4BEC8D3A" w:rsidR="00302FC1" w:rsidRPr="00AB26B3" w:rsidRDefault="00D64F26">
            <w:pPr>
              <w:pStyle w:val="P68B1DB1-Normal52"/>
              <w:spacing w:line="240" w:lineRule="auto"/>
              <w:jc w:val="both"/>
              <w:rPr>
                <w:noProof/>
                <w:spacing w:val="-6"/>
                <w:lang w:val="sk-SK"/>
              </w:rPr>
            </w:pPr>
            <w:r w:rsidRPr="00AB26B3">
              <w:rPr>
                <w:noProof/>
                <w:spacing w:val="-6"/>
                <w:lang w:val="sk-SK"/>
              </w:rPr>
              <w:t>386</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3D2E2C1" w14:textId="02B548FA" w:rsidR="00302FC1" w:rsidRPr="00AB26B3" w:rsidRDefault="00D64F26">
            <w:pPr>
              <w:pStyle w:val="P68B1DB1-Normal52"/>
              <w:spacing w:line="240" w:lineRule="auto"/>
              <w:jc w:val="both"/>
              <w:rPr>
                <w:noProof/>
                <w:spacing w:val="-6"/>
                <w:lang w:val="sk-SK"/>
              </w:rPr>
            </w:pPr>
            <w:r w:rsidRPr="00AB26B3">
              <w:rPr>
                <w:noProof/>
                <w:spacing w:val="-6"/>
                <w:lang w:val="sk-SK"/>
              </w:rPr>
              <w:t>1.4. Udržateľné využívanie zdrojov, odolnosť proti zmene klímy</w:t>
            </w:r>
            <w:r w:rsidR="00AB26B3" w:rsidRPr="00AB26B3">
              <w:rPr>
                <w:noProof/>
                <w:spacing w:val="-6"/>
                <w:lang w:val="sk-SK"/>
              </w:rPr>
              <w:t xml:space="preserve"> a </w:t>
            </w:r>
            <w:r w:rsidRPr="00AB26B3">
              <w:rPr>
                <w:noProof/>
                <w:spacing w:val="-6"/>
                <w:lang w:val="sk-SK"/>
              </w:rPr>
              <w:t>ochrana životného prostredia – 16404_Rozvojový program pre miestnu samosprávu „Antonis Tritsis“</w:t>
            </w:r>
          </w:p>
        </w:tc>
        <w:tc>
          <w:tcPr>
            <w:tcW w:w="1680" w:type="dxa"/>
            <w:tcBorders>
              <w:top w:val="nil"/>
              <w:left w:val="nil"/>
              <w:bottom w:val="single" w:sz="4" w:space="0" w:color="auto"/>
              <w:right w:val="single" w:sz="4" w:space="0" w:color="auto"/>
            </w:tcBorders>
            <w:shd w:val="clear" w:color="auto" w:fill="C6EFCE"/>
            <w:noWrap/>
            <w:vAlign w:val="center"/>
            <w:hideMark/>
          </w:tcPr>
          <w:p w14:paraId="4C51C9BC" w14:textId="77777777" w:rsidR="00302FC1" w:rsidRPr="00AB26B3" w:rsidRDefault="00D64F26">
            <w:pPr>
              <w:pStyle w:val="P68B1DB1-Normal52"/>
              <w:spacing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8B51BA8" w14:textId="38B1C4D2" w:rsidR="00302FC1" w:rsidRPr="00AB26B3" w:rsidRDefault="00D64F26">
            <w:pPr>
              <w:pStyle w:val="P68B1DB1-Normal52"/>
              <w:spacing w:line="240" w:lineRule="auto"/>
              <w:jc w:val="both"/>
              <w:rPr>
                <w:noProof/>
                <w:spacing w:val="-6"/>
                <w:lang w:val="sk-SK"/>
              </w:rPr>
            </w:pPr>
            <w:r w:rsidRPr="00AB26B3">
              <w:rPr>
                <w:noProof/>
                <w:spacing w:val="-6"/>
                <w:lang w:val="sk-SK"/>
              </w:rPr>
              <w:t>Rozvojový program pre miestnu samosprávu „Antonis Tritsis“</w:t>
            </w:r>
          </w:p>
        </w:tc>
      </w:tr>
      <w:tr w:rsidR="00302FC1" w:rsidRPr="00AB26B3" w14:paraId="1AE8EF45"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EF4E75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45AAB0C" w14:textId="6259CCB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 – 2.1. Connect – 16818_Infraštruktúra optických vlákien</w:t>
            </w:r>
            <w:r w:rsidR="00AB26B3" w:rsidRPr="00AB26B3">
              <w:rPr>
                <w:noProof/>
                <w:spacing w:val="-6"/>
                <w:lang w:val="sk-SK"/>
              </w:rPr>
              <w:t xml:space="preserve"> v </w:t>
            </w:r>
            <w:r w:rsidRPr="00AB26B3">
              <w:rPr>
                <w:noProof/>
                <w:spacing w:val="-6"/>
                <w:lang w:val="sk-SK"/>
              </w:rPr>
              <w:t>budovách</w:t>
            </w:r>
          </w:p>
        </w:tc>
        <w:tc>
          <w:tcPr>
            <w:tcW w:w="1680" w:type="dxa"/>
            <w:tcBorders>
              <w:top w:val="nil"/>
              <w:left w:val="nil"/>
              <w:bottom w:val="single" w:sz="4" w:space="0" w:color="auto"/>
              <w:right w:val="single" w:sz="4" w:space="0" w:color="auto"/>
            </w:tcBorders>
            <w:shd w:val="clear" w:color="auto" w:fill="C6EFCE"/>
            <w:noWrap/>
            <w:vAlign w:val="center"/>
            <w:hideMark/>
          </w:tcPr>
          <w:p w14:paraId="3560D40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5EB32D97" w14:textId="45F22D42"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Realizácia projektu „Infraštruktúra optických vlákien</w:t>
            </w:r>
            <w:r w:rsidR="00AB26B3" w:rsidRPr="00AB26B3">
              <w:rPr>
                <w:noProof/>
                <w:spacing w:val="-6"/>
                <w:lang w:val="sk-SK"/>
              </w:rPr>
              <w:t xml:space="preserve"> v </w:t>
            </w:r>
            <w:r w:rsidRPr="00AB26B3">
              <w:rPr>
                <w:noProof/>
                <w:spacing w:val="-6"/>
                <w:lang w:val="sk-SK"/>
              </w:rPr>
              <w:t>budovách“</w:t>
            </w:r>
          </w:p>
        </w:tc>
      </w:tr>
      <w:tr w:rsidR="00302FC1" w:rsidRPr="00AB26B3" w14:paraId="58A1404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2FF5B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4BF3656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 – 2.1. Connect – 16855_malé satelity</w:t>
            </w:r>
          </w:p>
        </w:tc>
        <w:tc>
          <w:tcPr>
            <w:tcW w:w="1680" w:type="dxa"/>
            <w:tcBorders>
              <w:top w:val="nil"/>
              <w:left w:val="nil"/>
              <w:bottom w:val="single" w:sz="4" w:space="0" w:color="auto"/>
              <w:right w:val="single" w:sz="4" w:space="0" w:color="auto"/>
            </w:tcBorders>
            <w:shd w:val="clear" w:color="auto" w:fill="C6EFCE"/>
            <w:noWrap/>
            <w:vAlign w:val="center"/>
            <w:hideMark/>
          </w:tcPr>
          <w:p w14:paraId="5385B8C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C0E38A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Realizácia projektu „malé satelity“ </w:t>
            </w:r>
          </w:p>
        </w:tc>
      </w:tr>
      <w:tr w:rsidR="00302FC1" w:rsidRPr="00AB26B3" w14:paraId="7BA3B40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D2ADDA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95</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086E414" w14:textId="1DF9948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6 – 2.2. Modernizácia – 16778_Digitalizácia archívov</w:t>
            </w:r>
            <w:r w:rsidR="00AB26B3" w:rsidRPr="00AB26B3">
              <w:rPr>
                <w:noProof/>
                <w:spacing w:val="-6"/>
                <w:lang w:val="sk-SK"/>
              </w:rPr>
              <w:t xml:space="preserve"> a </w:t>
            </w:r>
            <w:r w:rsidRPr="00AB26B3">
              <w:rPr>
                <w:noProof/>
                <w:spacing w:val="-6"/>
                <w:lang w:val="sk-SK"/>
              </w:rPr>
              <w:t>súvisiacich služieb</w:t>
            </w:r>
          </w:p>
        </w:tc>
        <w:tc>
          <w:tcPr>
            <w:tcW w:w="1680" w:type="dxa"/>
            <w:tcBorders>
              <w:top w:val="nil"/>
              <w:left w:val="nil"/>
              <w:bottom w:val="single" w:sz="4" w:space="0" w:color="auto"/>
              <w:right w:val="single" w:sz="4" w:space="0" w:color="auto"/>
            </w:tcBorders>
            <w:shd w:val="clear" w:color="auto" w:fill="C6EFCE"/>
            <w:noWrap/>
            <w:vAlign w:val="center"/>
            <w:hideMark/>
          </w:tcPr>
          <w:p w14:paraId="41E8AFE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6B011B3" w14:textId="5C1C0212"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Digitalizácia archívov</w:t>
            </w:r>
          </w:p>
        </w:tc>
      </w:tr>
      <w:tr w:rsidR="00302FC1" w:rsidRPr="00AB26B3" w14:paraId="4C8203F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23E4CA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B0E9F78" w14:textId="3B94AE8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6 – 2.2. Modernizujme – 16929_Smerom</w:t>
            </w:r>
            <w:r w:rsidR="00AB26B3" w:rsidRPr="00AB26B3">
              <w:rPr>
                <w:noProof/>
                <w:spacing w:val="-6"/>
                <w:lang w:val="sk-SK"/>
              </w:rPr>
              <w:t xml:space="preserve"> k </w:t>
            </w:r>
            <w:r w:rsidRPr="00AB26B3">
              <w:rPr>
                <w:noProof/>
                <w:spacing w:val="-6"/>
                <w:lang w:val="sk-SK"/>
              </w:rPr>
              <w:t>službám verejnej správy orientovaným na „zákazníkov“ prostredníctvom zjednodušenia</w:t>
            </w:r>
            <w:r w:rsidR="00AB26B3" w:rsidRPr="00AB26B3">
              <w:rPr>
                <w:noProof/>
                <w:spacing w:val="-6"/>
                <w:lang w:val="sk-SK"/>
              </w:rPr>
              <w:t xml:space="preserve"> a </w:t>
            </w:r>
            <w:r w:rsidRPr="00AB26B3">
              <w:rPr>
                <w:noProof/>
                <w:spacing w:val="-6"/>
                <w:lang w:val="sk-SK"/>
              </w:rPr>
              <w:t>zlepšenia procesov, zlepšenia systémov</w:t>
            </w:r>
            <w:r w:rsidR="00AB26B3" w:rsidRPr="00AB26B3">
              <w:rPr>
                <w:noProof/>
                <w:spacing w:val="-6"/>
                <w:lang w:val="sk-SK"/>
              </w:rPr>
              <w:t xml:space="preserve"> a </w:t>
            </w:r>
            <w:r w:rsidRPr="00AB26B3">
              <w:rPr>
                <w:noProof/>
                <w:spacing w:val="-6"/>
                <w:lang w:val="sk-SK"/>
              </w:rPr>
              <w:t>súladu</w:t>
            </w:r>
            <w:r w:rsidR="00AB26B3" w:rsidRPr="00AB26B3">
              <w:rPr>
                <w:noProof/>
                <w:spacing w:val="-6"/>
                <w:lang w:val="sk-SK"/>
              </w:rPr>
              <w:t xml:space="preserve"> s </w:t>
            </w:r>
            <w:r w:rsidRPr="00AB26B3">
              <w:rPr>
                <w:noProof/>
                <w:spacing w:val="-6"/>
                <w:lang w:val="sk-SK"/>
              </w:rPr>
              <w:t>európskymi stratégiami</w:t>
            </w:r>
            <w:r w:rsidR="00AB26B3" w:rsidRPr="00AB26B3">
              <w:rPr>
                <w:noProof/>
                <w:spacing w:val="-6"/>
                <w:lang w:val="sk-SK"/>
              </w:rPr>
              <w:t xml:space="preserve"> a </w:t>
            </w:r>
            <w:r w:rsidRPr="00AB26B3">
              <w:rPr>
                <w:noProof/>
                <w:spacing w:val="-6"/>
                <w:lang w:val="sk-SK"/>
              </w:rPr>
              <w:t>politikami</w:t>
            </w:r>
          </w:p>
        </w:tc>
        <w:tc>
          <w:tcPr>
            <w:tcW w:w="1680" w:type="dxa"/>
            <w:tcBorders>
              <w:top w:val="nil"/>
              <w:left w:val="nil"/>
              <w:bottom w:val="single" w:sz="4" w:space="0" w:color="auto"/>
              <w:right w:val="single" w:sz="4" w:space="0" w:color="auto"/>
            </w:tcBorders>
            <w:shd w:val="clear" w:color="auto" w:fill="C6EFCE"/>
            <w:noWrap/>
            <w:vAlign w:val="center"/>
            <w:hideMark/>
          </w:tcPr>
          <w:p w14:paraId="3B08966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37F0F7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Zníženie administratívnej záťaže vo verejnej správe</w:t>
            </w:r>
          </w:p>
        </w:tc>
      </w:tr>
      <w:tr w:rsidR="00302FC1" w:rsidRPr="00AB26B3" w14:paraId="6C87B2BC" w14:textId="77777777">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DF784B"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108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4216B35B" w14:textId="48C04EA3"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6 – 2.2. Modernizujme – 16779_Webové služby</w:t>
            </w:r>
            <w:r w:rsidR="00AB26B3" w:rsidRPr="00AB26B3">
              <w:rPr>
                <w:noProof/>
                <w:spacing w:val="-6"/>
                <w:lang w:val="sk-SK"/>
              </w:rPr>
              <w:t xml:space="preserve"> a </w:t>
            </w:r>
            <w:r w:rsidRPr="00AB26B3">
              <w:rPr>
                <w:noProof/>
                <w:spacing w:val="-6"/>
                <w:lang w:val="sk-SK"/>
              </w:rPr>
              <w:t>Centrum interoperability novej generácie (KED)</w:t>
            </w:r>
          </w:p>
        </w:tc>
        <w:tc>
          <w:tcPr>
            <w:tcW w:w="1680" w:type="dxa"/>
            <w:tcBorders>
              <w:top w:val="nil"/>
              <w:left w:val="nil"/>
              <w:bottom w:val="single" w:sz="4" w:space="0" w:color="auto"/>
              <w:right w:val="single" w:sz="4" w:space="0" w:color="auto"/>
            </w:tcBorders>
            <w:shd w:val="clear" w:color="auto" w:fill="C6EFCE"/>
            <w:noWrap/>
            <w:vAlign w:val="center"/>
          </w:tcPr>
          <w:p w14:paraId="7BEB894A"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5FED6EB" w14:textId="4B12EF9E" w:rsidR="00302FC1" w:rsidRPr="00AB26B3" w:rsidRDefault="00D64F26">
            <w:pPr>
              <w:pStyle w:val="P68B1DB1-Normal15"/>
              <w:keepNext/>
              <w:spacing w:before="40" w:after="0" w:line="240" w:lineRule="auto"/>
              <w:jc w:val="both"/>
              <w:rPr>
                <w:rFonts w:eastAsia="Times New Roman"/>
                <w:noProof/>
                <w:spacing w:val="-6"/>
                <w:lang w:val="sk-SK"/>
              </w:rPr>
            </w:pPr>
            <w:r w:rsidRPr="00AB26B3">
              <w:rPr>
                <w:noProof/>
                <w:spacing w:val="-6"/>
                <w:lang w:val="sk-SK"/>
              </w:rPr>
              <w:t>Poskytovanie webových služieb</w:t>
            </w:r>
            <w:r w:rsidR="00AB26B3" w:rsidRPr="00AB26B3">
              <w:rPr>
                <w:noProof/>
                <w:spacing w:val="-6"/>
                <w:lang w:val="sk-SK"/>
              </w:rPr>
              <w:t xml:space="preserve"> a </w:t>
            </w:r>
            <w:r w:rsidRPr="00AB26B3">
              <w:rPr>
                <w:noProof/>
                <w:spacing w:val="-6"/>
                <w:lang w:val="sk-SK"/>
              </w:rPr>
              <w:t>centrum interoperability novej generácie (KED)</w:t>
            </w:r>
          </w:p>
        </w:tc>
      </w:tr>
      <w:tr w:rsidR="00302FC1" w:rsidRPr="00AB26B3" w14:paraId="2EC3C20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E0CD6F"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110b</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4735EDF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6 – 2.2. Modernizácia – 16780_Modernizácia jednotných kontaktných miest verejnej správy</w:t>
            </w:r>
          </w:p>
        </w:tc>
        <w:tc>
          <w:tcPr>
            <w:tcW w:w="1680" w:type="dxa"/>
            <w:tcBorders>
              <w:top w:val="nil"/>
              <w:left w:val="nil"/>
              <w:bottom w:val="single" w:sz="4" w:space="0" w:color="auto"/>
              <w:right w:val="single" w:sz="4" w:space="0" w:color="auto"/>
            </w:tcBorders>
            <w:shd w:val="clear" w:color="auto" w:fill="C6EFCE"/>
            <w:noWrap/>
            <w:vAlign w:val="center"/>
          </w:tcPr>
          <w:p w14:paraId="7AF72A57"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77205758" w14:textId="1F0BAF6E"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Renovácia jednotných kontaktných miest verejnej správy </w:t>
            </w:r>
          </w:p>
        </w:tc>
      </w:tr>
      <w:tr w:rsidR="00302FC1" w:rsidRPr="00AB26B3" w14:paraId="3BA33165"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6F7788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ED6F7A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16736_Nový systém verejného obstarávania</w:t>
            </w:r>
          </w:p>
        </w:tc>
        <w:tc>
          <w:tcPr>
            <w:tcW w:w="1680" w:type="dxa"/>
            <w:tcBorders>
              <w:top w:val="nil"/>
              <w:left w:val="nil"/>
              <w:bottom w:val="single" w:sz="4" w:space="0" w:color="auto"/>
              <w:right w:val="single" w:sz="4" w:space="0" w:color="auto"/>
            </w:tcBorders>
            <w:shd w:val="clear" w:color="auto" w:fill="C6EFCE"/>
            <w:noWrap/>
            <w:vAlign w:val="center"/>
            <w:hideMark/>
          </w:tcPr>
          <w:p w14:paraId="17E6C49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B118EE2" w14:textId="67B2FD2F"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Zavedenie nového systému verejného obstarávania</w:t>
            </w:r>
          </w:p>
        </w:tc>
      </w:tr>
      <w:tr w:rsidR="00302FC1" w:rsidRPr="00AB26B3" w14:paraId="6B6765A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EAAB97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69B13C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Modernizácia – 16824_ERegistries</w:t>
            </w:r>
          </w:p>
        </w:tc>
        <w:tc>
          <w:tcPr>
            <w:tcW w:w="1680" w:type="dxa"/>
            <w:tcBorders>
              <w:top w:val="nil"/>
              <w:left w:val="nil"/>
              <w:bottom w:val="single" w:sz="4" w:space="0" w:color="auto"/>
              <w:right w:val="single" w:sz="4" w:space="0" w:color="auto"/>
            </w:tcBorders>
            <w:shd w:val="clear" w:color="auto" w:fill="C6EFCE"/>
            <w:noWrap/>
            <w:vAlign w:val="center"/>
            <w:hideMark/>
          </w:tcPr>
          <w:p w14:paraId="3651AC0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6425FF0" w14:textId="114B43D4"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Realizácia projektu ERegistries </w:t>
            </w:r>
          </w:p>
        </w:tc>
      </w:tr>
      <w:tr w:rsidR="00302FC1" w:rsidRPr="00AB26B3" w14:paraId="062FCE5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8B2E3F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1E0A57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16854_Inteligentné mestá</w:t>
            </w:r>
          </w:p>
        </w:tc>
        <w:tc>
          <w:tcPr>
            <w:tcW w:w="1680" w:type="dxa"/>
            <w:tcBorders>
              <w:top w:val="nil"/>
              <w:left w:val="nil"/>
              <w:bottom w:val="single" w:sz="4" w:space="0" w:color="auto"/>
              <w:right w:val="single" w:sz="4" w:space="0" w:color="auto"/>
            </w:tcBorders>
            <w:shd w:val="clear" w:color="auto" w:fill="C6EFCE"/>
            <w:noWrap/>
            <w:vAlign w:val="center"/>
            <w:hideMark/>
          </w:tcPr>
          <w:p w14:paraId="2239AB1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1966574C" w14:textId="287CE8A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Realizácia projektov „inteligentných miest“</w:t>
            </w:r>
          </w:p>
        </w:tc>
      </w:tr>
      <w:tr w:rsidR="00302FC1" w:rsidRPr="00AB26B3" w14:paraId="3A6556E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30B76E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124</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9DD8EEE" w14:textId="3A98842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Modernizácia – 16928_Začlenenie nových technológií</w:t>
            </w:r>
            <w:r w:rsidR="00AB26B3" w:rsidRPr="00AB26B3">
              <w:rPr>
                <w:noProof/>
                <w:spacing w:val="-6"/>
                <w:lang w:val="sk-SK"/>
              </w:rPr>
              <w:t xml:space="preserve"> a </w:t>
            </w:r>
            <w:r w:rsidRPr="00AB26B3">
              <w:rPr>
                <w:noProof/>
                <w:spacing w:val="-6"/>
                <w:lang w:val="sk-SK"/>
              </w:rPr>
              <w:t>trendov smerom</w:t>
            </w:r>
            <w:r w:rsidR="00AB26B3" w:rsidRPr="00AB26B3">
              <w:rPr>
                <w:noProof/>
                <w:spacing w:val="-6"/>
                <w:lang w:val="sk-SK"/>
              </w:rPr>
              <w:t xml:space="preserve"> k </w:t>
            </w:r>
            <w:r w:rsidRPr="00AB26B3">
              <w:rPr>
                <w:noProof/>
                <w:spacing w:val="-6"/>
                <w:lang w:val="sk-SK"/>
              </w:rPr>
              <w:t>pokročilým službám verejnej správy, zvýšenie efektívnosti</w:t>
            </w:r>
            <w:r w:rsidR="00AB26B3" w:rsidRPr="00AB26B3">
              <w:rPr>
                <w:noProof/>
                <w:spacing w:val="-6"/>
                <w:lang w:val="sk-SK"/>
              </w:rPr>
              <w:t xml:space="preserve"> a </w:t>
            </w:r>
            <w:r w:rsidRPr="00AB26B3">
              <w:rPr>
                <w:noProof/>
                <w:spacing w:val="-6"/>
                <w:lang w:val="sk-SK"/>
              </w:rPr>
              <w:t>účinnosti</w:t>
            </w:r>
            <w:r w:rsidR="00AB26B3" w:rsidRPr="00AB26B3">
              <w:rPr>
                <w:noProof/>
                <w:spacing w:val="-6"/>
                <w:lang w:val="sk-SK"/>
              </w:rPr>
              <w:t xml:space="preserve"> a </w:t>
            </w:r>
            <w:r w:rsidRPr="00AB26B3">
              <w:rPr>
                <w:noProof/>
                <w:spacing w:val="-6"/>
                <w:lang w:val="sk-SK"/>
              </w:rPr>
              <w:t>zníženie nákladov na prevádzku, modernizáciu</w:t>
            </w:r>
            <w:r w:rsidR="00AB26B3" w:rsidRPr="00AB26B3">
              <w:rPr>
                <w:noProof/>
                <w:spacing w:val="-6"/>
                <w:lang w:val="sk-SK"/>
              </w:rPr>
              <w:t xml:space="preserve"> a </w:t>
            </w:r>
            <w:r w:rsidRPr="00AB26B3">
              <w:rPr>
                <w:noProof/>
                <w:spacing w:val="-6"/>
                <w:lang w:val="sk-SK"/>
              </w:rPr>
              <w:t>údržbu systémov</w:t>
            </w:r>
          </w:p>
        </w:tc>
        <w:tc>
          <w:tcPr>
            <w:tcW w:w="1680" w:type="dxa"/>
            <w:tcBorders>
              <w:top w:val="nil"/>
              <w:left w:val="nil"/>
              <w:bottom w:val="single" w:sz="4" w:space="0" w:color="auto"/>
              <w:right w:val="single" w:sz="4" w:space="0" w:color="auto"/>
            </w:tcBorders>
            <w:shd w:val="clear" w:color="auto" w:fill="C6EFCE"/>
            <w:noWrap/>
            <w:vAlign w:val="center"/>
            <w:hideMark/>
          </w:tcPr>
          <w:p w14:paraId="63C1029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E8E768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Rámec pre začlenenie nových technológií do verejnej správy</w:t>
            </w:r>
          </w:p>
        </w:tc>
      </w:tr>
      <w:tr w:rsidR="00302FC1" w:rsidRPr="00AB26B3" w14:paraId="7AAC7C6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CC2E71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125</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C28C9D4" w14:textId="6E8D027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Modernizácia – 16955_modernizácia cloudovej výpočtovej infraštruktúry</w:t>
            </w:r>
            <w:r w:rsidR="00AB26B3" w:rsidRPr="00AB26B3">
              <w:rPr>
                <w:noProof/>
                <w:spacing w:val="-6"/>
                <w:lang w:val="sk-SK"/>
              </w:rPr>
              <w:t xml:space="preserve"> a </w:t>
            </w:r>
            <w:r w:rsidRPr="00AB26B3">
              <w:rPr>
                <w:noProof/>
                <w:spacing w:val="-6"/>
                <w:lang w:val="sk-SK"/>
              </w:rPr>
              <w:t>služieb národných infraštruktúr pre výskum</w:t>
            </w:r>
            <w:r w:rsidR="00AB26B3" w:rsidRPr="00AB26B3">
              <w:rPr>
                <w:noProof/>
                <w:spacing w:val="-6"/>
                <w:lang w:val="sk-SK"/>
              </w:rPr>
              <w:t xml:space="preserve"> a </w:t>
            </w:r>
            <w:r w:rsidRPr="00AB26B3">
              <w:rPr>
                <w:noProof/>
                <w:spacing w:val="-6"/>
                <w:lang w:val="sk-SK"/>
              </w:rPr>
              <w:t>technológie (GRNET)</w:t>
            </w:r>
          </w:p>
        </w:tc>
        <w:tc>
          <w:tcPr>
            <w:tcW w:w="1680" w:type="dxa"/>
            <w:tcBorders>
              <w:top w:val="nil"/>
              <w:left w:val="nil"/>
              <w:bottom w:val="single" w:sz="4" w:space="0" w:color="auto"/>
              <w:right w:val="single" w:sz="4" w:space="0" w:color="auto"/>
            </w:tcBorders>
            <w:shd w:val="clear" w:color="auto" w:fill="C6EFCE"/>
            <w:noWrap/>
            <w:vAlign w:val="center"/>
            <w:hideMark/>
          </w:tcPr>
          <w:p w14:paraId="03D3ADC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ABD4928" w14:textId="4FB572A4"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GRNET</w:t>
            </w:r>
          </w:p>
        </w:tc>
      </w:tr>
      <w:tr w:rsidR="00302FC1" w:rsidRPr="00AB26B3" w14:paraId="303CCCB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6D2C24" w14:textId="4075A2CF"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125a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24431275" w14:textId="41DE249E"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6 – 2.2. Modernizácia – 16955_modernizácia cloudovej výpočtovej infraštruktúry</w:t>
            </w:r>
            <w:r w:rsidR="00AB26B3" w:rsidRPr="00AB26B3">
              <w:rPr>
                <w:noProof/>
                <w:spacing w:val="-6"/>
                <w:lang w:val="sk-SK"/>
              </w:rPr>
              <w:t xml:space="preserve"> a </w:t>
            </w:r>
            <w:r w:rsidRPr="00AB26B3">
              <w:rPr>
                <w:noProof/>
                <w:spacing w:val="-6"/>
                <w:lang w:val="sk-SK"/>
              </w:rPr>
              <w:t>služieb národných infraštruktúr pre výskum</w:t>
            </w:r>
            <w:r w:rsidR="00AB26B3" w:rsidRPr="00AB26B3">
              <w:rPr>
                <w:noProof/>
                <w:spacing w:val="-6"/>
                <w:lang w:val="sk-SK"/>
              </w:rPr>
              <w:t xml:space="preserve"> a </w:t>
            </w:r>
            <w:r w:rsidRPr="00AB26B3">
              <w:rPr>
                <w:noProof/>
                <w:spacing w:val="-6"/>
                <w:lang w:val="sk-SK"/>
              </w:rPr>
              <w:t>technológie (GRNET)</w:t>
            </w:r>
          </w:p>
        </w:tc>
        <w:tc>
          <w:tcPr>
            <w:tcW w:w="1680" w:type="dxa"/>
            <w:tcBorders>
              <w:top w:val="nil"/>
              <w:left w:val="nil"/>
              <w:bottom w:val="single" w:sz="4" w:space="0" w:color="auto"/>
              <w:right w:val="single" w:sz="4" w:space="0" w:color="auto"/>
            </w:tcBorders>
            <w:shd w:val="clear" w:color="auto" w:fill="C6EFCE"/>
            <w:noWrap/>
            <w:vAlign w:val="center"/>
          </w:tcPr>
          <w:p w14:paraId="3C27E0E1" w14:textId="42D7448C"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60EAF16D" w14:textId="41ACB9B9"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Rozšírenie GRNET</w:t>
            </w:r>
          </w:p>
        </w:tc>
      </w:tr>
      <w:tr w:rsidR="00302FC1" w:rsidRPr="00AB26B3" w14:paraId="2E725D39"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2CE1A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127</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42D93E3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Modernizácia – 16956_Rozšírenie programu Syzefksis II</w:t>
            </w:r>
          </w:p>
        </w:tc>
        <w:tc>
          <w:tcPr>
            <w:tcW w:w="1680" w:type="dxa"/>
            <w:tcBorders>
              <w:top w:val="nil"/>
              <w:left w:val="nil"/>
              <w:bottom w:val="single" w:sz="4" w:space="0" w:color="auto"/>
              <w:right w:val="single" w:sz="4" w:space="0" w:color="auto"/>
            </w:tcBorders>
            <w:shd w:val="clear" w:color="auto" w:fill="C6EFCE"/>
            <w:noWrap/>
            <w:vAlign w:val="center"/>
            <w:hideMark/>
          </w:tcPr>
          <w:p w14:paraId="2333FA6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C1A0D06" w14:textId="0F75C8A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Syzefksis II</w:t>
            </w:r>
          </w:p>
        </w:tc>
      </w:tr>
      <w:tr w:rsidR="00302FC1" w:rsidRPr="00AB26B3" w14:paraId="64F58820"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6F167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4BDCD5D" w14:textId="7826BC0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Modernizujme – 16827_Stratégia</w:t>
            </w:r>
            <w:r w:rsidR="00AB26B3" w:rsidRPr="00AB26B3">
              <w:rPr>
                <w:noProof/>
                <w:spacing w:val="-6"/>
                <w:lang w:val="sk-SK"/>
              </w:rPr>
              <w:t xml:space="preserve"> a </w:t>
            </w:r>
            <w:r w:rsidRPr="00AB26B3">
              <w:rPr>
                <w:noProof/>
                <w:spacing w:val="-6"/>
                <w:lang w:val="sk-SK"/>
              </w:rPr>
              <w:t>politiky správy údajov pre verejný sektor</w:t>
            </w:r>
          </w:p>
        </w:tc>
        <w:tc>
          <w:tcPr>
            <w:tcW w:w="1680" w:type="dxa"/>
            <w:tcBorders>
              <w:top w:val="nil"/>
              <w:left w:val="nil"/>
              <w:bottom w:val="single" w:sz="4" w:space="0" w:color="auto"/>
              <w:right w:val="single" w:sz="4" w:space="0" w:color="auto"/>
            </w:tcBorders>
            <w:shd w:val="clear" w:color="auto" w:fill="C6EFCE"/>
            <w:noWrap/>
            <w:vAlign w:val="center"/>
            <w:hideMark/>
          </w:tcPr>
          <w:p w14:paraId="607C459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A87C0A0" w14:textId="41EF5095" w:rsidR="00302FC1" w:rsidRPr="00AB26B3" w:rsidRDefault="00D64F26">
            <w:pPr>
              <w:pStyle w:val="P68B1DB1-Normal49"/>
              <w:keepNext/>
              <w:spacing w:before="40" w:after="0" w:line="240" w:lineRule="auto"/>
              <w:jc w:val="both"/>
              <w:rPr>
                <w:rFonts w:ascii="Times New Roman" w:hAnsi="Times New Roman" w:cs="Times New Roman"/>
                <w:noProof/>
                <w:color w:val="6D5700"/>
                <w:spacing w:val="-6"/>
                <w:u w:val="single"/>
                <w:lang w:val="sk-SK"/>
              </w:rPr>
            </w:pPr>
            <w:r w:rsidRPr="00AB26B3">
              <w:rPr>
                <w:rFonts w:ascii="Times New Roman" w:hAnsi="Times New Roman"/>
                <w:noProof/>
                <w:spacing w:val="-6"/>
                <w:lang w:val="sk-SK"/>
              </w:rPr>
              <w:t>Uverejnenie stratégie</w:t>
            </w:r>
            <w:r w:rsidRPr="00AB26B3">
              <w:rPr>
                <w:rFonts w:ascii="Times New Roman" w:hAnsi="Times New Roman" w:cs="Times New Roman"/>
                <w:noProof/>
                <w:color w:val="006100"/>
                <w:spacing w:val="-6"/>
                <w:lang w:val="sk-SK"/>
              </w:rPr>
              <w:t xml:space="preserve"> </w:t>
            </w:r>
            <w:r w:rsidRPr="00AB26B3">
              <w:rPr>
                <w:rFonts w:ascii="Times New Roman" w:hAnsi="Times New Roman"/>
                <w:noProof/>
                <w:spacing w:val="-6"/>
                <w:lang w:val="sk-SK"/>
              </w:rPr>
              <w:t>správy cloudových údajov, rámca pre správu verejných údajov, politiky</w:t>
            </w:r>
            <w:r w:rsidR="00AB26B3" w:rsidRPr="00AB26B3">
              <w:rPr>
                <w:rFonts w:ascii="Times New Roman" w:hAnsi="Times New Roman"/>
                <w:noProof/>
                <w:spacing w:val="-6"/>
                <w:lang w:val="sk-SK"/>
              </w:rPr>
              <w:t xml:space="preserve"> v </w:t>
            </w:r>
            <w:r w:rsidRPr="00AB26B3">
              <w:rPr>
                <w:rFonts w:ascii="Times New Roman" w:hAnsi="Times New Roman"/>
                <w:noProof/>
                <w:spacing w:val="-6"/>
                <w:lang w:val="sk-SK"/>
              </w:rPr>
              <w:t>oblasti otvorených</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opätovne použiteľných údajov</w:t>
            </w:r>
          </w:p>
        </w:tc>
      </w:tr>
      <w:tr w:rsidR="00302FC1" w:rsidRPr="00AB26B3" w14:paraId="47240974"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A7410D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1B6BA1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6 – 2.2. Modernizujte – 16842_Central BI – Data Analytics (centrálna základná infraštruktúra – analýza údajov)</w:t>
            </w:r>
          </w:p>
        </w:tc>
        <w:tc>
          <w:tcPr>
            <w:tcW w:w="1680" w:type="dxa"/>
            <w:tcBorders>
              <w:top w:val="nil"/>
              <w:left w:val="nil"/>
              <w:bottom w:val="single" w:sz="4" w:space="0" w:color="auto"/>
              <w:right w:val="single" w:sz="4" w:space="0" w:color="auto"/>
            </w:tcBorders>
            <w:shd w:val="clear" w:color="auto" w:fill="C6EFCE"/>
            <w:noWrap/>
            <w:vAlign w:val="center"/>
            <w:hideMark/>
          </w:tcPr>
          <w:p w14:paraId="2A0D976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675900C" w14:textId="34A0523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Dodanie centrálnej BI</w:t>
            </w:r>
          </w:p>
        </w:tc>
      </w:tr>
      <w:tr w:rsidR="00302FC1" w:rsidRPr="00AB26B3" w14:paraId="1AC7812D"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8B92F6" w14:textId="77777777" w:rsidR="00302FC1" w:rsidRPr="00AB26B3" w:rsidRDefault="00D64F26">
            <w:pPr>
              <w:pStyle w:val="P68B1DB1-Normal11"/>
              <w:spacing w:line="240" w:lineRule="auto"/>
              <w:jc w:val="both"/>
              <w:rPr>
                <w:noProof/>
                <w:spacing w:val="-6"/>
                <w:lang w:val="sk-SK"/>
              </w:rPr>
            </w:pPr>
            <w:r w:rsidRPr="00AB26B3">
              <w:rPr>
                <w:noProof/>
                <w:spacing w:val="-6"/>
                <w:lang w:val="sk-SK"/>
              </w:rPr>
              <w:t>131a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2191CFD2"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7 – 2.3. Digitalizácia podnikov – 16706_Digitálna transformácia MSP</w:t>
            </w:r>
          </w:p>
        </w:tc>
        <w:tc>
          <w:tcPr>
            <w:tcW w:w="1680" w:type="dxa"/>
            <w:tcBorders>
              <w:top w:val="nil"/>
              <w:left w:val="nil"/>
              <w:bottom w:val="single" w:sz="4" w:space="0" w:color="auto"/>
              <w:right w:val="single" w:sz="4" w:space="0" w:color="auto"/>
            </w:tcBorders>
            <w:shd w:val="clear" w:color="auto" w:fill="C6EFCE"/>
            <w:noWrap/>
            <w:vAlign w:val="center"/>
          </w:tcPr>
          <w:p w14:paraId="71DE66B4"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C17092A" w14:textId="7BC12749"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szCs w:val="18"/>
                <w:lang w:val="sk-SK"/>
              </w:rPr>
              <w:t xml:space="preserve">Digitálna transformácia MSP </w:t>
            </w:r>
            <w:r w:rsidRPr="00AB26B3">
              <w:rPr>
                <w:noProof/>
                <w:spacing w:val="-6"/>
                <w:lang w:val="sk-SK"/>
              </w:rPr>
              <w:t>– Výnimka</w:t>
            </w:r>
            <w:r w:rsidR="00AB26B3" w:rsidRPr="00AB26B3">
              <w:rPr>
                <w:noProof/>
                <w:spacing w:val="-6"/>
                <w:lang w:val="sk-SK"/>
              </w:rPr>
              <w:t xml:space="preserve"> z </w:t>
            </w:r>
            <w:r w:rsidRPr="00AB26B3">
              <w:rPr>
                <w:noProof/>
                <w:spacing w:val="-6"/>
                <w:lang w:val="sk-SK"/>
              </w:rPr>
              <w:t xml:space="preserve">investičných projektov pre digitálne produkty </w:t>
            </w:r>
          </w:p>
        </w:tc>
      </w:tr>
      <w:tr w:rsidR="00302FC1" w:rsidRPr="00AB26B3" w14:paraId="0E17B47D"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2B36AF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81C95B2" w14:textId="0F40FF4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16913_Nová stratégia pre celoživotné zručnosti: Modernizácia</w:t>
            </w:r>
            <w:r w:rsidR="00AB26B3" w:rsidRPr="00AB26B3">
              <w:rPr>
                <w:noProof/>
                <w:spacing w:val="-6"/>
                <w:lang w:val="sk-SK"/>
              </w:rPr>
              <w:t xml:space="preserve"> a </w:t>
            </w:r>
            <w:r w:rsidRPr="00AB26B3">
              <w:rPr>
                <w:noProof/>
                <w:spacing w:val="-6"/>
                <w:lang w:val="sk-SK"/>
              </w:rPr>
              <w:t>aktualizácia gréckeho systému zvyšovania úrovne zručností</w:t>
            </w:r>
            <w:r w:rsidR="00AB26B3" w:rsidRPr="00AB26B3">
              <w:rPr>
                <w:noProof/>
                <w:spacing w:val="-6"/>
                <w:lang w:val="sk-SK"/>
              </w:rPr>
              <w:t xml:space="preserve"> a </w:t>
            </w:r>
            <w:r w:rsidRPr="00AB26B3">
              <w:rPr>
                <w:noProof/>
                <w:spacing w:val="-6"/>
                <w:lang w:val="sk-SK"/>
              </w:rPr>
              <w:t>rekvalifikácie</w:t>
            </w:r>
          </w:p>
        </w:tc>
        <w:tc>
          <w:tcPr>
            <w:tcW w:w="1680" w:type="dxa"/>
            <w:tcBorders>
              <w:top w:val="nil"/>
              <w:left w:val="nil"/>
              <w:bottom w:val="single" w:sz="4" w:space="0" w:color="auto"/>
              <w:right w:val="single" w:sz="4" w:space="0" w:color="auto"/>
            </w:tcBorders>
            <w:shd w:val="clear" w:color="auto" w:fill="C6EFCE"/>
            <w:noWrap/>
            <w:vAlign w:val="center"/>
            <w:hideMark/>
          </w:tcPr>
          <w:p w14:paraId="2BA7BE95" w14:textId="6411FC5C"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D4729B4" w14:textId="51B04765"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Programy odbornej prípravy – potvrdzovanie výsledkov vo fáze celoživotného vzdelávania</w:t>
            </w:r>
            <w:r w:rsidR="00AB26B3" w:rsidRPr="00AB26B3">
              <w:rPr>
                <w:noProof/>
                <w:spacing w:val="-6"/>
                <w:lang w:val="sk-SK"/>
              </w:rPr>
              <w:t xml:space="preserve"> a </w:t>
            </w:r>
            <w:r w:rsidRPr="00AB26B3">
              <w:rPr>
                <w:noProof/>
                <w:spacing w:val="-6"/>
                <w:lang w:val="sk-SK"/>
              </w:rPr>
              <w:t>certifikácia nadobudnutých zručností</w:t>
            </w:r>
          </w:p>
        </w:tc>
      </w:tr>
      <w:tr w:rsidR="00302FC1" w:rsidRPr="00AB26B3" w14:paraId="63C3860B"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E73C792"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141a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ABC13A9" w14:textId="1F87C75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16941_Reštrukturalizácia</w:t>
            </w:r>
            <w:r w:rsidR="00AB26B3" w:rsidRPr="00AB26B3">
              <w:rPr>
                <w:noProof/>
                <w:spacing w:val="-6"/>
                <w:lang w:val="sk-SK"/>
              </w:rPr>
              <w:t xml:space="preserve"> a </w:t>
            </w:r>
            <w:r w:rsidRPr="00AB26B3">
              <w:rPr>
                <w:noProof/>
                <w:spacing w:val="-6"/>
                <w:lang w:val="sk-SK"/>
              </w:rPr>
              <w:t>zmena značky miestnych pobočiek DYPA na podporu zamestnanosti (KPA2)</w:t>
            </w:r>
          </w:p>
        </w:tc>
        <w:tc>
          <w:tcPr>
            <w:tcW w:w="1680" w:type="dxa"/>
            <w:tcBorders>
              <w:top w:val="nil"/>
              <w:left w:val="nil"/>
              <w:bottom w:val="single" w:sz="4" w:space="0" w:color="auto"/>
              <w:right w:val="single" w:sz="4" w:space="0" w:color="auto"/>
            </w:tcBorders>
            <w:shd w:val="clear" w:color="auto" w:fill="C6EFCE"/>
            <w:noWrap/>
            <w:vAlign w:val="center"/>
            <w:hideMark/>
          </w:tcPr>
          <w:p w14:paraId="1C4B429E"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E476392" w14:textId="08EABDA0"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Renovácia KPA2</w:t>
            </w:r>
          </w:p>
        </w:tc>
      </w:tr>
      <w:tr w:rsidR="00302FC1" w:rsidRPr="00AB26B3" w14:paraId="0667FA0B"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FA4210"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142b</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41C5597F" w14:textId="430B651B"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16746_Reforma pasívnych politík trhu práce na podporu prechodu do zamestnania</w:t>
            </w:r>
          </w:p>
        </w:tc>
        <w:tc>
          <w:tcPr>
            <w:tcW w:w="1680" w:type="dxa"/>
            <w:tcBorders>
              <w:top w:val="nil"/>
              <w:left w:val="nil"/>
              <w:bottom w:val="single" w:sz="4" w:space="0" w:color="auto"/>
              <w:right w:val="single" w:sz="4" w:space="0" w:color="auto"/>
            </w:tcBorders>
            <w:shd w:val="clear" w:color="auto" w:fill="C6EFCE"/>
            <w:noWrap/>
            <w:vAlign w:val="center"/>
          </w:tcPr>
          <w:p w14:paraId="4B073660"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6EBDE786" w14:textId="58C4C741"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Pilotný projekt týkajúci sa konsolidácie</w:t>
            </w:r>
            <w:r w:rsidR="00AB26B3" w:rsidRPr="00AB26B3">
              <w:rPr>
                <w:noProof/>
                <w:spacing w:val="-6"/>
                <w:lang w:val="sk-SK"/>
              </w:rPr>
              <w:t xml:space="preserve"> a </w:t>
            </w:r>
            <w:r w:rsidRPr="00AB26B3">
              <w:rPr>
                <w:noProof/>
                <w:spacing w:val="-6"/>
                <w:lang w:val="sk-SK"/>
              </w:rPr>
              <w:t>zefektívnenia dávok</w:t>
            </w:r>
            <w:r w:rsidR="00AB26B3" w:rsidRPr="00AB26B3">
              <w:rPr>
                <w:noProof/>
                <w:spacing w:val="-6"/>
                <w:lang w:val="sk-SK"/>
              </w:rPr>
              <w:t xml:space="preserve"> v </w:t>
            </w:r>
            <w:r w:rsidRPr="00AB26B3">
              <w:rPr>
                <w:noProof/>
                <w:spacing w:val="-6"/>
                <w:lang w:val="sk-SK"/>
              </w:rPr>
              <w:t xml:space="preserve">nezamestnanosti  </w:t>
            </w:r>
          </w:p>
        </w:tc>
      </w:tr>
      <w:tr w:rsidR="00302FC1" w:rsidRPr="00AB26B3" w14:paraId="1C605C2D" w14:textId="77777777">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5F92EBB7" w14:textId="441D175E"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134a</w:t>
            </w:r>
          </w:p>
        </w:tc>
        <w:tc>
          <w:tcPr>
            <w:tcW w:w="5581" w:type="dxa"/>
            <w:gridSpan w:val="2"/>
            <w:tcBorders>
              <w:top w:val="nil"/>
              <w:left w:val="single" w:sz="4" w:space="0" w:color="auto"/>
              <w:bottom w:val="single" w:sz="4" w:space="0" w:color="auto"/>
              <w:right w:val="single" w:sz="4" w:space="0" w:color="auto"/>
            </w:tcBorders>
            <w:shd w:val="clear" w:color="auto" w:fill="C6EFCE"/>
            <w:noWrap/>
            <w:hideMark/>
          </w:tcPr>
          <w:p w14:paraId="2269C517" w14:textId="41057858"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8 – 3.1. Podpora vytvárania pracovných miest</w:t>
            </w:r>
            <w:r w:rsidR="00AB26B3" w:rsidRPr="00AB26B3">
              <w:rPr>
                <w:noProof/>
                <w:spacing w:val="-6"/>
                <w:lang w:val="sk-SK"/>
              </w:rPr>
              <w:t xml:space="preserve"> a </w:t>
            </w:r>
            <w:r w:rsidRPr="00AB26B3">
              <w:rPr>
                <w:noProof/>
                <w:spacing w:val="-6"/>
                <w:lang w:val="sk-SK"/>
              </w:rPr>
              <w:t>účasti na trhu práce – 16750_Digitálna transformácia systémov práce</w:t>
            </w:r>
          </w:p>
        </w:tc>
        <w:tc>
          <w:tcPr>
            <w:tcW w:w="1680" w:type="dxa"/>
            <w:tcBorders>
              <w:top w:val="nil"/>
              <w:left w:val="nil"/>
              <w:bottom w:val="single" w:sz="4" w:space="0" w:color="auto"/>
              <w:right w:val="single" w:sz="4" w:space="0" w:color="auto"/>
            </w:tcBorders>
            <w:shd w:val="clear" w:color="auto" w:fill="C6EFCE"/>
            <w:noWrap/>
            <w:hideMark/>
          </w:tcPr>
          <w:p w14:paraId="4EBAD5A0" w14:textId="2B165C39"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70A245E5" w14:textId="16B85960"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Poskytovanie pracovných IT systémov</w:t>
            </w:r>
          </w:p>
        </w:tc>
      </w:tr>
      <w:tr w:rsidR="00302FC1" w:rsidRPr="00AB26B3" w14:paraId="77578745"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7BCF91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145</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7AD0A3F" w14:textId="4F8E2CF0"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 xml:space="preserve">zručnosti – 16794_Posilnenie systému učňovskej prípravy </w:t>
            </w:r>
          </w:p>
        </w:tc>
        <w:tc>
          <w:tcPr>
            <w:tcW w:w="1680" w:type="dxa"/>
            <w:tcBorders>
              <w:top w:val="nil"/>
              <w:left w:val="nil"/>
              <w:bottom w:val="single" w:sz="4" w:space="0" w:color="auto"/>
              <w:right w:val="single" w:sz="4" w:space="0" w:color="auto"/>
            </w:tcBorders>
            <w:shd w:val="clear" w:color="auto" w:fill="C6EFCE"/>
            <w:noWrap/>
            <w:vAlign w:val="center"/>
            <w:hideMark/>
          </w:tcPr>
          <w:p w14:paraId="746F0EBE" w14:textId="3949692E"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3957287" w14:textId="55185981"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Digitalizované kurzy odbornej prípravy</w:t>
            </w:r>
          </w:p>
        </w:tc>
      </w:tr>
      <w:tr w:rsidR="00302FC1" w:rsidRPr="00AB26B3" w14:paraId="5BC593EB"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73ED6749"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145b</w:t>
            </w:r>
          </w:p>
        </w:tc>
        <w:tc>
          <w:tcPr>
            <w:tcW w:w="5581" w:type="dxa"/>
            <w:gridSpan w:val="2"/>
            <w:tcBorders>
              <w:top w:val="nil"/>
              <w:left w:val="single" w:sz="4" w:space="0" w:color="auto"/>
              <w:bottom w:val="single" w:sz="4" w:space="0" w:color="auto"/>
              <w:right w:val="single" w:sz="4" w:space="0" w:color="auto"/>
            </w:tcBorders>
            <w:shd w:val="clear" w:color="auto" w:fill="C6EFCE"/>
            <w:noWrap/>
            <w:hideMark/>
          </w:tcPr>
          <w:p w14:paraId="75A05A38" w14:textId="5FD135C0"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 xml:space="preserve">zručnosti – 16794_Posilnenie systému učňovskej prípravy </w:t>
            </w:r>
          </w:p>
        </w:tc>
        <w:tc>
          <w:tcPr>
            <w:tcW w:w="1680" w:type="dxa"/>
            <w:tcBorders>
              <w:top w:val="nil"/>
              <w:left w:val="nil"/>
              <w:bottom w:val="single" w:sz="4" w:space="0" w:color="auto"/>
              <w:right w:val="single" w:sz="4" w:space="0" w:color="auto"/>
            </w:tcBorders>
            <w:shd w:val="clear" w:color="auto" w:fill="C6EFCE"/>
            <w:noWrap/>
            <w:hideMark/>
          </w:tcPr>
          <w:p w14:paraId="23B21C8B"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02FDC044" w14:textId="6644B8B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Reforma učebných osnov, modernizácia infraštruktúry odborného vzdelávania</w:t>
            </w:r>
            <w:r w:rsidR="00AB26B3" w:rsidRPr="00AB26B3">
              <w:rPr>
                <w:noProof/>
                <w:spacing w:val="-6"/>
                <w:lang w:val="sk-SK"/>
              </w:rPr>
              <w:t xml:space="preserve"> a </w:t>
            </w:r>
            <w:r w:rsidRPr="00AB26B3">
              <w:rPr>
                <w:noProof/>
                <w:spacing w:val="-6"/>
                <w:lang w:val="sk-SK"/>
              </w:rPr>
              <w:t>prípravy, obnova budov</w:t>
            </w:r>
          </w:p>
        </w:tc>
      </w:tr>
      <w:tr w:rsidR="00302FC1" w:rsidRPr="00AB26B3" w14:paraId="53003324"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5C8867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146</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8DABFB9" w14:textId="15E75BE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16792_Zručnosti, rekvalifikácia</w:t>
            </w:r>
            <w:r w:rsidR="00AB26B3" w:rsidRPr="00AB26B3">
              <w:rPr>
                <w:noProof/>
                <w:spacing w:val="-6"/>
                <w:lang w:val="sk-SK"/>
              </w:rPr>
              <w:t xml:space="preserve"> a </w:t>
            </w:r>
            <w:r w:rsidRPr="00AB26B3">
              <w:rPr>
                <w:noProof/>
                <w:spacing w:val="-6"/>
                <w:lang w:val="sk-SK"/>
              </w:rPr>
              <w:t>zvyšovanie úrovne zručností pracovnej sily prostredníctvom reformovaného modelu odbornej prípravy (Reforma odborného vzdelávania</w:t>
            </w:r>
            <w:r w:rsidR="00AB26B3" w:rsidRPr="00AB26B3">
              <w:rPr>
                <w:noProof/>
                <w:spacing w:val="-6"/>
                <w:lang w:val="sk-SK"/>
              </w:rPr>
              <w:t xml:space="preserve"> a </w:t>
            </w:r>
            <w:r w:rsidRPr="00AB26B3">
              <w:rPr>
                <w:noProof/>
                <w:spacing w:val="-6"/>
                <w:lang w:val="sk-SK"/>
              </w:rPr>
              <w:t>prípravy)</w:t>
            </w:r>
          </w:p>
        </w:tc>
        <w:tc>
          <w:tcPr>
            <w:tcW w:w="1680" w:type="dxa"/>
            <w:tcBorders>
              <w:top w:val="nil"/>
              <w:left w:val="nil"/>
              <w:bottom w:val="single" w:sz="4" w:space="0" w:color="auto"/>
              <w:right w:val="single" w:sz="4" w:space="0" w:color="auto"/>
            </w:tcBorders>
            <w:shd w:val="clear" w:color="auto" w:fill="C6EFCE"/>
            <w:noWrap/>
            <w:vAlign w:val="center"/>
            <w:hideMark/>
          </w:tcPr>
          <w:p w14:paraId="3AF9DCC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E98479E" w14:textId="5D8F2FF6" w:rsidR="00302FC1" w:rsidRPr="00AB26B3" w:rsidRDefault="00D64F26">
            <w:pPr>
              <w:pStyle w:val="P68B1DB1-Normal11"/>
              <w:spacing w:after="0" w:line="240" w:lineRule="auto"/>
              <w:rPr>
                <w:rFonts w:eastAsia="Times New Roman" w:cs="Times New Roman"/>
                <w:noProof/>
                <w:spacing w:val="-6"/>
                <w:lang w:val="sk-SK"/>
              </w:rPr>
            </w:pPr>
            <w:r w:rsidRPr="00AB26B3">
              <w:rPr>
                <w:noProof/>
                <w:spacing w:val="-6"/>
                <w:lang w:val="sk-SK"/>
              </w:rPr>
              <w:t>Systém kontroly kvality OVP, realizácia sektorových programov odbornej prípravy</w:t>
            </w:r>
          </w:p>
        </w:tc>
      </w:tr>
      <w:tr w:rsidR="00302FC1" w:rsidRPr="00AB26B3" w14:paraId="75BC6D4D"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49B6D581"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148b</w:t>
            </w:r>
          </w:p>
        </w:tc>
        <w:tc>
          <w:tcPr>
            <w:tcW w:w="5581" w:type="dxa"/>
            <w:gridSpan w:val="2"/>
            <w:tcBorders>
              <w:top w:val="nil"/>
              <w:left w:val="single" w:sz="4" w:space="0" w:color="auto"/>
              <w:bottom w:val="single" w:sz="4" w:space="0" w:color="auto"/>
              <w:right w:val="single" w:sz="4" w:space="0" w:color="auto"/>
            </w:tcBorders>
            <w:shd w:val="clear" w:color="auto" w:fill="C6EFCE"/>
            <w:noWrap/>
            <w:hideMark/>
          </w:tcPr>
          <w:p w14:paraId="06297F26" w14:textId="37DB02D9"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16676_Digitálna transformácia vzdelávania</w:t>
            </w:r>
          </w:p>
        </w:tc>
        <w:tc>
          <w:tcPr>
            <w:tcW w:w="1680" w:type="dxa"/>
            <w:tcBorders>
              <w:top w:val="nil"/>
              <w:left w:val="nil"/>
              <w:bottom w:val="single" w:sz="4" w:space="0" w:color="auto"/>
              <w:right w:val="single" w:sz="4" w:space="0" w:color="auto"/>
            </w:tcBorders>
            <w:shd w:val="clear" w:color="auto" w:fill="C6EFCE"/>
            <w:noWrap/>
            <w:hideMark/>
          </w:tcPr>
          <w:p w14:paraId="00FF7AA6"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6410DB5D" w14:textId="607ADCFF" w:rsidR="00302FC1" w:rsidRPr="00AB26B3" w:rsidRDefault="00D64F26">
            <w:pPr>
              <w:pStyle w:val="P68B1DB1-Normal11"/>
              <w:spacing w:after="0" w:line="240" w:lineRule="auto"/>
              <w:rPr>
                <w:noProof/>
                <w:spacing w:val="-6"/>
                <w:lang w:val="sk-SK"/>
              </w:rPr>
            </w:pPr>
            <w:r w:rsidRPr="00AB26B3">
              <w:rPr>
                <w:noProof/>
                <w:spacing w:val="-6"/>
                <w:lang w:val="sk-SK"/>
              </w:rPr>
              <w:t>Digitálna transformácia vzdelávania</w:t>
            </w:r>
          </w:p>
        </w:tc>
      </w:tr>
      <w:tr w:rsidR="00302FC1" w:rsidRPr="00AB26B3" w14:paraId="12426AB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BA2B9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926389B" w14:textId="0DB5033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16933_Zlepšovanie odborného vzdelávania</w:t>
            </w:r>
            <w:r w:rsidR="00AB26B3" w:rsidRPr="00AB26B3">
              <w:rPr>
                <w:noProof/>
                <w:spacing w:val="-6"/>
                <w:lang w:val="sk-SK"/>
              </w:rPr>
              <w:t xml:space="preserve"> a </w:t>
            </w:r>
            <w:r w:rsidRPr="00AB26B3">
              <w:rPr>
                <w:noProof/>
                <w:spacing w:val="-6"/>
                <w:lang w:val="sk-SK"/>
              </w:rPr>
              <w:t>prípravy (OVP): Dodávka laboratórneho vybavenia pre laboratórne centrá pre SAEK, EPAL, triedu post-sekundárneho ročníka učňovskej prípravy</w:t>
            </w:r>
            <w:r w:rsidR="00AB26B3" w:rsidRPr="00AB26B3">
              <w:rPr>
                <w:noProof/>
                <w:spacing w:val="-6"/>
                <w:lang w:val="sk-SK"/>
              </w:rPr>
              <w:t xml:space="preserve"> a </w:t>
            </w:r>
            <w:r w:rsidRPr="00AB26B3">
              <w:rPr>
                <w:noProof/>
                <w:spacing w:val="-6"/>
                <w:lang w:val="sk-SK"/>
              </w:rPr>
              <w:t>školy odborného vzdelávania</w:t>
            </w:r>
          </w:p>
        </w:tc>
        <w:tc>
          <w:tcPr>
            <w:tcW w:w="1680" w:type="dxa"/>
            <w:tcBorders>
              <w:top w:val="nil"/>
              <w:left w:val="nil"/>
              <w:bottom w:val="single" w:sz="4" w:space="0" w:color="auto"/>
              <w:right w:val="single" w:sz="4" w:space="0" w:color="auto"/>
            </w:tcBorders>
            <w:shd w:val="clear" w:color="auto" w:fill="C6EFCE"/>
            <w:noWrap/>
            <w:vAlign w:val="center"/>
            <w:hideMark/>
          </w:tcPr>
          <w:p w14:paraId="4A5697D5" w14:textId="14AB6B0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70B943A" w14:textId="307D2630"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Obnova</w:t>
            </w:r>
            <w:r w:rsidR="00AB26B3" w:rsidRPr="00AB26B3">
              <w:rPr>
                <w:noProof/>
                <w:spacing w:val="-6"/>
                <w:lang w:val="sk-SK"/>
              </w:rPr>
              <w:t xml:space="preserve"> a </w:t>
            </w:r>
            <w:r w:rsidRPr="00AB26B3">
              <w:rPr>
                <w:noProof/>
                <w:spacing w:val="-6"/>
                <w:lang w:val="sk-SK"/>
              </w:rPr>
              <w:t>modernizácia laboratórnych centier OVP</w:t>
            </w:r>
          </w:p>
        </w:tc>
      </w:tr>
      <w:tr w:rsidR="00302FC1" w:rsidRPr="00AB26B3" w14:paraId="3B84C3BD"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904827D" w14:textId="77777777"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150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D0EBBFE" w14:textId="168A4C4C"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16289_Stratégia excelentnosti na univerzitách</w:t>
            </w:r>
            <w:r w:rsidR="00AB26B3" w:rsidRPr="00AB26B3">
              <w:rPr>
                <w:noProof/>
                <w:spacing w:val="-6"/>
                <w:lang w:val="sk-SK"/>
              </w:rPr>
              <w:t xml:space="preserve"> a v </w:t>
            </w:r>
            <w:r w:rsidRPr="00AB26B3">
              <w:rPr>
                <w:noProof/>
                <w:spacing w:val="-6"/>
                <w:lang w:val="sk-SK"/>
              </w:rPr>
              <w:t>inovácii</w:t>
            </w:r>
          </w:p>
        </w:tc>
        <w:tc>
          <w:tcPr>
            <w:tcW w:w="1680" w:type="dxa"/>
            <w:tcBorders>
              <w:top w:val="nil"/>
              <w:left w:val="nil"/>
              <w:bottom w:val="single" w:sz="4" w:space="0" w:color="auto"/>
              <w:right w:val="single" w:sz="4" w:space="0" w:color="auto"/>
            </w:tcBorders>
            <w:shd w:val="clear" w:color="auto" w:fill="C6EFCE"/>
            <w:noWrap/>
            <w:vAlign w:val="center"/>
            <w:hideMark/>
          </w:tcPr>
          <w:p w14:paraId="194EDD2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187383A" w14:textId="0D839EE8"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Realizácia spoločných výskumných projektov</w:t>
            </w:r>
            <w:r w:rsidR="00AB26B3" w:rsidRPr="00AB26B3">
              <w:rPr>
                <w:noProof/>
                <w:spacing w:val="-6"/>
                <w:lang w:val="sk-SK"/>
              </w:rPr>
              <w:t xml:space="preserve"> a </w:t>
            </w:r>
            <w:r w:rsidRPr="00AB26B3">
              <w:rPr>
                <w:noProof/>
                <w:spacing w:val="-6"/>
                <w:lang w:val="sk-SK"/>
              </w:rPr>
              <w:t>projektov pre grécke univerzity</w:t>
            </w:r>
            <w:r w:rsidR="00AB26B3" w:rsidRPr="00AB26B3">
              <w:rPr>
                <w:noProof/>
                <w:spacing w:val="-6"/>
                <w:lang w:val="sk-SK"/>
              </w:rPr>
              <w:t xml:space="preserve"> a </w:t>
            </w:r>
            <w:r w:rsidRPr="00AB26B3">
              <w:rPr>
                <w:noProof/>
                <w:spacing w:val="-6"/>
                <w:lang w:val="sk-SK"/>
              </w:rPr>
              <w:t>vydávanie rozhodnutí</w:t>
            </w:r>
            <w:r w:rsidR="00AB26B3" w:rsidRPr="00AB26B3">
              <w:rPr>
                <w:noProof/>
                <w:spacing w:val="-6"/>
                <w:lang w:val="sk-SK"/>
              </w:rPr>
              <w:t xml:space="preserve"> o </w:t>
            </w:r>
            <w:r w:rsidRPr="00AB26B3">
              <w:rPr>
                <w:noProof/>
                <w:spacing w:val="-6"/>
                <w:lang w:val="sk-SK"/>
              </w:rPr>
              <w:t>schválení postgraduálnych programov</w:t>
            </w:r>
          </w:p>
        </w:tc>
      </w:tr>
      <w:tr w:rsidR="00302FC1" w:rsidRPr="00AB26B3" w14:paraId="205F2C70"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560C1D"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152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31BB3C3" w14:textId="4A0A1D0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9 – 3.2. Vzdelávanie, odborné vzdelávanie</w:t>
            </w:r>
            <w:r w:rsidR="00AB26B3" w:rsidRPr="00AB26B3">
              <w:rPr>
                <w:noProof/>
                <w:spacing w:val="-6"/>
                <w:lang w:val="sk-SK"/>
              </w:rPr>
              <w:t xml:space="preserve"> a </w:t>
            </w:r>
            <w:r w:rsidRPr="00AB26B3">
              <w:rPr>
                <w:noProof/>
                <w:spacing w:val="-6"/>
                <w:lang w:val="sk-SK"/>
              </w:rPr>
              <w:t>príprava</w:t>
            </w:r>
            <w:r w:rsidR="00AB26B3" w:rsidRPr="00AB26B3">
              <w:rPr>
                <w:noProof/>
                <w:spacing w:val="-6"/>
                <w:lang w:val="sk-SK"/>
              </w:rPr>
              <w:t xml:space="preserve"> a </w:t>
            </w:r>
            <w:r w:rsidRPr="00AB26B3">
              <w:rPr>
                <w:noProof/>
                <w:spacing w:val="-6"/>
                <w:lang w:val="sk-SK"/>
              </w:rPr>
              <w:t>zručnosti – 16934_Zlepšovanie odborného vzdelávania</w:t>
            </w:r>
            <w:r w:rsidR="00AB26B3" w:rsidRPr="00AB26B3">
              <w:rPr>
                <w:noProof/>
                <w:spacing w:val="-6"/>
                <w:lang w:val="sk-SK"/>
              </w:rPr>
              <w:t xml:space="preserve"> a </w:t>
            </w:r>
            <w:r w:rsidRPr="00AB26B3">
              <w:rPr>
                <w:noProof/>
                <w:spacing w:val="-6"/>
                <w:lang w:val="sk-SK"/>
              </w:rPr>
              <w:t>prípravy</w:t>
            </w:r>
          </w:p>
        </w:tc>
        <w:tc>
          <w:tcPr>
            <w:tcW w:w="1680" w:type="dxa"/>
            <w:tcBorders>
              <w:top w:val="nil"/>
              <w:left w:val="nil"/>
              <w:bottom w:val="single" w:sz="4" w:space="0" w:color="auto"/>
              <w:right w:val="single" w:sz="4" w:space="0" w:color="auto"/>
            </w:tcBorders>
            <w:shd w:val="clear" w:color="auto" w:fill="C6EFCE"/>
            <w:noWrap/>
            <w:vAlign w:val="center"/>
            <w:hideMark/>
          </w:tcPr>
          <w:p w14:paraId="68CC2A2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B7A5D6E" w14:textId="1F7C98A0"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Modernizácia systému OVP SAEK, návrh</w:t>
            </w:r>
            <w:r w:rsidR="00AB26B3" w:rsidRPr="00AB26B3">
              <w:rPr>
                <w:noProof/>
                <w:spacing w:val="-6"/>
                <w:lang w:val="sk-SK"/>
              </w:rPr>
              <w:t xml:space="preserve"> a </w:t>
            </w:r>
            <w:r w:rsidRPr="00AB26B3">
              <w:rPr>
                <w:noProof/>
                <w:spacing w:val="-6"/>
                <w:lang w:val="sk-SK"/>
              </w:rPr>
              <w:t>vývoj modelovej digitalizácie EPAL EOPPEP</w:t>
            </w:r>
          </w:p>
        </w:tc>
      </w:tr>
      <w:tr w:rsidR="00302FC1" w:rsidRPr="00AB26B3" w14:paraId="43CB794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E3898AE" w14:textId="77777777" w:rsidR="00302FC1" w:rsidRPr="00AB26B3" w:rsidRDefault="00D64F26">
            <w:pPr>
              <w:pStyle w:val="P68B1DB1-Normal11"/>
              <w:spacing w:line="240" w:lineRule="auto"/>
              <w:jc w:val="both"/>
              <w:rPr>
                <w:noProof/>
                <w:spacing w:val="-6"/>
                <w:lang w:val="sk-SK"/>
              </w:rPr>
            </w:pPr>
            <w:r w:rsidRPr="00AB26B3">
              <w:rPr>
                <w:noProof/>
                <w:spacing w:val="-6"/>
                <w:lang w:val="sk-SK"/>
              </w:rPr>
              <w:t>156a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C463CCD" w14:textId="6FF40F98"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680" w:type="dxa"/>
            <w:tcBorders>
              <w:top w:val="nil"/>
              <w:left w:val="nil"/>
              <w:bottom w:val="single" w:sz="4" w:space="0" w:color="auto"/>
              <w:right w:val="single" w:sz="4" w:space="0" w:color="auto"/>
            </w:tcBorders>
            <w:shd w:val="clear" w:color="auto" w:fill="C6EFCE"/>
            <w:noWrap/>
            <w:vAlign w:val="center"/>
            <w:hideMark/>
          </w:tcPr>
          <w:p w14:paraId="0D976C67"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05265C6D" w14:textId="08DE2683" w:rsidR="00302FC1" w:rsidRPr="00AB26B3" w:rsidRDefault="00D64F26">
            <w:pPr>
              <w:pStyle w:val="P68B1DB1-Normal11"/>
              <w:keepNext/>
              <w:spacing w:before="40" w:after="0" w:line="240" w:lineRule="auto"/>
              <w:jc w:val="both"/>
              <w:rPr>
                <w:rFonts w:cs="Times New Roman"/>
                <w:noProof/>
                <w:spacing w:val="-6"/>
                <w:lang w:val="sk-SK"/>
              </w:rPr>
            </w:pPr>
            <w:r w:rsidRPr="00AB26B3">
              <w:rPr>
                <w:noProof/>
                <w:spacing w:val="-6"/>
                <w:lang w:val="sk-SK"/>
              </w:rPr>
              <w:t>Farmaceutický výskum</w:t>
            </w:r>
            <w:r w:rsidR="00AB26B3" w:rsidRPr="00AB26B3">
              <w:rPr>
                <w:noProof/>
                <w:spacing w:val="-6"/>
                <w:lang w:val="sk-SK"/>
              </w:rPr>
              <w:t xml:space="preserve"> a </w:t>
            </w:r>
            <w:r w:rsidRPr="00AB26B3">
              <w:rPr>
                <w:noProof/>
                <w:spacing w:val="-6"/>
                <w:lang w:val="sk-SK"/>
              </w:rPr>
              <w:t>vývoj</w:t>
            </w:r>
          </w:p>
          <w:p w14:paraId="2BB46D22" w14:textId="77777777"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investičný dôkaz – krok 2</w:t>
            </w:r>
          </w:p>
        </w:tc>
      </w:tr>
      <w:tr w:rsidR="00302FC1" w:rsidRPr="00AB26B3" w14:paraId="2679AB8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F8A761"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158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13A277B" w14:textId="0934017A"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16816_Zníženie vrátenia finančných prostriedkov</w:t>
            </w:r>
            <w:r w:rsidR="00AB26B3" w:rsidRPr="00AB26B3">
              <w:rPr>
                <w:noProof/>
                <w:spacing w:val="-6"/>
                <w:lang w:val="sk-SK"/>
              </w:rPr>
              <w:t xml:space="preserve"> a </w:t>
            </w:r>
            <w:r w:rsidRPr="00AB26B3">
              <w:rPr>
                <w:noProof/>
                <w:spacing w:val="-6"/>
                <w:lang w:val="sk-SK"/>
              </w:rPr>
              <w:t>racionalizácia výdavkov na zdravotnú starostlivosť</w:t>
            </w:r>
          </w:p>
        </w:tc>
        <w:tc>
          <w:tcPr>
            <w:tcW w:w="1680" w:type="dxa"/>
            <w:tcBorders>
              <w:top w:val="nil"/>
              <w:left w:val="nil"/>
              <w:bottom w:val="single" w:sz="4" w:space="0" w:color="auto"/>
              <w:right w:val="single" w:sz="4" w:space="0" w:color="auto"/>
            </w:tcBorders>
            <w:shd w:val="clear" w:color="auto" w:fill="C6EFCE"/>
            <w:noWrap/>
            <w:vAlign w:val="center"/>
            <w:hideMark/>
          </w:tcPr>
          <w:p w14:paraId="1F095B40"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1FEE14F0" w14:textId="77777777" w:rsidR="00AB26B3" w:rsidRPr="00AB26B3" w:rsidRDefault="00D64F26">
            <w:pPr>
              <w:pStyle w:val="P68B1DB1-Normal52"/>
              <w:keepNext/>
              <w:spacing w:before="40" w:after="0" w:line="240" w:lineRule="auto"/>
              <w:jc w:val="both"/>
              <w:rPr>
                <w:noProof/>
                <w:spacing w:val="-6"/>
                <w:lang w:val="sk-SK"/>
              </w:rPr>
            </w:pPr>
            <w:r w:rsidRPr="00AB26B3">
              <w:rPr>
                <w:noProof/>
                <w:spacing w:val="-6"/>
                <w:lang w:val="sk-SK"/>
              </w:rPr>
              <w:t>Zníženie vrátenia poskytnutých prostriedkov (clawback)</w:t>
            </w:r>
          </w:p>
          <w:p w14:paraId="6C662A82" w14:textId="46BB7115"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400000000 – krok 4</w:t>
            </w:r>
          </w:p>
        </w:tc>
      </w:tr>
      <w:tr w:rsidR="00302FC1" w:rsidRPr="00AB26B3" w14:paraId="7A7B851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4B5F58B" w14:textId="77777777"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164a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399A25F" w14:textId="6A381330"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16756_Organizačné reformy</w:t>
            </w:r>
            <w:r w:rsidR="00AB26B3" w:rsidRPr="00AB26B3">
              <w:rPr>
                <w:noProof/>
                <w:spacing w:val="-6"/>
                <w:lang w:val="sk-SK"/>
              </w:rPr>
              <w:t xml:space="preserve"> v </w:t>
            </w:r>
            <w:r w:rsidRPr="00AB26B3">
              <w:rPr>
                <w:noProof/>
                <w:spacing w:val="-6"/>
                <w:lang w:val="sk-SK"/>
              </w:rPr>
              <w:t xml:space="preserve">systéme zdravotnej starostlivosti </w:t>
            </w:r>
          </w:p>
        </w:tc>
        <w:tc>
          <w:tcPr>
            <w:tcW w:w="1680" w:type="dxa"/>
            <w:tcBorders>
              <w:top w:val="nil"/>
              <w:left w:val="nil"/>
              <w:bottom w:val="single" w:sz="4" w:space="0" w:color="auto"/>
              <w:right w:val="single" w:sz="4" w:space="0" w:color="auto"/>
            </w:tcBorders>
            <w:shd w:val="clear" w:color="auto" w:fill="C6EFCE"/>
            <w:noWrap/>
            <w:vAlign w:val="center"/>
            <w:hideMark/>
          </w:tcPr>
          <w:p w14:paraId="67F6FE49"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09862664"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Skrátenie čakacieho zoznamu operácií</w:t>
            </w:r>
          </w:p>
        </w:tc>
      </w:tr>
      <w:tr w:rsidR="00302FC1" w:rsidRPr="00AB26B3" w14:paraId="2268C8BC"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ACECF6" w14:textId="77777777"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164b</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580B8916" w14:textId="668AA2E2"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16756_Organizačné reformy</w:t>
            </w:r>
            <w:r w:rsidR="00AB26B3" w:rsidRPr="00AB26B3">
              <w:rPr>
                <w:noProof/>
                <w:spacing w:val="-6"/>
                <w:lang w:val="sk-SK"/>
              </w:rPr>
              <w:t xml:space="preserve"> v </w:t>
            </w:r>
            <w:r w:rsidRPr="00AB26B3">
              <w:rPr>
                <w:noProof/>
                <w:spacing w:val="-6"/>
                <w:lang w:val="sk-SK"/>
              </w:rPr>
              <w:t xml:space="preserve">systéme zdravotnej starostlivosti </w:t>
            </w:r>
          </w:p>
        </w:tc>
        <w:tc>
          <w:tcPr>
            <w:tcW w:w="1680" w:type="dxa"/>
            <w:tcBorders>
              <w:top w:val="nil"/>
              <w:left w:val="nil"/>
              <w:bottom w:val="single" w:sz="4" w:space="0" w:color="auto"/>
              <w:right w:val="single" w:sz="4" w:space="0" w:color="auto"/>
            </w:tcBorders>
            <w:shd w:val="clear" w:color="auto" w:fill="C6EFCE"/>
            <w:noWrap/>
            <w:vAlign w:val="center"/>
          </w:tcPr>
          <w:p w14:paraId="4D96E43D"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30BECA6F" w14:textId="2633ABCD"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Navigácia systému zdravotnej starostlivosti</w:t>
            </w:r>
            <w:r w:rsidR="00AB26B3" w:rsidRPr="00AB26B3">
              <w:rPr>
                <w:noProof/>
                <w:spacing w:val="-6"/>
                <w:lang w:val="sk-SK"/>
              </w:rPr>
              <w:t xml:space="preserve"> a </w:t>
            </w:r>
            <w:r w:rsidRPr="00AB26B3">
              <w:rPr>
                <w:noProof/>
                <w:spacing w:val="-6"/>
                <w:lang w:val="sk-SK"/>
              </w:rPr>
              <w:t>usmernenia pre občanov</w:t>
            </w:r>
          </w:p>
        </w:tc>
      </w:tr>
      <w:tr w:rsidR="00302FC1" w:rsidRPr="00AB26B3" w14:paraId="03E5BAA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8E9A7E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165</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6DBB11F" w14:textId="26A906E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16783_Implementácia národného programu prevencie</w:t>
            </w:r>
            <w:r w:rsidR="00AB26B3" w:rsidRPr="00AB26B3">
              <w:rPr>
                <w:noProof/>
                <w:spacing w:val="-6"/>
                <w:lang w:val="sk-SK"/>
              </w:rPr>
              <w:t xml:space="preserve"> v </w:t>
            </w:r>
            <w:r w:rsidRPr="00AB26B3">
              <w:rPr>
                <w:noProof/>
                <w:spacing w:val="-6"/>
                <w:lang w:val="sk-SK"/>
              </w:rPr>
              <w:t>oblasti verejného zdravia „Spiros Doxiadis“ (NPP „SD“)</w:t>
            </w:r>
          </w:p>
        </w:tc>
        <w:tc>
          <w:tcPr>
            <w:tcW w:w="1680" w:type="dxa"/>
            <w:tcBorders>
              <w:top w:val="nil"/>
              <w:left w:val="nil"/>
              <w:bottom w:val="single" w:sz="4" w:space="0" w:color="auto"/>
              <w:right w:val="single" w:sz="4" w:space="0" w:color="auto"/>
            </w:tcBorders>
            <w:shd w:val="clear" w:color="auto" w:fill="C6EFCE"/>
            <w:noWrap/>
            <w:vAlign w:val="center"/>
            <w:hideMark/>
          </w:tcPr>
          <w:p w14:paraId="5526C86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BE3F974" w14:textId="08F6C190"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Národný program prevencie verejného zdravia „Spiros Doxiadis“ – primárna prevencia</w:t>
            </w:r>
          </w:p>
        </w:tc>
      </w:tr>
      <w:tr w:rsidR="00302FC1" w:rsidRPr="00AB26B3" w14:paraId="281DB82E"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362E2D"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165a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7C962CD7" w14:textId="4CB08E70"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16783_Implementácia národného programu prevencie</w:t>
            </w:r>
            <w:r w:rsidR="00AB26B3" w:rsidRPr="00AB26B3">
              <w:rPr>
                <w:noProof/>
                <w:spacing w:val="-6"/>
                <w:lang w:val="sk-SK"/>
              </w:rPr>
              <w:t xml:space="preserve"> v </w:t>
            </w:r>
            <w:r w:rsidRPr="00AB26B3">
              <w:rPr>
                <w:noProof/>
                <w:spacing w:val="-6"/>
                <w:lang w:val="sk-SK"/>
              </w:rPr>
              <w:t>oblasti verejného zdravia „Spiros Doxiadis“ (NPP „SD“)</w:t>
            </w:r>
          </w:p>
        </w:tc>
        <w:tc>
          <w:tcPr>
            <w:tcW w:w="1680" w:type="dxa"/>
            <w:tcBorders>
              <w:top w:val="nil"/>
              <w:left w:val="nil"/>
              <w:bottom w:val="single" w:sz="4" w:space="0" w:color="auto"/>
              <w:right w:val="single" w:sz="4" w:space="0" w:color="auto"/>
            </w:tcBorders>
            <w:shd w:val="clear" w:color="auto" w:fill="C6EFCE"/>
            <w:noWrap/>
            <w:vAlign w:val="center"/>
          </w:tcPr>
          <w:p w14:paraId="284332A9"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34FB4F4B" w14:textId="50E80679"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Národný program prevencie verejného zdravia „Spiros Doxiadis“ – sekundárna prevencia</w:t>
            </w:r>
          </w:p>
        </w:tc>
      </w:tr>
      <w:tr w:rsidR="00302FC1" w:rsidRPr="00AB26B3" w14:paraId="3AD3BCBC"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2F7E93"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165b</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14179A48" w14:textId="5E159150"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16783_Implementácia národného programu prevencie</w:t>
            </w:r>
            <w:r w:rsidR="00AB26B3" w:rsidRPr="00AB26B3">
              <w:rPr>
                <w:noProof/>
                <w:spacing w:val="-6"/>
                <w:lang w:val="sk-SK"/>
              </w:rPr>
              <w:t xml:space="preserve"> v </w:t>
            </w:r>
            <w:r w:rsidRPr="00AB26B3">
              <w:rPr>
                <w:noProof/>
                <w:spacing w:val="-6"/>
                <w:lang w:val="sk-SK"/>
              </w:rPr>
              <w:t>oblasti verejného zdravia „Spiros Doxiadis“ (NPP „SD“)</w:t>
            </w:r>
          </w:p>
        </w:tc>
        <w:tc>
          <w:tcPr>
            <w:tcW w:w="1680" w:type="dxa"/>
            <w:tcBorders>
              <w:top w:val="nil"/>
              <w:left w:val="nil"/>
              <w:bottom w:val="single" w:sz="4" w:space="0" w:color="auto"/>
              <w:right w:val="single" w:sz="4" w:space="0" w:color="auto"/>
            </w:tcBorders>
            <w:shd w:val="clear" w:color="auto" w:fill="C6EFCE"/>
            <w:noWrap/>
            <w:vAlign w:val="center"/>
          </w:tcPr>
          <w:p w14:paraId="68867D9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0A8C1379"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Monitorovanie zdravia</w:t>
            </w:r>
          </w:p>
        </w:tc>
      </w:tr>
      <w:tr w:rsidR="00302FC1" w:rsidRPr="00AB26B3" w14:paraId="35CDF77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7FC3F7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166b</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31C1A97" w14:textId="21FCCCA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16755_Zelené investície – Reforma systému primárnej zdravotnej starostlivosti</w:t>
            </w:r>
          </w:p>
        </w:tc>
        <w:tc>
          <w:tcPr>
            <w:tcW w:w="1680" w:type="dxa"/>
            <w:tcBorders>
              <w:top w:val="nil"/>
              <w:left w:val="nil"/>
              <w:bottom w:val="single" w:sz="4" w:space="0" w:color="auto"/>
              <w:right w:val="single" w:sz="4" w:space="0" w:color="auto"/>
            </w:tcBorders>
            <w:shd w:val="clear" w:color="auto" w:fill="C6EFCE"/>
            <w:noWrap/>
            <w:vAlign w:val="center"/>
            <w:hideMark/>
          </w:tcPr>
          <w:p w14:paraId="7834E29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1FE52BCC" w14:textId="6F5D7820" w:rsidR="00302FC1" w:rsidRPr="00AB26B3" w:rsidRDefault="00D64F26">
            <w:pPr>
              <w:pStyle w:val="P68B1DB1-Normal34"/>
              <w:keepNext/>
              <w:spacing w:before="40" w:after="0" w:line="240" w:lineRule="auto"/>
              <w:jc w:val="both"/>
              <w:rPr>
                <w:rFonts w:ascii="Times New Roman" w:eastAsia="Times New Roman" w:hAnsi="Times New Roman" w:cs="Times New Roman"/>
                <w:noProof/>
                <w:spacing w:val="-6"/>
                <w:szCs w:val="18"/>
                <w:lang w:val="sk-SK"/>
              </w:rPr>
            </w:pPr>
            <w:r w:rsidRPr="00AB26B3">
              <w:rPr>
                <w:rFonts w:ascii="Times New Roman" w:hAnsi="Times New Roman"/>
                <w:noProof/>
                <w:spacing w:val="-6"/>
                <w:lang w:val="sk-SK"/>
              </w:rPr>
              <w:t>PHC – jednotky</w:t>
            </w:r>
            <w:r w:rsidRPr="00AB26B3">
              <w:rPr>
                <w:rFonts w:ascii="Times New Roman" w:hAnsi="Times New Roman" w:cs="Times New Roman"/>
                <w:noProof/>
                <w:color w:val="000000"/>
                <w:spacing w:val="-6"/>
                <w:szCs w:val="18"/>
                <w:lang w:val="sk-SK"/>
              </w:rPr>
              <w:t xml:space="preserve"> </w:t>
            </w:r>
            <w:r w:rsidRPr="00AB26B3">
              <w:rPr>
                <w:rFonts w:ascii="Times New Roman" w:hAnsi="Times New Roman"/>
                <w:noProof/>
                <w:spacing w:val="-6"/>
                <w:lang w:val="sk-SK"/>
              </w:rPr>
              <w:t>primárnej zdravotnej starostlivosti</w:t>
            </w:r>
            <w:r w:rsidR="00AB26B3" w:rsidRPr="00AB26B3">
              <w:rPr>
                <w:rFonts w:ascii="Times New Roman" w:hAnsi="Times New Roman"/>
                <w:noProof/>
                <w:spacing w:val="-6"/>
                <w:lang w:val="sk-SK"/>
              </w:rPr>
              <w:t xml:space="preserve"> s </w:t>
            </w:r>
            <w:r w:rsidRPr="00AB26B3">
              <w:rPr>
                <w:rFonts w:ascii="Times New Roman" w:hAnsi="Times New Roman"/>
                <w:noProof/>
                <w:spacing w:val="-6"/>
                <w:lang w:val="sk-SK"/>
              </w:rPr>
              <w:t>renovovanou infraštruktúrou – 3. krok</w:t>
            </w:r>
          </w:p>
        </w:tc>
      </w:tr>
      <w:tr w:rsidR="00302FC1" w:rsidRPr="00AB26B3" w14:paraId="1974985F"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9B7F93"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166c</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1D7A0119" w14:textId="1C7761B2"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16755_Zelené investície – Reforma systému primárnej zdravotnej starostlivosti</w:t>
            </w:r>
          </w:p>
        </w:tc>
        <w:tc>
          <w:tcPr>
            <w:tcW w:w="1680" w:type="dxa"/>
            <w:tcBorders>
              <w:top w:val="nil"/>
              <w:left w:val="nil"/>
              <w:bottom w:val="single" w:sz="4" w:space="0" w:color="auto"/>
              <w:right w:val="single" w:sz="4" w:space="0" w:color="auto"/>
            </w:tcBorders>
            <w:shd w:val="clear" w:color="auto" w:fill="C6EFCE"/>
            <w:noWrap/>
            <w:vAlign w:val="center"/>
          </w:tcPr>
          <w:p w14:paraId="6C88D5A0"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58784825"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PHC – zdravotnícke vybavenie</w:t>
            </w:r>
          </w:p>
        </w:tc>
      </w:tr>
      <w:tr w:rsidR="00302FC1" w:rsidRPr="00AB26B3" w14:paraId="30124ED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0641B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166d</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7012DA38" w14:textId="2DAD2C18"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16755_Zelené investície – Reforma systému primárnej zdravotnej starostlivosti</w:t>
            </w:r>
          </w:p>
        </w:tc>
        <w:tc>
          <w:tcPr>
            <w:tcW w:w="1680" w:type="dxa"/>
            <w:tcBorders>
              <w:top w:val="nil"/>
              <w:left w:val="nil"/>
              <w:bottom w:val="single" w:sz="4" w:space="0" w:color="auto"/>
              <w:right w:val="single" w:sz="4" w:space="0" w:color="auto"/>
            </w:tcBorders>
            <w:shd w:val="clear" w:color="auto" w:fill="C6EFCE"/>
            <w:noWrap/>
            <w:vAlign w:val="center"/>
          </w:tcPr>
          <w:p w14:paraId="1E4A9C05"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2F502117" w14:textId="69870C1F"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PHC – Reforma</w:t>
            </w:r>
            <w:r w:rsidR="00AB26B3" w:rsidRPr="00AB26B3">
              <w:rPr>
                <w:noProof/>
                <w:spacing w:val="-6"/>
                <w:lang w:val="sk-SK"/>
              </w:rPr>
              <w:t xml:space="preserve"> a </w:t>
            </w:r>
            <w:r w:rsidRPr="00AB26B3">
              <w:rPr>
                <w:noProof/>
                <w:spacing w:val="-6"/>
                <w:lang w:val="sk-SK"/>
              </w:rPr>
              <w:t>odborná príprava</w:t>
            </w:r>
          </w:p>
        </w:tc>
      </w:tr>
      <w:tr w:rsidR="00302FC1" w:rsidRPr="00AB26B3" w14:paraId="73FEEA25"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9666B2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170c</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928F4EE" w14:textId="1012991D"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16795_zdravotnícka infraštruktúra</w:t>
            </w:r>
          </w:p>
        </w:tc>
        <w:tc>
          <w:tcPr>
            <w:tcW w:w="1680" w:type="dxa"/>
            <w:tcBorders>
              <w:top w:val="nil"/>
              <w:left w:val="nil"/>
              <w:bottom w:val="single" w:sz="4" w:space="0" w:color="auto"/>
              <w:right w:val="single" w:sz="4" w:space="0" w:color="auto"/>
            </w:tcBorders>
            <w:shd w:val="clear" w:color="auto" w:fill="C6EFCE"/>
            <w:noWrap/>
            <w:vAlign w:val="center"/>
            <w:hideMark/>
          </w:tcPr>
          <w:p w14:paraId="334938C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1B14474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Modernizácia infraštruktúry NHS – krok 4</w:t>
            </w:r>
          </w:p>
        </w:tc>
      </w:tr>
      <w:tr w:rsidR="00302FC1" w:rsidRPr="00AB26B3" w14:paraId="1DB9EA2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69839B"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170d</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0BEA9605" w14:textId="7C169969"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16795_zdravotnícka infraštruktúra</w:t>
            </w:r>
          </w:p>
        </w:tc>
        <w:tc>
          <w:tcPr>
            <w:tcW w:w="1680" w:type="dxa"/>
            <w:tcBorders>
              <w:top w:val="nil"/>
              <w:left w:val="nil"/>
              <w:bottom w:val="single" w:sz="4" w:space="0" w:color="auto"/>
              <w:right w:val="single" w:sz="4" w:space="0" w:color="auto"/>
            </w:tcBorders>
            <w:shd w:val="clear" w:color="auto" w:fill="C6EFCE"/>
            <w:noWrap/>
            <w:vAlign w:val="center"/>
          </w:tcPr>
          <w:p w14:paraId="418A06F2"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tcPr>
          <w:p w14:paraId="6739568A"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Modernizácia infraštruktúry NHS – krok 5</w:t>
            </w:r>
          </w:p>
        </w:tc>
      </w:tr>
      <w:tr w:rsidR="00302FC1" w:rsidRPr="00AB26B3" w14:paraId="33141B60"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5914AB"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170e</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747A9B91" w14:textId="791D77FE"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10 – 3.3. Zlepšenie odolnosti, dostupnosti</w:t>
            </w:r>
            <w:r w:rsidR="00AB26B3" w:rsidRPr="00AB26B3">
              <w:rPr>
                <w:noProof/>
                <w:spacing w:val="-6"/>
                <w:lang w:val="sk-SK"/>
              </w:rPr>
              <w:t xml:space="preserve"> a </w:t>
            </w:r>
            <w:r w:rsidRPr="00AB26B3">
              <w:rPr>
                <w:noProof/>
                <w:spacing w:val="-6"/>
                <w:lang w:val="sk-SK"/>
              </w:rPr>
              <w:t>udržateľnosti zdravotnej starostlivosti – 16795_zdravotnícka infraštruktúra</w:t>
            </w:r>
          </w:p>
        </w:tc>
        <w:tc>
          <w:tcPr>
            <w:tcW w:w="1680" w:type="dxa"/>
            <w:tcBorders>
              <w:top w:val="nil"/>
              <w:left w:val="nil"/>
              <w:bottom w:val="single" w:sz="4" w:space="0" w:color="auto"/>
              <w:right w:val="single" w:sz="4" w:space="0" w:color="auto"/>
            </w:tcBorders>
            <w:shd w:val="clear" w:color="auto" w:fill="C6EFCE"/>
            <w:noWrap/>
            <w:vAlign w:val="center"/>
          </w:tcPr>
          <w:p w14:paraId="1EAEF367"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38BC83AB"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Modernizácia infraštruktúry NHS – zdravotnícke vybavenie</w:t>
            </w:r>
          </w:p>
        </w:tc>
      </w:tr>
      <w:tr w:rsidR="00302FC1" w:rsidRPr="00AB26B3" w14:paraId="301EA4BE"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56B0D1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171</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6E0FAD4" w14:textId="34092D7C"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16757_Zriadenie rádioterapeutického centra</w:t>
            </w:r>
            <w:r w:rsidR="00AB26B3" w:rsidRPr="00AB26B3">
              <w:rPr>
                <w:noProof/>
                <w:spacing w:val="-6"/>
                <w:lang w:val="sk-SK"/>
              </w:rPr>
              <w:t xml:space="preserve"> v </w:t>
            </w:r>
            <w:r w:rsidRPr="00AB26B3">
              <w:rPr>
                <w:noProof/>
                <w:spacing w:val="-6"/>
                <w:lang w:val="sk-SK"/>
              </w:rPr>
              <w:t>hrudníku „Sotiria“</w:t>
            </w:r>
          </w:p>
        </w:tc>
        <w:tc>
          <w:tcPr>
            <w:tcW w:w="1680" w:type="dxa"/>
            <w:tcBorders>
              <w:top w:val="nil"/>
              <w:left w:val="nil"/>
              <w:bottom w:val="single" w:sz="4" w:space="0" w:color="auto"/>
              <w:right w:val="single" w:sz="4" w:space="0" w:color="auto"/>
            </w:tcBorders>
            <w:shd w:val="clear" w:color="auto" w:fill="C6EFCE"/>
            <w:noWrap/>
            <w:vAlign w:val="center"/>
            <w:hideMark/>
          </w:tcPr>
          <w:p w14:paraId="50034C9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299E11D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Rádioterapeutické centrum Sotiria</w:t>
            </w:r>
          </w:p>
        </w:tc>
      </w:tr>
      <w:tr w:rsidR="00302FC1" w:rsidRPr="00AB26B3" w14:paraId="10E9159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2A2E5B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E545FE5" w14:textId="5113C6E6"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dostupnosť</w:t>
            </w:r>
            <w:r w:rsidR="00AB26B3" w:rsidRPr="00AB26B3">
              <w:rPr>
                <w:noProof/>
                <w:spacing w:val="-6"/>
                <w:lang w:val="sk-SK"/>
              </w:rPr>
              <w:t xml:space="preserve"> a </w:t>
            </w:r>
            <w:r w:rsidRPr="00AB26B3">
              <w:rPr>
                <w:noProof/>
                <w:spacing w:val="-6"/>
                <w:lang w:val="sk-SK"/>
              </w:rPr>
              <w:t>udržateľnosť zdravotnej starostlivosti – 16793_Cell &amp; Gene Therapies and Hematology Clinic Laboratories</w:t>
            </w:r>
            <w:r w:rsidR="00AB26B3" w:rsidRPr="00AB26B3">
              <w:rPr>
                <w:noProof/>
                <w:spacing w:val="-6"/>
                <w:lang w:val="sk-SK"/>
              </w:rPr>
              <w:t xml:space="preserve"> v </w:t>
            </w:r>
            <w:r w:rsidRPr="00AB26B3">
              <w:rPr>
                <w:noProof/>
                <w:spacing w:val="-6"/>
                <w:lang w:val="sk-SK"/>
              </w:rPr>
              <w:t>rámci všeobecnej nemocnice</w:t>
            </w:r>
            <w:r w:rsidR="00AB26B3" w:rsidRPr="00AB26B3">
              <w:rPr>
                <w:noProof/>
                <w:spacing w:val="-6"/>
                <w:lang w:val="sk-SK"/>
              </w:rPr>
              <w:t xml:space="preserve"> v </w:t>
            </w:r>
            <w:r w:rsidRPr="00AB26B3">
              <w:rPr>
                <w:noProof/>
                <w:spacing w:val="-6"/>
                <w:lang w:val="sk-SK"/>
              </w:rPr>
              <w:t>Solúne „Papanikolaou“</w:t>
            </w:r>
          </w:p>
        </w:tc>
        <w:tc>
          <w:tcPr>
            <w:tcW w:w="1680" w:type="dxa"/>
            <w:tcBorders>
              <w:top w:val="nil"/>
              <w:left w:val="nil"/>
              <w:bottom w:val="single" w:sz="4" w:space="0" w:color="auto"/>
              <w:right w:val="single" w:sz="4" w:space="0" w:color="auto"/>
            </w:tcBorders>
            <w:shd w:val="clear" w:color="auto" w:fill="C6EFCE"/>
            <w:noWrap/>
            <w:vAlign w:val="center"/>
            <w:hideMark/>
          </w:tcPr>
          <w:p w14:paraId="65EFC50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3A66B2E0" w14:textId="5E1D687A"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Nemocnica</w:t>
            </w:r>
            <w:r w:rsidR="00AB26B3" w:rsidRPr="00AB26B3">
              <w:rPr>
                <w:noProof/>
                <w:spacing w:val="-6"/>
                <w:lang w:val="sk-SK"/>
              </w:rPr>
              <w:t xml:space="preserve"> v </w:t>
            </w:r>
            <w:r w:rsidRPr="00AB26B3">
              <w:rPr>
                <w:noProof/>
                <w:spacing w:val="-6"/>
                <w:lang w:val="sk-SK"/>
              </w:rPr>
              <w:t xml:space="preserve">Papanikolaou </w:t>
            </w:r>
          </w:p>
        </w:tc>
      </w:tr>
      <w:tr w:rsidR="00302FC1" w:rsidRPr="00AB26B3" w14:paraId="7D1A4B74"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EE100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FE8E183" w14:textId="7F11FFD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tc>
        <w:tc>
          <w:tcPr>
            <w:tcW w:w="1680" w:type="dxa"/>
            <w:tcBorders>
              <w:top w:val="nil"/>
              <w:left w:val="nil"/>
              <w:bottom w:val="single" w:sz="4" w:space="0" w:color="auto"/>
              <w:right w:val="single" w:sz="4" w:space="0" w:color="auto"/>
            </w:tcBorders>
            <w:shd w:val="clear" w:color="auto" w:fill="C6EFCE"/>
            <w:noWrap/>
            <w:vAlign w:val="center"/>
            <w:hideMark/>
          </w:tcPr>
          <w:p w14:paraId="64202EB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1ABF672" w14:textId="64854F72"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Digitálna transformácia – všetky realizované čiastkové projekty, krok 1</w:t>
            </w:r>
          </w:p>
        </w:tc>
      </w:tr>
      <w:tr w:rsidR="00302FC1" w:rsidRPr="00AB26B3" w14:paraId="2DE7FAB9"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CD8B63" w14:textId="77777777" w:rsidR="00302FC1" w:rsidRPr="00AB26B3" w:rsidRDefault="00D64F26">
            <w:pPr>
              <w:pStyle w:val="P68B1DB1-Normal11"/>
              <w:spacing w:line="240" w:lineRule="auto"/>
              <w:jc w:val="both"/>
              <w:rPr>
                <w:noProof/>
                <w:spacing w:val="-6"/>
                <w:lang w:val="sk-SK"/>
              </w:rPr>
            </w:pPr>
            <w:r w:rsidRPr="00AB26B3">
              <w:rPr>
                <w:noProof/>
                <w:spacing w:val="-6"/>
                <w:lang w:val="sk-SK"/>
              </w:rPr>
              <w:t>173a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C6944B0" w14:textId="65FF658D"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tc>
        <w:tc>
          <w:tcPr>
            <w:tcW w:w="1680" w:type="dxa"/>
            <w:tcBorders>
              <w:top w:val="nil"/>
              <w:left w:val="nil"/>
              <w:bottom w:val="single" w:sz="4" w:space="0" w:color="auto"/>
              <w:right w:val="single" w:sz="4" w:space="0" w:color="auto"/>
            </w:tcBorders>
            <w:shd w:val="clear" w:color="auto" w:fill="C6EFCE"/>
            <w:noWrap/>
            <w:vAlign w:val="center"/>
            <w:hideMark/>
          </w:tcPr>
          <w:p w14:paraId="3D7CC0D2"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5FE0A8F" w14:textId="2014A005"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Digitálna transformácia – všetky realizované čiastkové projekty, krok 2</w:t>
            </w:r>
          </w:p>
        </w:tc>
      </w:tr>
      <w:tr w:rsidR="00302FC1" w:rsidRPr="00AB26B3" w14:paraId="4EF3A56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78A5EE7" w14:textId="77777777" w:rsidR="00302FC1" w:rsidRPr="00AB26B3" w:rsidRDefault="00D64F26">
            <w:pPr>
              <w:pStyle w:val="P68B1DB1-Normal11"/>
              <w:spacing w:line="240" w:lineRule="auto"/>
              <w:jc w:val="both"/>
              <w:rPr>
                <w:noProof/>
                <w:spacing w:val="-6"/>
                <w:lang w:val="sk-SK"/>
              </w:rPr>
            </w:pPr>
            <w:r w:rsidRPr="00AB26B3">
              <w:rPr>
                <w:noProof/>
                <w:spacing w:val="-6"/>
                <w:lang w:val="sk-SK"/>
              </w:rPr>
              <w:t>173b</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26799A3" w14:textId="0061AC3F"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10 – 3.3. Zlepšiť odolnosť, prístupnosť</w:t>
            </w:r>
            <w:r w:rsidR="00AB26B3" w:rsidRPr="00AB26B3">
              <w:rPr>
                <w:noProof/>
                <w:spacing w:val="-6"/>
                <w:lang w:val="sk-SK"/>
              </w:rPr>
              <w:t xml:space="preserve"> a </w:t>
            </w:r>
            <w:r w:rsidRPr="00AB26B3">
              <w:rPr>
                <w:noProof/>
                <w:spacing w:val="-6"/>
                <w:lang w:val="sk-SK"/>
              </w:rPr>
              <w:t>udržateľnosť zdravotnej starostlivosti – 16752_DigHealth (DigHealth)</w:t>
            </w:r>
          </w:p>
        </w:tc>
        <w:tc>
          <w:tcPr>
            <w:tcW w:w="1680" w:type="dxa"/>
            <w:tcBorders>
              <w:top w:val="nil"/>
              <w:left w:val="nil"/>
              <w:bottom w:val="single" w:sz="4" w:space="0" w:color="auto"/>
              <w:right w:val="single" w:sz="4" w:space="0" w:color="auto"/>
            </w:tcBorders>
            <w:shd w:val="clear" w:color="auto" w:fill="C6EFCE"/>
            <w:noWrap/>
            <w:vAlign w:val="center"/>
            <w:hideMark/>
          </w:tcPr>
          <w:p w14:paraId="6B7DD442"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544E435" w14:textId="3D6A5F99"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Digitálna transformácia – všetky realizované čiastkové projekty, krok 3</w:t>
            </w:r>
          </w:p>
        </w:tc>
      </w:tr>
      <w:tr w:rsidR="00302FC1" w:rsidRPr="00AB26B3" w14:paraId="47E03C4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741CA286" w14:textId="77777777"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174a</w:t>
            </w:r>
          </w:p>
        </w:tc>
        <w:tc>
          <w:tcPr>
            <w:tcW w:w="5581" w:type="dxa"/>
            <w:gridSpan w:val="2"/>
            <w:tcBorders>
              <w:top w:val="nil"/>
              <w:left w:val="single" w:sz="4" w:space="0" w:color="auto"/>
              <w:bottom w:val="single" w:sz="4" w:space="0" w:color="auto"/>
              <w:right w:val="single" w:sz="4" w:space="0" w:color="auto"/>
            </w:tcBorders>
            <w:shd w:val="clear" w:color="auto" w:fill="C6EFCE"/>
            <w:noWrap/>
            <w:hideMark/>
          </w:tcPr>
          <w:p w14:paraId="0993ED89" w14:textId="6E9889D2"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16904_ Prístupnosť</w:t>
            </w:r>
            <w:r w:rsidR="00AB26B3" w:rsidRPr="00AB26B3">
              <w:rPr>
                <w:noProof/>
                <w:spacing w:val="-6"/>
                <w:lang w:val="sk-SK"/>
              </w:rPr>
              <w:t xml:space="preserve"> a </w:t>
            </w:r>
            <w:r w:rsidRPr="00AB26B3">
              <w:rPr>
                <w:noProof/>
                <w:spacing w:val="-6"/>
                <w:lang w:val="sk-SK"/>
              </w:rPr>
              <w:t>podpora infraštruktúrnych intervencií</w:t>
            </w:r>
            <w:r w:rsidR="00AB26B3" w:rsidRPr="00AB26B3">
              <w:rPr>
                <w:noProof/>
                <w:spacing w:val="-6"/>
                <w:lang w:val="sk-SK"/>
              </w:rPr>
              <w:t xml:space="preserve"> v </w:t>
            </w:r>
            <w:r w:rsidRPr="00AB26B3">
              <w:rPr>
                <w:noProof/>
                <w:spacing w:val="-6"/>
                <w:lang w:val="sk-SK"/>
              </w:rPr>
              <w:t>ranom detstve, zavedenie systému pomoci osobám so zdravotným postihnutím na vnútroštátnej úrovni</w:t>
            </w:r>
          </w:p>
        </w:tc>
        <w:tc>
          <w:tcPr>
            <w:tcW w:w="1680" w:type="dxa"/>
            <w:tcBorders>
              <w:top w:val="nil"/>
              <w:left w:val="nil"/>
              <w:bottom w:val="single" w:sz="4" w:space="0" w:color="auto"/>
              <w:right w:val="single" w:sz="4" w:space="0" w:color="auto"/>
            </w:tcBorders>
            <w:shd w:val="clear" w:color="auto" w:fill="C6EFCE"/>
            <w:noWrap/>
            <w:hideMark/>
          </w:tcPr>
          <w:p w14:paraId="0B0C682E"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76056428" w14:textId="3AFD7F2E"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Prístupnosť</w:t>
            </w:r>
            <w:r w:rsidR="00AB26B3" w:rsidRPr="00AB26B3">
              <w:rPr>
                <w:noProof/>
                <w:spacing w:val="-6"/>
                <w:lang w:val="sk-SK"/>
              </w:rPr>
              <w:t xml:space="preserve"> a </w:t>
            </w:r>
            <w:r w:rsidRPr="00AB26B3">
              <w:rPr>
                <w:noProof/>
                <w:spacing w:val="-6"/>
                <w:lang w:val="sk-SK"/>
              </w:rPr>
              <w:t>podporná infraštruktúra, intervencie</w:t>
            </w:r>
            <w:r w:rsidR="00AB26B3" w:rsidRPr="00AB26B3">
              <w:rPr>
                <w:noProof/>
                <w:spacing w:val="-6"/>
                <w:lang w:val="sk-SK"/>
              </w:rPr>
              <w:t xml:space="preserve"> v </w:t>
            </w:r>
            <w:r w:rsidRPr="00AB26B3">
              <w:rPr>
                <w:noProof/>
                <w:spacing w:val="-6"/>
                <w:lang w:val="sk-SK"/>
              </w:rPr>
              <w:t>ranom detstve, vnútroštátne zavádzanie systému osobnej asistencie pre osoby so zdravotným postihnutím</w:t>
            </w:r>
          </w:p>
        </w:tc>
      </w:tr>
      <w:tr w:rsidR="00302FC1" w:rsidRPr="00AB26B3" w14:paraId="4D1648A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746ED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178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0DCD1729" w14:textId="1814327C"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16919_Ochrana detí</w:t>
            </w:r>
          </w:p>
        </w:tc>
        <w:tc>
          <w:tcPr>
            <w:tcW w:w="1680" w:type="dxa"/>
            <w:tcBorders>
              <w:top w:val="nil"/>
              <w:left w:val="nil"/>
              <w:bottom w:val="single" w:sz="4" w:space="0" w:color="auto"/>
              <w:right w:val="single" w:sz="4" w:space="0" w:color="auto"/>
            </w:tcBorders>
            <w:shd w:val="clear" w:color="auto" w:fill="C6EFCE"/>
            <w:noWrap/>
            <w:vAlign w:val="center"/>
          </w:tcPr>
          <w:p w14:paraId="0FFE2656" w14:textId="6E51AAFC"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24117731" w14:textId="4E1966E1"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Samostatné obytné byty na deinštitucionalizáciu osôb do 26 rokov</w:t>
            </w:r>
          </w:p>
        </w:tc>
      </w:tr>
      <w:tr w:rsidR="00302FC1" w:rsidRPr="00AB26B3" w14:paraId="08C83C3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ED6F64"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179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31D72D24" w14:textId="39BC874D"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16904_Zdravotné postihnutie</w:t>
            </w:r>
          </w:p>
        </w:tc>
        <w:tc>
          <w:tcPr>
            <w:tcW w:w="1680" w:type="dxa"/>
            <w:tcBorders>
              <w:top w:val="nil"/>
              <w:left w:val="nil"/>
              <w:bottom w:val="single" w:sz="4" w:space="0" w:color="auto"/>
              <w:right w:val="single" w:sz="4" w:space="0" w:color="auto"/>
            </w:tcBorders>
            <w:shd w:val="clear" w:color="auto" w:fill="C6EFCE"/>
            <w:noWrap/>
            <w:vAlign w:val="center"/>
          </w:tcPr>
          <w:p w14:paraId="26EB817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33D18AD7" w14:textId="4C5D1669"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Vnútroštátne zavedenie systému pre osoby so zdravotným postihnutím</w:t>
            </w:r>
            <w:r w:rsidR="00AB26B3" w:rsidRPr="00AB26B3">
              <w:rPr>
                <w:noProof/>
                <w:spacing w:val="-6"/>
                <w:lang w:val="sk-SK"/>
              </w:rPr>
              <w:t xml:space="preserve"> v </w:t>
            </w:r>
            <w:r w:rsidRPr="00AB26B3">
              <w:rPr>
                <w:noProof/>
                <w:spacing w:val="-6"/>
                <w:lang w:val="sk-SK"/>
              </w:rPr>
              <w:t>rámci osobnej asistencie</w:t>
            </w:r>
            <w:r w:rsidR="00AB26B3" w:rsidRPr="00AB26B3">
              <w:rPr>
                <w:noProof/>
                <w:spacing w:val="-6"/>
                <w:lang w:val="sk-SK"/>
              </w:rPr>
              <w:t xml:space="preserve"> a </w:t>
            </w:r>
            <w:r w:rsidRPr="00AB26B3">
              <w:rPr>
                <w:noProof/>
                <w:spacing w:val="-6"/>
                <w:lang w:val="sk-SK"/>
              </w:rPr>
              <w:t>realizácia druhej fázy hodnotenia zdravotného postihnutia</w:t>
            </w:r>
            <w:r w:rsidR="00AB26B3" w:rsidRPr="00AB26B3">
              <w:rPr>
                <w:noProof/>
                <w:spacing w:val="-6"/>
                <w:lang w:val="sk-SK"/>
              </w:rPr>
              <w:t xml:space="preserve"> v </w:t>
            </w:r>
            <w:r w:rsidRPr="00AB26B3">
              <w:rPr>
                <w:noProof/>
                <w:spacing w:val="-6"/>
                <w:lang w:val="sk-SK"/>
              </w:rPr>
              <w:t>rámci osobnej asistencie</w:t>
            </w:r>
          </w:p>
        </w:tc>
      </w:tr>
      <w:tr w:rsidR="00302FC1" w:rsidRPr="00AB26B3" w14:paraId="614683D3"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tcPr>
          <w:p w14:paraId="04B9CE5D"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181</w:t>
            </w:r>
          </w:p>
        </w:tc>
        <w:tc>
          <w:tcPr>
            <w:tcW w:w="5581" w:type="dxa"/>
            <w:gridSpan w:val="2"/>
            <w:tcBorders>
              <w:top w:val="nil"/>
              <w:left w:val="single" w:sz="4" w:space="0" w:color="auto"/>
              <w:bottom w:val="single" w:sz="4" w:space="0" w:color="auto"/>
              <w:right w:val="single" w:sz="4" w:space="0" w:color="auto"/>
            </w:tcBorders>
            <w:shd w:val="clear" w:color="auto" w:fill="C6EFCE"/>
            <w:noWrap/>
          </w:tcPr>
          <w:p w14:paraId="672E7FDA" w14:textId="0B0F3505"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16402_Sociálne</w:t>
            </w:r>
            <w:r w:rsidR="00AB26B3" w:rsidRPr="00AB26B3">
              <w:rPr>
                <w:noProof/>
                <w:spacing w:val="-6"/>
                <w:lang w:val="sk-SK"/>
              </w:rPr>
              <w:t xml:space="preserve"> a </w:t>
            </w:r>
            <w:r w:rsidRPr="00AB26B3">
              <w:rPr>
                <w:noProof/>
                <w:spacing w:val="-6"/>
                <w:lang w:val="sk-SK"/>
              </w:rPr>
              <w:t>cenovo dostupné bývanie</w:t>
            </w:r>
          </w:p>
        </w:tc>
        <w:tc>
          <w:tcPr>
            <w:tcW w:w="1680" w:type="dxa"/>
            <w:tcBorders>
              <w:top w:val="nil"/>
              <w:left w:val="nil"/>
              <w:bottom w:val="single" w:sz="4" w:space="0" w:color="auto"/>
              <w:right w:val="single" w:sz="4" w:space="0" w:color="auto"/>
            </w:tcBorders>
            <w:shd w:val="clear" w:color="auto" w:fill="C6EFCE"/>
            <w:noWrap/>
          </w:tcPr>
          <w:p w14:paraId="7DEBC5A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tcPr>
          <w:p w14:paraId="59099FDB" w14:textId="04687765"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Národná stratégia bývania</w:t>
            </w:r>
          </w:p>
        </w:tc>
      </w:tr>
      <w:tr w:rsidR="00302FC1" w:rsidRPr="00AB26B3" w14:paraId="7635D0AC"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693C2BBD"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182a</w:t>
            </w:r>
          </w:p>
        </w:tc>
        <w:tc>
          <w:tcPr>
            <w:tcW w:w="5581" w:type="dxa"/>
            <w:gridSpan w:val="2"/>
            <w:tcBorders>
              <w:top w:val="nil"/>
              <w:left w:val="single" w:sz="4" w:space="0" w:color="auto"/>
              <w:bottom w:val="single" w:sz="4" w:space="0" w:color="auto"/>
              <w:right w:val="single" w:sz="4" w:space="0" w:color="auto"/>
            </w:tcBorders>
            <w:shd w:val="clear" w:color="auto" w:fill="C6EFCE"/>
            <w:noWrap/>
            <w:hideMark/>
          </w:tcPr>
          <w:p w14:paraId="4466D5B1" w14:textId="618EB962"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16925_Digitálna transformácia systému sociálnej podpory</w:t>
            </w:r>
          </w:p>
        </w:tc>
        <w:tc>
          <w:tcPr>
            <w:tcW w:w="1680" w:type="dxa"/>
            <w:tcBorders>
              <w:top w:val="nil"/>
              <w:left w:val="nil"/>
              <w:bottom w:val="single" w:sz="4" w:space="0" w:color="auto"/>
              <w:right w:val="single" w:sz="4" w:space="0" w:color="auto"/>
            </w:tcBorders>
            <w:shd w:val="clear" w:color="auto" w:fill="C6EFCE"/>
            <w:noWrap/>
            <w:hideMark/>
          </w:tcPr>
          <w:p w14:paraId="3820AD96"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58B01581"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Národný portál pre osoby so zdravotným postihnutím</w:t>
            </w:r>
          </w:p>
        </w:tc>
      </w:tr>
      <w:tr w:rsidR="00302FC1" w:rsidRPr="00AB26B3" w14:paraId="6290E47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9935C63"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182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54BE5DA" w14:textId="0B29AEEE"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16925_Digitálna transformácia systému sociálnej podpory</w:t>
            </w:r>
          </w:p>
        </w:tc>
        <w:tc>
          <w:tcPr>
            <w:tcW w:w="1680" w:type="dxa"/>
            <w:tcBorders>
              <w:top w:val="nil"/>
              <w:left w:val="nil"/>
              <w:bottom w:val="single" w:sz="4" w:space="0" w:color="auto"/>
              <w:right w:val="single" w:sz="4" w:space="0" w:color="auto"/>
            </w:tcBorders>
            <w:shd w:val="clear" w:color="auto" w:fill="C6EFCE"/>
            <w:noWrap/>
            <w:vAlign w:val="center"/>
            <w:hideMark/>
          </w:tcPr>
          <w:p w14:paraId="7BBDDC9E" w14:textId="6C1400AF"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3DC5A67D"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Vydávanie preukazov osôb so zdravotným postihnutím oprávneným osobám</w:t>
            </w:r>
          </w:p>
        </w:tc>
      </w:tr>
      <w:tr w:rsidR="00302FC1" w:rsidRPr="00AB26B3" w14:paraId="2E8BEFA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B98DDDA"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183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283D85F" w14:textId="0607E11F"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16922_Sociálna integrácia</w:t>
            </w:r>
          </w:p>
        </w:tc>
        <w:tc>
          <w:tcPr>
            <w:tcW w:w="1680" w:type="dxa"/>
            <w:tcBorders>
              <w:top w:val="nil"/>
              <w:left w:val="nil"/>
              <w:bottom w:val="single" w:sz="4" w:space="0" w:color="auto"/>
              <w:right w:val="single" w:sz="4" w:space="0" w:color="auto"/>
            </w:tcBorders>
            <w:shd w:val="clear" w:color="auto" w:fill="C6EFCE"/>
            <w:noWrap/>
            <w:vAlign w:val="center"/>
            <w:hideMark/>
          </w:tcPr>
          <w:p w14:paraId="7710AF2B" w14:textId="29898798"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61CEBB9" w14:textId="6E57566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Vstup do programov na podporu zamestnanosti</w:t>
            </w:r>
            <w:r w:rsidR="00AB26B3" w:rsidRPr="00AB26B3">
              <w:rPr>
                <w:noProof/>
                <w:spacing w:val="-6"/>
                <w:lang w:val="sk-SK"/>
              </w:rPr>
              <w:t xml:space="preserve"> a </w:t>
            </w:r>
            <w:r w:rsidRPr="00AB26B3">
              <w:rPr>
                <w:noProof/>
                <w:spacing w:val="-6"/>
                <w:lang w:val="sk-SK"/>
              </w:rPr>
              <w:t>certifikácia potvrdzujúca účasť príjemcov GMI na odbornej príprave</w:t>
            </w:r>
          </w:p>
        </w:tc>
      </w:tr>
      <w:tr w:rsidR="00302FC1" w:rsidRPr="00AB26B3" w14:paraId="3E0B7D1C"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49758C2B"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186a</w:t>
            </w:r>
          </w:p>
        </w:tc>
        <w:tc>
          <w:tcPr>
            <w:tcW w:w="5581" w:type="dxa"/>
            <w:gridSpan w:val="2"/>
            <w:tcBorders>
              <w:top w:val="nil"/>
              <w:left w:val="single" w:sz="4" w:space="0" w:color="auto"/>
              <w:bottom w:val="single" w:sz="4" w:space="0" w:color="auto"/>
              <w:right w:val="single" w:sz="4" w:space="0" w:color="auto"/>
            </w:tcBorders>
            <w:shd w:val="clear" w:color="auto" w:fill="C6EFCE"/>
            <w:noWrap/>
            <w:hideMark/>
          </w:tcPr>
          <w:p w14:paraId="3D8F37CC" w14:textId="6F40B55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16922_Sociálna integrácia</w:t>
            </w:r>
          </w:p>
        </w:tc>
        <w:tc>
          <w:tcPr>
            <w:tcW w:w="1680" w:type="dxa"/>
            <w:tcBorders>
              <w:top w:val="nil"/>
              <w:left w:val="nil"/>
              <w:bottom w:val="single" w:sz="4" w:space="0" w:color="auto"/>
              <w:right w:val="single" w:sz="4" w:space="0" w:color="auto"/>
            </w:tcBorders>
            <w:shd w:val="clear" w:color="auto" w:fill="C6EFCE"/>
            <w:noWrap/>
            <w:hideMark/>
          </w:tcPr>
          <w:p w14:paraId="3A5C4F59"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025CD2B1"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Sociálna integrácia zraniteľných skupín, digitálna odborná príprava</w:t>
            </w:r>
          </w:p>
        </w:tc>
      </w:tr>
      <w:tr w:rsidR="00302FC1" w:rsidRPr="00AB26B3" w14:paraId="2409C38E"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9CB667A"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187</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B2735DA" w14:textId="79C56BC5"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16688: Podporovať integráciu utečencov do trhu práce </w:t>
            </w:r>
          </w:p>
        </w:tc>
        <w:tc>
          <w:tcPr>
            <w:tcW w:w="1680" w:type="dxa"/>
            <w:tcBorders>
              <w:top w:val="nil"/>
              <w:left w:val="nil"/>
              <w:bottom w:val="single" w:sz="4" w:space="0" w:color="auto"/>
              <w:right w:val="single" w:sz="4" w:space="0" w:color="auto"/>
            </w:tcBorders>
            <w:shd w:val="clear" w:color="auto" w:fill="C6EFCE"/>
            <w:noWrap/>
            <w:vAlign w:val="center"/>
            <w:hideMark/>
          </w:tcPr>
          <w:p w14:paraId="5A49DCBD" w14:textId="363DC949"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EA611E7"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Integrácia utečencov na trhu práce</w:t>
            </w:r>
          </w:p>
        </w:tc>
      </w:tr>
      <w:tr w:rsidR="00302FC1" w:rsidRPr="00AB26B3" w14:paraId="4951762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59FE2F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194</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1D42443" w14:textId="2EA157E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16611_Digitálna transformácia daňových auditov</w:t>
            </w:r>
          </w:p>
        </w:tc>
        <w:tc>
          <w:tcPr>
            <w:tcW w:w="1680" w:type="dxa"/>
            <w:tcBorders>
              <w:top w:val="nil"/>
              <w:left w:val="nil"/>
              <w:bottom w:val="single" w:sz="4" w:space="0" w:color="auto"/>
              <w:right w:val="single" w:sz="4" w:space="0" w:color="auto"/>
            </w:tcBorders>
            <w:shd w:val="clear" w:color="auto" w:fill="C6EFCE"/>
            <w:noWrap/>
            <w:vAlign w:val="center"/>
            <w:hideMark/>
          </w:tcPr>
          <w:p w14:paraId="427FC6B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3AF7A3BE" w14:textId="041AC25E"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Dodanie</w:t>
            </w:r>
            <w:r w:rsidR="00AB26B3" w:rsidRPr="00AB26B3">
              <w:rPr>
                <w:noProof/>
                <w:spacing w:val="-6"/>
                <w:lang w:val="sk-SK"/>
              </w:rPr>
              <w:t xml:space="preserve"> a </w:t>
            </w:r>
            <w:r w:rsidRPr="00AB26B3">
              <w:rPr>
                <w:noProof/>
                <w:spacing w:val="-6"/>
                <w:lang w:val="sk-SK"/>
              </w:rPr>
              <w:t>uvedenie do používania systémov súvisiacich</w:t>
            </w:r>
            <w:r w:rsidR="00AB26B3" w:rsidRPr="00AB26B3">
              <w:rPr>
                <w:noProof/>
                <w:spacing w:val="-6"/>
                <w:lang w:val="sk-SK"/>
              </w:rPr>
              <w:t xml:space="preserve"> s </w:t>
            </w:r>
            <w:r w:rsidRPr="00AB26B3">
              <w:rPr>
                <w:noProof/>
                <w:spacing w:val="-6"/>
                <w:lang w:val="sk-SK"/>
              </w:rPr>
              <w:t>digitálnou transformáciou daňových auditov</w:t>
            </w:r>
          </w:p>
        </w:tc>
      </w:tr>
      <w:tr w:rsidR="00302FC1" w:rsidRPr="00AB26B3" w14:paraId="0F410615"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52EB6F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195</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C2E2B25" w14:textId="2C8672A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12 – 4.1. Zabezpečenie toho, aby dane boli priaznivejšie pre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16291_Digitálna transformácia daňovej</w:t>
            </w:r>
            <w:r w:rsidR="00AB26B3" w:rsidRPr="00AB26B3">
              <w:rPr>
                <w:noProof/>
                <w:spacing w:val="-6"/>
                <w:lang w:val="sk-SK"/>
              </w:rPr>
              <w:t xml:space="preserve"> a </w:t>
            </w:r>
            <w:r w:rsidRPr="00AB26B3">
              <w:rPr>
                <w:noProof/>
                <w:spacing w:val="-6"/>
                <w:lang w:val="sk-SK"/>
              </w:rPr>
              <w:t>colnej správy</w:t>
            </w:r>
          </w:p>
        </w:tc>
        <w:tc>
          <w:tcPr>
            <w:tcW w:w="1680" w:type="dxa"/>
            <w:tcBorders>
              <w:top w:val="nil"/>
              <w:left w:val="nil"/>
              <w:bottom w:val="single" w:sz="4" w:space="0" w:color="auto"/>
              <w:right w:val="single" w:sz="4" w:space="0" w:color="auto"/>
            </w:tcBorders>
            <w:shd w:val="clear" w:color="auto" w:fill="C6EFCE"/>
            <w:noWrap/>
            <w:vAlign w:val="center"/>
            <w:hideMark/>
          </w:tcPr>
          <w:p w14:paraId="123A2F9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4ADA47EB" w14:textId="7C4FA4A7" w:rsidR="00302FC1" w:rsidRPr="00AB26B3" w:rsidRDefault="00D64F26">
            <w:pPr>
              <w:pStyle w:val="P68B1DB1-Normal15"/>
              <w:spacing w:after="0" w:line="240" w:lineRule="auto"/>
              <w:rPr>
                <w:rFonts w:eastAsia="Times New Roman"/>
                <w:noProof/>
                <w:spacing w:val="-6"/>
                <w:lang w:val="sk-SK"/>
              </w:rPr>
            </w:pPr>
            <w:r w:rsidRPr="00AB26B3">
              <w:rPr>
                <w:noProof/>
                <w:spacing w:val="-6"/>
                <w:lang w:val="sk-SK"/>
              </w:rPr>
              <w:t>Dokončenie prvej fázy výsledkov integrovaného daňového</w:t>
            </w:r>
            <w:r w:rsidR="00AB26B3" w:rsidRPr="00AB26B3">
              <w:rPr>
                <w:noProof/>
                <w:spacing w:val="-6"/>
                <w:lang w:val="sk-SK"/>
              </w:rPr>
              <w:t xml:space="preserve"> a </w:t>
            </w:r>
            <w:r w:rsidRPr="00AB26B3">
              <w:rPr>
                <w:noProof/>
                <w:spacing w:val="-6"/>
                <w:lang w:val="sk-SK"/>
              </w:rPr>
              <w:t>audítorského IT prostredia nezávislého orgánu pre verejné príjmy</w:t>
            </w:r>
          </w:p>
          <w:p w14:paraId="3305CCDA" w14:textId="77777777" w:rsidR="00302FC1" w:rsidRPr="00AB26B3" w:rsidRDefault="00302FC1">
            <w:pPr>
              <w:spacing w:after="0" w:line="240" w:lineRule="auto"/>
              <w:rPr>
                <w:rFonts w:ascii="Times New Roman" w:eastAsia="Times New Roman" w:hAnsi="Times New Roman" w:cs="Times New Roman"/>
                <w:noProof/>
                <w:spacing w:val="-6"/>
                <w:sz w:val="18"/>
                <w:szCs w:val="18"/>
                <w:lang w:val="sk-SK"/>
              </w:rPr>
            </w:pPr>
          </w:p>
          <w:p w14:paraId="58C03BF0" w14:textId="00908FCE" w:rsidR="00302FC1" w:rsidRPr="00AB26B3" w:rsidRDefault="00D64F26">
            <w:pPr>
              <w:pStyle w:val="P68B1DB1-Normal15"/>
              <w:keepNext/>
              <w:spacing w:before="40" w:after="0" w:line="240" w:lineRule="auto"/>
              <w:jc w:val="both"/>
              <w:rPr>
                <w:rFonts w:eastAsia="Times New Roman"/>
                <w:noProof/>
                <w:spacing w:val="-6"/>
                <w:u w:val="single"/>
                <w:lang w:val="sk-SK"/>
              </w:rPr>
            </w:pPr>
            <w:r w:rsidRPr="00AB26B3">
              <w:rPr>
                <w:noProof/>
                <w:spacing w:val="-6"/>
                <w:lang w:val="sk-SK"/>
              </w:rPr>
              <w:t>Realizácia čiastkových projektov ako súčasť digitálnej transformácie IAPR</w:t>
            </w:r>
          </w:p>
          <w:p w14:paraId="5D408527" w14:textId="6F479CE6" w:rsidR="00302FC1" w:rsidRPr="00AB26B3" w:rsidRDefault="00302FC1">
            <w:pPr>
              <w:keepNext/>
              <w:spacing w:before="40" w:after="0" w:line="240" w:lineRule="auto"/>
              <w:jc w:val="both"/>
              <w:rPr>
                <w:rFonts w:ascii="Times New Roman" w:eastAsia="Times New Roman" w:hAnsi="Times New Roman" w:cs="Times New Roman"/>
                <w:noProof/>
                <w:spacing w:val="-6"/>
                <w:sz w:val="18"/>
                <w:szCs w:val="18"/>
                <w:highlight w:val="yellow"/>
                <w:u w:val="single"/>
                <w:lang w:val="sk-SK"/>
              </w:rPr>
            </w:pPr>
          </w:p>
        </w:tc>
      </w:tr>
      <w:tr w:rsidR="00302FC1" w:rsidRPr="00AB26B3" w14:paraId="59FAB9C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93101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204a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40DD58F6" w14:textId="3DD8FC4B"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12 – 4.1. Zabezpečenie toho, aby dane viac podporovali rast,</w:t>
            </w:r>
            <w:r w:rsidR="00AB26B3" w:rsidRPr="00AB26B3">
              <w:rPr>
                <w:noProof/>
                <w:spacing w:val="-6"/>
                <w:lang w:val="sk-SK"/>
              </w:rPr>
              <w:t xml:space="preserve"> a </w:t>
            </w:r>
            <w:r w:rsidRPr="00AB26B3">
              <w:rPr>
                <w:noProof/>
                <w:spacing w:val="-6"/>
                <w:lang w:val="sk-SK"/>
              </w:rPr>
              <w:t>zlepšenie daňovej správy</w:t>
            </w:r>
            <w:r w:rsidR="00AB26B3" w:rsidRPr="00AB26B3">
              <w:rPr>
                <w:noProof/>
                <w:spacing w:val="-6"/>
                <w:lang w:val="sk-SK"/>
              </w:rPr>
              <w:t xml:space="preserve"> a </w:t>
            </w:r>
            <w:r w:rsidRPr="00AB26B3">
              <w:rPr>
                <w:noProof/>
                <w:spacing w:val="-6"/>
                <w:lang w:val="sk-SK"/>
              </w:rPr>
              <w:t>výberu daní – 16643_Kodifikácia</w:t>
            </w:r>
            <w:r w:rsidR="00AB26B3" w:rsidRPr="00AB26B3">
              <w:rPr>
                <w:noProof/>
                <w:spacing w:val="-6"/>
                <w:lang w:val="sk-SK"/>
              </w:rPr>
              <w:t xml:space="preserve"> a </w:t>
            </w:r>
            <w:r w:rsidRPr="00AB26B3">
              <w:rPr>
                <w:noProof/>
                <w:spacing w:val="-6"/>
                <w:lang w:val="sk-SK"/>
              </w:rPr>
              <w:t>zjednodušenie daňových právnych predpisov</w:t>
            </w:r>
          </w:p>
        </w:tc>
        <w:tc>
          <w:tcPr>
            <w:tcW w:w="1680" w:type="dxa"/>
            <w:tcBorders>
              <w:top w:val="nil"/>
              <w:left w:val="nil"/>
              <w:bottom w:val="single" w:sz="4" w:space="0" w:color="auto"/>
              <w:right w:val="single" w:sz="4" w:space="0" w:color="auto"/>
            </w:tcBorders>
            <w:shd w:val="clear" w:color="auto" w:fill="C6EFCE"/>
            <w:noWrap/>
            <w:vAlign w:val="center"/>
          </w:tcPr>
          <w:p w14:paraId="06AAB2F5"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607DED05" w14:textId="48B8F64A"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Uverejnenie primárnych</w:t>
            </w:r>
            <w:r w:rsidR="00AB26B3" w:rsidRPr="00AB26B3">
              <w:rPr>
                <w:noProof/>
                <w:spacing w:val="-6"/>
                <w:lang w:val="sk-SK"/>
              </w:rPr>
              <w:t xml:space="preserve"> a </w:t>
            </w:r>
            <w:r w:rsidRPr="00AB26B3">
              <w:rPr>
                <w:noProof/>
                <w:spacing w:val="-6"/>
                <w:lang w:val="sk-SK"/>
              </w:rPr>
              <w:t>sekundárnych právnych predpisov na webovom sídle daňovníka</w:t>
            </w:r>
          </w:p>
        </w:tc>
      </w:tr>
      <w:tr w:rsidR="00302FC1" w:rsidRPr="00AB26B3" w14:paraId="0DBC80BF"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E345C2"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211a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23F80722" w14:textId="6D34B834"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16952_Posilnenie národného protikorupčného rámca prostredníctvom cielených intervencií</w:t>
            </w:r>
            <w:r w:rsidR="00AB26B3" w:rsidRPr="00AB26B3">
              <w:rPr>
                <w:noProof/>
                <w:spacing w:val="-6"/>
                <w:lang w:val="sk-SK"/>
              </w:rPr>
              <w:t xml:space="preserve"> v </w:t>
            </w:r>
            <w:r w:rsidRPr="00AB26B3">
              <w:rPr>
                <w:noProof/>
                <w:spacing w:val="-6"/>
                <w:lang w:val="sk-SK"/>
              </w:rPr>
              <w:t>oblasti odhaľovania, prevencie</w:t>
            </w:r>
            <w:r w:rsidR="00AB26B3" w:rsidRPr="00AB26B3">
              <w:rPr>
                <w:noProof/>
                <w:spacing w:val="-6"/>
                <w:lang w:val="sk-SK"/>
              </w:rPr>
              <w:t xml:space="preserve"> a </w:t>
            </w:r>
            <w:r w:rsidRPr="00AB26B3">
              <w:rPr>
                <w:noProof/>
                <w:spacing w:val="-6"/>
                <w:lang w:val="sk-SK"/>
              </w:rPr>
              <w:t>zvyšovania informovanosti</w:t>
            </w:r>
          </w:p>
        </w:tc>
        <w:tc>
          <w:tcPr>
            <w:tcW w:w="1680" w:type="dxa"/>
            <w:tcBorders>
              <w:top w:val="nil"/>
              <w:left w:val="nil"/>
              <w:bottom w:val="single" w:sz="4" w:space="0" w:color="auto"/>
              <w:right w:val="single" w:sz="4" w:space="0" w:color="auto"/>
            </w:tcBorders>
            <w:shd w:val="clear" w:color="auto" w:fill="C6EFCE"/>
            <w:noWrap/>
            <w:vAlign w:val="center"/>
          </w:tcPr>
          <w:p w14:paraId="7D366D27"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2C066E26" w14:textId="75005AE2"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Realizácia investičných projektov na podporu digitálnych</w:t>
            </w:r>
            <w:r w:rsidR="00AB26B3" w:rsidRPr="00AB26B3">
              <w:rPr>
                <w:noProof/>
                <w:spacing w:val="-6"/>
                <w:lang w:val="sk-SK"/>
              </w:rPr>
              <w:t xml:space="preserve"> a </w:t>
            </w:r>
            <w:r w:rsidRPr="00AB26B3">
              <w:rPr>
                <w:noProof/>
                <w:spacing w:val="-6"/>
                <w:lang w:val="sk-SK"/>
              </w:rPr>
              <w:t>infraštruktúrnych kapacít národného orgánu pre transparentnosť</w:t>
            </w:r>
          </w:p>
        </w:tc>
      </w:tr>
      <w:tr w:rsidR="00302FC1" w:rsidRPr="00AB26B3" w14:paraId="227003E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3A3EA2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219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25B31BD" w14:textId="408932E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16974_Reforma účtovníctva</w:t>
            </w:r>
          </w:p>
        </w:tc>
        <w:tc>
          <w:tcPr>
            <w:tcW w:w="1680" w:type="dxa"/>
            <w:tcBorders>
              <w:top w:val="nil"/>
              <w:left w:val="nil"/>
              <w:bottom w:val="single" w:sz="4" w:space="0" w:color="auto"/>
              <w:right w:val="single" w:sz="4" w:space="0" w:color="auto"/>
            </w:tcBorders>
            <w:shd w:val="clear" w:color="auto" w:fill="C6EFCE"/>
            <w:noWrap/>
            <w:vAlign w:val="center"/>
            <w:hideMark/>
          </w:tcPr>
          <w:p w14:paraId="4F8FE96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EF970FA" w14:textId="0221C8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Reforma účtovníctva: Konsolidované finančné výkazy za verejnú správu </w:t>
            </w:r>
          </w:p>
        </w:tc>
      </w:tr>
      <w:tr w:rsidR="00302FC1" w:rsidRPr="00AB26B3" w14:paraId="0493EA7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E51BF8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220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12C9FDD" w14:textId="38E21FB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16705_Digitálna transformácia fiškálneho riadenia</w:t>
            </w:r>
            <w:r w:rsidR="00AB26B3" w:rsidRPr="00AB26B3">
              <w:rPr>
                <w:noProof/>
                <w:spacing w:val="-6"/>
                <w:lang w:val="sk-SK"/>
              </w:rPr>
              <w:t xml:space="preserve"> a </w:t>
            </w:r>
            <w:r w:rsidRPr="00AB26B3">
              <w:rPr>
                <w:noProof/>
                <w:spacing w:val="-6"/>
                <w:lang w:val="sk-SK"/>
              </w:rPr>
              <w:t>dohľadu</w:t>
            </w:r>
            <w:r w:rsidR="00AB26B3" w:rsidRPr="00AB26B3">
              <w:rPr>
                <w:noProof/>
                <w:spacing w:val="-6"/>
                <w:lang w:val="sk-SK"/>
              </w:rPr>
              <w:t xml:space="preserve"> v </w:t>
            </w:r>
            <w:r w:rsidRPr="00AB26B3">
              <w:rPr>
                <w:noProof/>
                <w:spacing w:val="-6"/>
                <w:lang w:val="sk-SK"/>
              </w:rPr>
              <w:t>oblasti správy vecí verejných</w:t>
            </w:r>
            <w:r w:rsidR="00AB26B3" w:rsidRPr="00AB26B3">
              <w:rPr>
                <w:noProof/>
                <w:spacing w:val="-6"/>
                <w:lang w:val="sk-SK"/>
              </w:rPr>
              <w:t xml:space="preserve"> a </w:t>
            </w:r>
            <w:r w:rsidRPr="00AB26B3">
              <w:rPr>
                <w:noProof/>
                <w:spacing w:val="-6"/>
                <w:lang w:val="sk-SK"/>
              </w:rPr>
              <w:t>elektronickej fakturácie</w:t>
            </w:r>
          </w:p>
        </w:tc>
        <w:tc>
          <w:tcPr>
            <w:tcW w:w="1680" w:type="dxa"/>
            <w:tcBorders>
              <w:top w:val="nil"/>
              <w:left w:val="nil"/>
              <w:bottom w:val="single" w:sz="4" w:space="0" w:color="auto"/>
              <w:right w:val="single" w:sz="4" w:space="0" w:color="auto"/>
            </w:tcBorders>
            <w:shd w:val="clear" w:color="auto" w:fill="C6EFCE"/>
            <w:noWrap/>
            <w:vAlign w:val="center"/>
            <w:hideMark/>
          </w:tcPr>
          <w:p w14:paraId="07FDBFA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2CAD048A" w14:textId="6F6932FC"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Plánovanie štátnych podnikových zdrojov (govERP)</w:t>
            </w:r>
          </w:p>
        </w:tc>
      </w:tr>
      <w:tr w:rsidR="00302FC1" w:rsidRPr="00AB26B3" w14:paraId="162BEE6B"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995AF6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221</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E766DF7" w14:textId="297AB8B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13 – 4.2. Modernizovať verejnú správu,</w:t>
            </w:r>
            <w:r w:rsidR="00AB26B3" w:rsidRPr="00AB26B3">
              <w:rPr>
                <w:noProof/>
                <w:spacing w:val="-6"/>
                <w:lang w:val="sk-SK"/>
              </w:rPr>
              <w:t xml:space="preserve"> a </w:t>
            </w:r>
            <w:r w:rsidRPr="00AB26B3">
              <w:rPr>
                <w:noProof/>
                <w:spacing w:val="-6"/>
                <w:lang w:val="sk-SK"/>
              </w:rPr>
              <w:t>to aj urýchlením realizácie verejných investícií, zlepšením rámca verejného obstarávania, opatreniami na budovanie kapacít</w:t>
            </w:r>
            <w:r w:rsidR="00AB26B3" w:rsidRPr="00AB26B3">
              <w:rPr>
                <w:noProof/>
                <w:spacing w:val="-6"/>
                <w:lang w:val="sk-SK"/>
              </w:rPr>
              <w:t xml:space="preserve"> a </w:t>
            </w:r>
            <w:r w:rsidRPr="00AB26B3">
              <w:rPr>
                <w:noProof/>
                <w:spacing w:val="-6"/>
                <w:lang w:val="sk-SK"/>
              </w:rPr>
              <w:t>bojom proti korupcii – 16711_Professionalizácia oblasti verejného obstarávania</w:t>
            </w:r>
          </w:p>
        </w:tc>
        <w:tc>
          <w:tcPr>
            <w:tcW w:w="1680" w:type="dxa"/>
            <w:tcBorders>
              <w:top w:val="nil"/>
              <w:left w:val="nil"/>
              <w:bottom w:val="single" w:sz="4" w:space="0" w:color="auto"/>
              <w:right w:val="single" w:sz="4" w:space="0" w:color="auto"/>
            </w:tcBorders>
            <w:shd w:val="clear" w:color="auto" w:fill="C6EFCE"/>
            <w:noWrap/>
            <w:vAlign w:val="center"/>
            <w:hideMark/>
          </w:tcPr>
          <w:p w14:paraId="6065600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Cieľ</w:t>
            </w:r>
          </w:p>
        </w:tc>
        <w:tc>
          <w:tcPr>
            <w:tcW w:w="2280" w:type="dxa"/>
            <w:tcBorders>
              <w:top w:val="nil"/>
              <w:left w:val="nil"/>
              <w:bottom w:val="single" w:sz="4" w:space="0" w:color="auto"/>
              <w:right w:val="single" w:sz="4" w:space="0" w:color="auto"/>
            </w:tcBorders>
            <w:shd w:val="clear" w:color="auto" w:fill="C6EFCE"/>
            <w:noWrap/>
            <w:vAlign w:val="center"/>
            <w:hideMark/>
          </w:tcPr>
          <w:p w14:paraId="2C2157A4" w14:textId="4A21C42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Dokončenie programov zvyšovania úrovne zručností/rekvalifikácie</w:t>
            </w:r>
            <w:r w:rsidR="00AB26B3" w:rsidRPr="00AB26B3">
              <w:rPr>
                <w:noProof/>
                <w:spacing w:val="-6"/>
                <w:lang w:val="sk-SK"/>
              </w:rPr>
              <w:t xml:space="preserve"> v </w:t>
            </w:r>
            <w:r w:rsidRPr="00AB26B3">
              <w:rPr>
                <w:noProof/>
                <w:spacing w:val="-6"/>
                <w:lang w:val="sk-SK"/>
              </w:rPr>
              <w:t>oblasti verejného obstarávania</w:t>
            </w:r>
          </w:p>
        </w:tc>
      </w:tr>
      <w:tr w:rsidR="00302FC1" w:rsidRPr="00AB26B3" w14:paraId="7B6BA38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E664F6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237</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6019FD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16292_Nové justičné budovy</w:t>
            </w:r>
          </w:p>
        </w:tc>
        <w:tc>
          <w:tcPr>
            <w:tcW w:w="1680" w:type="dxa"/>
            <w:tcBorders>
              <w:top w:val="nil"/>
              <w:left w:val="nil"/>
              <w:bottom w:val="single" w:sz="4" w:space="0" w:color="auto"/>
              <w:right w:val="single" w:sz="4" w:space="0" w:color="auto"/>
            </w:tcBorders>
            <w:shd w:val="clear" w:color="auto" w:fill="C6EFCE"/>
            <w:noWrap/>
            <w:vAlign w:val="center"/>
            <w:hideMark/>
          </w:tcPr>
          <w:p w14:paraId="275D475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0864E03" w14:textId="4A5B837B"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Stavebné</w:t>
            </w:r>
            <w:r w:rsidR="00AB26B3" w:rsidRPr="00AB26B3">
              <w:rPr>
                <w:noProof/>
                <w:spacing w:val="-6"/>
                <w:lang w:val="sk-SK"/>
              </w:rPr>
              <w:t xml:space="preserve"> a </w:t>
            </w:r>
            <w:r w:rsidRPr="00AB26B3">
              <w:rPr>
                <w:noProof/>
                <w:spacing w:val="-6"/>
                <w:lang w:val="sk-SK"/>
              </w:rPr>
              <w:t xml:space="preserve">renovačné práce dokončené – elektronická totožnosť – vydané osvedčenia </w:t>
            </w:r>
          </w:p>
        </w:tc>
      </w:tr>
      <w:tr w:rsidR="00302FC1" w:rsidRPr="00AB26B3" w14:paraId="0F7DB4E4"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B6D551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238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C667F0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16575 Urýchlenie výkonu spravodlivosti</w:t>
            </w:r>
          </w:p>
        </w:tc>
        <w:tc>
          <w:tcPr>
            <w:tcW w:w="1680" w:type="dxa"/>
            <w:tcBorders>
              <w:top w:val="nil"/>
              <w:left w:val="nil"/>
              <w:bottom w:val="single" w:sz="4" w:space="0" w:color="auto"/>
              <w:right w:val="single" w:sz="4" w:space="0" w:color="auto"/>
            </w:tcBorders>
            <w:shd w:val="clear" w:color="auto" w:fill="C6EFCE"/>
            <w:noWrap/>
            <w:vAlign w:val="center"/>
            <w:hideMark/>
          </w:tcPr>
          <w:p w14:paraId="63239BA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6818839B" w14:textId="4B70CA50"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 Odborná príprava</w:t>
            </w:r>
            <w:r w:rsidR="00AB26B3" w:rsidRPr="00AB26B3">
              <w:rPr>
                <w:noProof/>
                <w:spacing w:val="-6"/>
                <w:lang w:val="sk-SK"/>
              </w:rPr>
              <w:t xml:space="preserve"> v </w:t>
            </w:r>
            <w:r w:rsidRPr="00AB26B3">
              <w:rPr>
                <w:noProof/>
                <w:spacing w:val="-6"/>
                <w:lang w:val="sk-SK"/>
              </w:rPr>
              <w:t>oblasti mediácie</w:t>
            </w:r>
            <w:r w:rsidR="00AB26B3" w:rsidRPr="00AB26B3">
              <w:rPr>
                <w:noProof/>
                <w:spacing w:val="-6"/>
                <w:lang w:val="sk-SK"/>
              </w:rPr>
              <w:t xml:space="preserve"> a </w:t>
            </w:r>
            <w:r w:rsidRPr="00AB26B3">
              <w:rPr>
                <w:noProof/>
                <w:spacing w:val="-6"/>
                <w:lang w:val="sk-SK"/>
              </w:rPr>
              <w:t>jednotného digitálneho systému pre mediačné centrá</w:t>
            </w:r>
          </w:p>
        </w:tc>
      </w:tr>
      <w:tr w:rsidR="00302FC1" w:rsidRPr="00AB26B3" w14:paraId="3C25490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49151A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239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5F6C17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14 – 4.3. Zlepšiť efektívnosť justičného systému – 16727_Digitálna transformácia justície (elektronická justícia)</w:t>
            </w:r>
          </w:p>
        </w:tc>
        <w:tc>
          <w:tcPr>
            <w:tcW w:w="1680" w:type="dxa"/>
            <w:tcBorders>
              <w:top w:val="nil"/>
              <w:left w:val="nil"/>
              <w:bottom w:val="single" w:sz="4" w:space="0" w:color="auto"/>
              <w:right w:val="single" w:sz="4" w:space="0" w:color="auto"/>
            </w:tcBorders>
            <w:shd w:val="clear" w:color="auto" w:fill="C6EFCE"/>
            <w:noWrap/>
            <w:vAlign w:val="center"/>
            <w:hideMark/>
          </w:tcPr>
          <w:p w14:paraId="5669FDB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3B36B0B1" w14:textId="5ADA79E1"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Vedenie záznamov</w:t>
            </w:r>
            <w:r w:rsidR="00AB26B3" w:rsidRPr="00AB26B3">
              <w:rPr>
                <w:noProof/>
                <w:spacing w:val="-6"/>
                <w:lang w:val="sk-SK"/>
              </w:rPr>
              <w:t xml:space="preserve"> a </w:t>
            </w:r>
            <w:r w:rsidRPr="00AB26B3">
              <w:rPr>
                <w:noProof/>
                <w:spacing w:val="-6"/>
                <w:lang w:val="sk-SK"/>
              </w:rPr>
              <w:t>modernizácia IT</w:t>
            </w:r>
          </w:p>
        </w:tc>
      </w:tr>
      <w:tr w:rsidR="00302FC1" w:rsidRPr="00AB26B3" w14:paraId="0DD3960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D6F3308"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241</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E05C187" w14:textId="57A9FAF1" w:rsidR="00302FC1" w:rsidRPr="00AB26B3" w:rsidRDefault="00D64F26">
            <w:pPr>
              <w:pStyle w:val="P68B1DB1-Normal11"/>
              <w:keepNext/>
              <w:spacing w:before="40" w:after="0" w:line="240" w:lineRule="auto"/>
              <w:jc w:val="both"/>
              <w:rPr>
                <w:rFonts w:cs="Times New Roman"/>
                <w:noProof/>
                <w:spacing w:val="-6"/>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16580_Realizácia nového jednotného rámca pre platobnú neschopnosť na reštrukturalizáciu dlhu</w:t>
            </w:r>
            <w:r w:rsidR="00AB26B3" w:rsidRPr="00AB26B3">
              <w:rPr>
                <w:noProof/>
                <w:spacing w:val="-6"/>
                <w:lang w:val="sk-SK"/>
              </w:rPr>
              <w:t xml:space="preserve"> a </w:t>
            </w:r>
            <w:r w:rsidRPr="00AB26B3">
              <w:rPr>
                <w:noProof/>
                <w:spacing w:val="-6"/>
                <w:lang w:val="sk-SK"/>
              </w:rPr>
              <w:t>2. šancu</w:t>
            </w:r>
          </w:p>
        </w:tc>
        <w:tc>
          <w:tcPr>
            <w:tcW w:w="1680" w:type="dxa"/>
            <w:tcBorders>
              <w:top w:val="nil"/>
              <w:left w:val="nil"/>
              <w:bottom w:val="single" w:sz="4" w:space="0" w:color="auto"/>
              <w:right w:val="single" w:sz="4" w:space="0" w:color="auto"/>
            </w:tcBorders>
            <w:shd w:val="clear" w:color="auto" w:fill="C6EFCE"/>
            <w:noWrap/>
            <w:vAlign w:val="center"/>
            <w:hideMark/>
          </w:tcPr>
          <w:p w14:paraId="2DDE2931"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3EDF0BC7" w14:textId="1AA7BB35"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Modernizácia informačných systémov včasného varovania</w:t>
            </w:r>
            <w:r w:rsidR="00AB26B3" w:rsidRPr="00AB26B3">
              <w:rPr>
                <w:noProof/>
                <w:spacing w:val="-6"/>
                <w:lang w:val="sk-SK"/>
              </w:rPr>
              <w:t xml:space="preserve"> a </w:t>
            </w:r>
            <w:r w:rsidRPr="00AB26B3">
              <w:rPr>
                <w:noProof/>
                <w:spacing w:val="-6"/>
                <w:lang w:val="sk-SK"/>
              </w:rPr>
              <w:t>reštrukturalizácie dlhu</w:t>
            </w:r>
          </w:p>
        </w:tc>
      </w:tr>
      <w:tr w:rsidR="00302FC1" w:rsidRPr="00AB26B3" w14:paraId="4E74A7F0"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92E6D7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243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52B5F67" w14:textId="1F8FED5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16581_Posilnený dohľad nad kapitálovým trhom</w:t>
            </w:r>
            <w:r w:rsidR="00AB26B3" w:rsidRPr="00AB26B3">
              <w:rPr>
                <w:noProof/>
                <w:spacing w:val="-6"/>
                <w:lang w:val="sk-SK"/>
              </w:rPr>
              <w:t xml:space="preserve"> a </w:t>
            </w:r>
            <w:r w:rsidRPr="00AB26B3">
              <w:rPr>
                <w:noProof/>
                <w:spacing w:val="-6"/>
                <w:lang w:val="sk-SK"/>
              </w:rPr>
              <w:t>dôveryhodnosť</w:t>
            </w:r>
          </w:p>
        </w:tc>
        <w:tc>
          <w:tcPr>
            <w:tcW w:w="1680" w:type="dxa"/>
            <w:tcBorders>
              <w:top w:val="nil"/>
              <w:left w:val="nil"/>
              <w:bottom w:val="single" w:sz="4" w:space="0" w:color="auto"/>
              <w:right w:val="single" w:sz="4" w:space="0" w:color="auto"/>
            </w:tcBorders>
            <w:shd w:val="clear" w:color="auto" w:fill="C6EFCE"/>
            <w:noWrap/>
            <w:vAlign w:val="center"/>
            <w:hideMark/>
          </w:tcPr>
          <w:p w14:paraId="7BF7CA15"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C107566" w14:textId="33E8042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Digitalizácia procesu dohľadu Helénskej komisie pre kapitálový trh</w:t>
            </w:r>
          </w:p>
        </w:tc>
      </w:tr>
      <w:tr w:rsidR="00302FC1" w:rsidRPr="00AB26B3" w14:paraId="7E8CD079"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C5B92F4"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244c</w:t>
            </w:r>
          </w:p>
        </w:tc>
        <w:tc>
          <w:tcPr>
            <w:tcW w:w="5581" w:type="dxa"/>
            <w:gridSpan w:val="2"/>
            <w:tcBorders>
              <w:top w:val="nil"/>
              <w:left w:val="single" w:sz="4" w:space="0" w:color="auto"/>
              <w:bottom w:val="single" w:sz="4" w:space="0" w:color="auto"/>
              <w:right w:val="single" w:sz="4" w:space="0" w:color="auto"/>
            </w:tcBorders>
            <w:shd w:val="clear" w:color="auto" w:fill="C6EFCE"/>
            <w:noWrap/>
            <w:hideMark/>
          </w:tcPr>
          <w:p w14:paraId="102182A5" w14:textId="7B3701FA"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15 – 4.4. Posilnenie finančného sektora</w:t>
            </w:r>
            <w:r w:rsidR="00AB26B3" w:rsidRPr="00AB26B3">
              <w:rPr>
                <w:noProof/>
                <w:spacing w:val="-6"/>
                <w:lang w:val="sk-SK"/>
              </w:rPr>
              <w:t xml:space="preserve"> a </w:t>
            </w:r>
            <w:r w:rsidRPr="00AB26B3">
              <w:rPr>
                <w:noProof/>
                <w:spacing w:val="-6"/>
                <w:lang w:val="sk-SK"/>
              </w:rPr>
              <w:t>kapitálových trhov – 16957_Posilnenie kapacity finančného systému na prekonanie zdedených výziev</w:t>
            </w:r>
            <w:r w:rsidR="00AB26B3" w:rsidRPr="00AB26B3">
              <w:rPr>
                <w:noProof/>
                <w:spacing w:val="-6"/>
                <w:lang w:val="sk-SK"/>
              </w:rPr>
              <w:t xml:space="preserve"> a </w:t>
            </w:r>
            <w:r w:rsidRPr="00AB26B3">
              <w:rPr>
                <w:noProof/>
                <w:spacing w:val="-6"/>
                <w:lang w:val="sk-SK"/>
              </w:rPr>
              <w:t>financovanie reálnej ekonomiky</w:t>
            </w:r>
          </w:p>
        </w:tc>
        <w:tc>
          <w:tcPr>
            <w:tcW w:w="1680" w:type="dxa"/>
            <w:tcBorders>
              <w:top w:val="nil"/>
              <w:left w:val="nil"/>
              <w:bottom w:val="single" w:sz="4" w:space="0" w:color="auto"/>
              <w:right w:val="single" w:sz="4" w:space="0" w:color="auto"/>
            </w:tcBorders>
            <w:shd w:val="clear" w:color="auto" w:fill="C6EFCE"/>
            <w:noWrap/>
            <w:hideMark/>
          </w:tcPr>
          <w:p w14:paraId="709DABE9"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6BD8FDC8" w14:textId="41541ED8"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Zriadenie IT systémov, vzorov údajov</w:t>
            </w:r>
            <w:r w:rsidR="00AB26B3" w:rsidRPr="00AB26B3">
              <w:rPr>
                <w:noProof/>
                <w:spacing w:val="-6"/>
                <w:lang w:val="sk-SK"/>
              </w:rPr>
              <w:t xml:space="preserve"> a </w:t>
            </w:r>
            <w:r w:rsidRPr="00AB26B3">
              <w:rPr>
                <w:noProof/>
                <w:spacing w:val="-6"/>
                <w:lang w:val="sk-SK"/>
              </w:rPr>
              <w:t>platforiem, nadobudnutie účinnosti právnych predpisov</w:t>
            </w:r>
            <w:r w:rsidR="00AB26B3" w:rsidRPr="00AB26B3">
              <w:rPr>
                <w:noProof/>
                <w:spacing w:val="-6"/>
                <w:lang w:val="sk-SK"/>
              </w:rPr>
              <w:t xml:space="preserve"> o </w:t>
            </w:r>
            <w:r w:rsidRPr="00AB26B3">
              <w:rPr>
                <w:noProof/>
                <w:spacing w:val="-6"/>
                <w:lang w:val="sk-SK"/>
              </w:rPr>
              <w:t>riešení prípadov</w:t>
            </w:r>
            <w:r w:rsidR="00AB26B3" w:rsidRPr="00AB26B3">
              <w:rPr>
                <w:noProof/>
                <w:spacing w:val="-6"/>
                <w:lang w:val="sk-SK"/>
              </w:rPr>
              <w:t xml:space="preserve"> a </w:t>
            </w:r>
            <w:r w:rsidRPr="00AB26B3">
              <w:rPr>
                <w:noProof/>
                <w:spacing w:val="-6"/>
                <w:lang w:val="sk-SK"/>
              </w:rPr>
              <w:t>znižovaní počtu nevybavených prípadov</w:t>
            </w:r>
            <w:r w:rsidR="00AB26B3" w:rsidRPr="00AB26B3">
              <w:rPr>
                <w:noProof/>
                <w:spacing w:val="-6"/>
                <w:lang w:val="sk-SK"/>
              </w:rPr>
              <w:t xml:space="preserve"> v </w:t>
            </w:r>
            <w:r w:rsidRPr="00AB26B3">
              <w:rPr>
                <w:noProof/>
                <w:spacing w:val="-6"/>
                <w:lang w:val="sk-SK"/>
              </w:rPr>
              <w:t>rámci konaní na presadzovanie práva</w:t>
            </w:r>
          </w:p>
        </w:tc>
      </w:tr>
      <w:tr w:rsidR="00302FC1" w:rsidRPr="00AB26B3" w14:paraId="36B58CD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B26A4A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249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48837EC" w14:textId="273E025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16624_Creation – Expansion – Modernizácia infraštruktúr výskumných centier pod dohľadom Generálneho sekretariátu pre výskum</w:t>
            </w:r>
            <w:r w:rsidR="00AB26B3" w:rsidRPr="00AB26B3">
              <w:rPr>
                <w:noProof/>
                <w:spacing w:val="-6"/>
                <w:lang w:val="sk-SK"/>
              </w:rPr>
              <w:t xml:space="preserve"> a </w:t>
            </w:r>
            <w:r w:rsidRPr="00AB26B3">
              <w:rPr>
                <w:noProof/>
                <w:spacing w:val="-6"/>
                <w:lang w:val="sk-SK"/>
              </w:rPr>
              <w:t>inovácie (GSRI)</w:t>
            </w:r>
          </w:p>
        </w:tc>
        <w:tc>
          <w:tcPr>
            <w:tcW w:w="1680" w:type="dxa"/>
            <w:tcBorders>
              <w:top w:val="nil"/>
              <w:left w:val="nil"/>
              <w:bottom w:val="single" w:sz="4" w:space="0" w:color="auto"/>
              <w:right w:val="single" w:sz="4" w:space="0" w:color="auto"/>
            </w:tcBorders>
            <w:shd w:val="clear" w:color="auto" w:fill="C6EFCE"/>
            <w:noWrap/>
            <w:vAlign w:val="center"/>
            <w:hideMark/>
          </w:tcPr>
          <w:p w14:paraId="48D61FB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98AA3A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Vykonávanie investičných projektov týkajúcich sa výskumných centier</w:t>
            </w:r>
          </w:p>
        </w:tc>
      </w:tr>
      <w:tr w:rsidR="00302FC1" w:rsidRPr="00AB26B3" w14:paraId="4C75E1BC"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E91D5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250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318BCBA" w14:textId="5176A415"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16618_Základný</w:t>
            </w:r>
            <w:r w:rsidR="00AB26B3" w:rsidRPr="00AB26B3">
              <w:rPr>
                <w:noProof/>
                <w:spacing w:val="-6"/>
                <w:lang w:val="sk-SK"/>
              </w:rPr>
              <w:t xml:space="preserve"> a </w:t>
            </w:r>
            <w:r w:rsidRPr="00AB26B3">
              <w:rPr>
                <w:noProof/>
                <w:spacing w:val="-6"/>
                <w:lang w:val="sk-SK"/>
              </w:rPr>
              <w:t>aplikovaný výskum</w:t>
            </w:r>
          </w:p>
        </w:tc>
        <w:tc>
          <w:tcPr>
            <w:tcW w:w="1680" w:type="dxa"/>
            <w:tcBorders>
              <w:top w:val="nil"/>
              <w:left w:val="nil"/>
              <w:bottom w:val="single" w:sz="4" w:space="0" w:color="auto"/>
              <w:right w:val="single" w:sz="4" w:space="0" w:color="auto"/>
            </w:tcBorders>
            <w:shd w:val="clear" w:color="auto" w:fill="C6EFCE"/>
            <w:noWrap/>
            <w:vAlign w:val="center"/>
            <w:hideMark/>
          </w:tcPr>
          <w:p w14:paraId="070CDEC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3CA218D" w14:textId="39D22AF4"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Realizácia základných</w:t>
            </w:r>
            <w:r w:rsidR="00AB26B3" w:rsidRPr="00AB26B3">
              <w:rPr>
                <w:noProof/>
                <w:spacing w:val="-6"/>
                <w:lang w:val="sk-SK"/>
              </w:rPr>
              <w:t xml:space="preserve"> a </w:t>
            </w:r>
            <w:r w:rsidRPr="00AB26B3">
              <w:rPr>
                <w:noProof/>
                <w:spacing w:val="-6"/>
                <w:lang w:val="sk-SK"/>
              </w:rPr>
              <w:t>aplikovaných výskumných projektov</w:t>
            </w:r>
          </w:p>
        </w:tc>
      </w:tr>
      <w:tr w:rsidR="00302FC1" w:rsidRPr="00AB26B3" w14:paraId="2C9A397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161B60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251</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C90DE04" w14:textId="38496B8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16654_TH 2 ORAX: Trellis Holistic &amp; Hybrid Operational Ruggedised Autonómny eXemplárny systém</w:t>
            </w:r>
          </w:p>
        </w:tc>
        <w:tc>
          <w:tcPr>
            <w:tcW w:w="1680" w:type="dxa"/>
            <w:tcBorders>
              <w:top w:val="nil"/>
              <w:left w:val="nil"/>
              <w:bottom w:val="single" w:sz="4" w:space="0" w:color="auto"/>
              <w:right w:val="single" w:sz="4" w:space="0" w:color="auto"/>
            </w:tcBorders>
            <w:shd w:val="clear" w:color="auto" w:fill="C6EFCE"/>
            <w:noWrap/>
            <w:vAlign w:val="center"/>
            <w:hideMark/>
          </w:tcPr>
          <w:p w14:paraId="5CA2377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6378FF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Realizácia projektu TH2ORAX</w:t>
            </w:r>
          </w:p>
        </w:tc>
      </w:tr>
      <w:tr w:rsidR="00302FC1" w:rsidRPr="00AB26B3" w14:paraId="41611E07"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39A679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252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4583CC0A" w14:textId="30F06C5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16971_Výskum – Vytvoriť – Inovovať</w:t>
            </w:r>
          </w:p>
        </w:tc>
        <w:tc>
          <w:tcPr>
            <w:tcW w:w="1680" w:type="dxa"/>
            <w:tcBorders>
              <w:top w:val="nil"/>
              <w:left w:val="nil"/>
              <w:bottom w:val="single" w:sz="4" w:space="0" w:color="auto"/>
              <w:right w:val="single" w:sz="4" w:space="0" w:color="auto"/>
            </w:tcBorders>
            <w:shd w:val="clear" w:color="auto" w:fill="C6EFCE"/>
            <w:noWrap/>
            <w:vAlign w:val="center"/>
            <w:hideMark/>
          </w:tcPr>
          <w:p w14:paraId="6C37757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26A274A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Vykonávanie výskumu – Vytvoriť – Inovovať projekty</w:t>
            </w:r>
          </w:p>
        </w:tc>
      </w:tr>
      <w:tr w:rsidR="00302FC1" w:rsidRPr="00AB26B3" w14:paraId="3C443DD5"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5C9CEB4"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256</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A0BB943" w14:textId="6C81B074"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 17 – 4.6. Modernizácia</w:t>
            </w:r>
            <w:r w:rsidR="00AB26B3" w:rsidRPr="00AB26B3">
              <w:rPr>
                <w:noProof/>
                <w:spacing w:val="-6"/>
                <w:lang w:val="sk-SK"/>
              </w:rPr>
              <w:t xml:space="preserve"> a </w:t>
            </w:r>
            <w:r w:rsidRPr="00AB26B3">
              <w:rPr>
                <w:noProof/>
                <w:spacing w:val="-6"/>
                <w:lang w:val="sk-SK"/>
              </w:rPr>
              <w:t>zlepšenie odolnosti kľúčových hospodárskych odvetví – 16628</w:t>
            </w:r>
          </w:p>
          <w:p w14:paraId="5ECF326E" w14:textId="31F8D195"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_Diaľnica E-65</w:t>
            </w:r>
            <w:r w:rsidR="00AB26B3" w:rsidRPr="00AB26B3">
              <w:rPr>
                <w:noProof/>
                <w:spacing w:val="-6"/>
                <w:lang w:val="sk-SK"/>
              </w:rPr>
              <w:t xml:space="preserve"> v </w:t>
            </w:r>
            <w:r w:rsidRPr="00AB26B3">
              <w:rPr>
                <w:noProof/>
                <w:spacing w:val="-6"/>
                <w:lang w:val="sk-SK"/>
              </w:rPr>
              <w:t>strednom Grécku: Trikala – úsek Egnatia</w:t>
            </w:r>
          </w:p>
        </w:tc>
        <w:tc>
          <w:tcPr>
            <w:tcW w:w="1680" w:type="dxa"/>
            <w:tcBorders>
              <w:top w:val="nil"/>
              <w:left w:val="nil"/>
              <w:bottom w:val="single" w:sz="4" w:space="0" w:color="auto"/>
              <w:right w:val="single" w:sz="4" w:space="0" w:color="auto"/>
            </w:tcBorders>
            <w:shd w:val="clear" w:color="auto" w:fill="C6EFCE"/>
            <w:noWrap/>
            <w:vAlign w:val="center"/>
            <w:hideMark/>
          </w:tcPr>
          <w:p w14:paraId="4DCE7FCD"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609AD26"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E-65 práce – dokončenie</w:t>
            </w:r>
          </w:p>
        </w:tc>
      </w:tr>
      <w:tr w:rsidR="00302FC1" w:rsidRPr="00AB26B3" w14:paraId="30D0EC4C"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104E29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262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376200F" w14:textId="3484B8F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17 – 4.6. Modernizácia</w:t>
            </w:r>
            <w:r w:rsidR="00AB26B3" w:rsidRPr="00AB26B3">
              <w:rPr>
                <w:noProof/>
                <w:spacing w:val="-6"/>
                <w:lang w:val="sk-SK"/>
              </w:rPr>
              <w:t xml:space="preserve"> a </w:t>
            </w:r>
            <w:r w:rsidRPr="00AB26B3">
              <w:rPr>
                <w:noProof/>
                <w:spacing w:val="-6"/>
                <w:lang w:val="sk-SK"/>
              </w:rPr>
              <w:t>zlepšenie odolnosti kľúčových hospodárskych odvetví – 16630_Cretan Northern Highway (Β.Ο.Α.Κ.)</w:t>
            </w:r>
          </w:p>
        </w:tc>
        <w:tc>
          <w:tcPr>
            <w:tcW w:w="1680" w:type="dxa"/>
            <w:tcBorders>
              <w:top w:val="nil"/>
              <w:left w:val="nil"/>
              <w:bottom w:val="single" w:sz="4" w:space="0" w:color="auto"/>
              <w:right w:val="single" w:sz="4" w:space="0" w:color="auto"/>
            </w:tcBorders>
            <w:shd w:val="clear" w:color="auto" w:fill="C6EFCE"/>
            <w:noWrap/>
            <w:vAlign w:val="center"/>
            <w:hideMark/>
          </w:tcPr>
          <w:p w14:paraId="75B8D1C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E551344" w14:textId="78C35A3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Vykonané práce financované</w:t>
            </w:r>
            <w:r w:rsidR="00AB26B3" w:rsidRPr="00AB26B3">
              <w:rPr>
                <w:noProof/>
                <w:spacing w:val="-6"/>
                <w:lang w:val="sk-SK"/>
              </w:rPr>
              <w:t xml:space="preserve"> z </w:t>
            </w:r>
            <w:r w:rsidRPr="00AB26B3">
              <w:rPr>
                <w:noProof/>
                <w:spacing w:val="-6"/>
                <w:lang w:val="sk-SK"/>
              </w:rPr>
              <w:t>Mechanizmu na podporu obnovy</w:t>
            </w:r>
            <w:r w:rsidR="00AB26B3" w:rsidRPr="00AB26B3">
              <w:rPr>
                <w:noProof/>
                <w:spacing w:val="-6"/>
                <w:lang w:val="sk-SK"/>
              </w:rPr>
              <w:t xml:space="preserve"> a </w:t>
            </w:r>
            <w:r w:rsidRPr="00AB26B3">
              <w:rPr>
                <w:noProof/>
                <w:spacing w:val="-6"/>
                <w:lang w:val="sk-SK"/>
              </w:rPr>
              <w:t>odolnosti</w:t>
            </w:r>
          </w:p>
        </w:tc>
      </w:tr>
      <w:tr w:rsidR="00302FC1" w:rsidRPr="00AB26B3" w14:paraId="2BB15B3D"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05FC3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262a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32A9DDAA" w14:textId="6B012EBC"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16630_Cretan Northern Highway (Β.Ο.Α.Κ.)</w:t>
            </w:r>
          </w:p>
        </w:tc>
        <w:tc>
          <w:tcPr>
            <w:tcW w:w="1680" w:type="dxa"/>
            <w:tcBorders>
              <w:top w:val="nil"/>
              <w:left w:val="nil"/>
              <w:bottom w:val="single" w:sz="4" w:space="0" w:color="auto"/>
              <w:right w:val="single" w:sz="4" w:space="0" w:color="auto"/>
            </w:tcBorders>
            <w:shd w:val="clear" w:color="auto" w:fill="C6EFCE"/>
            <w:noWrap/>
            <w:vAlign w:val="center"/>
          </w:tcPr>
          <w:p w14:paraId="39A99D1F"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3AFD8A59" w14:textId="4A0D1F6B"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Vykonané práce financované</w:t>
            </w:r>
            <w:r w:rsidR="00AB26B3" w:rsidRPr="00AB26B3">
              <w:rPr>
                <w:noProof/>
                <w:spacing w:val="-6"/>
                <w:lang w:val="sk-SK"/>
              </w:rPr>
              <w:t xml:space="preserve"> z </w:t>
            </w:r>
            <w:r w:rsidRPr="00AB26B3">
              <w:rPr>
                <w:noProof/>
                <w:spacing w:val="-6"/>
                <w:lang w:val="sk-SK"/>
              </w:rPr>
              <w:t>Mechanizmu na podporu obnovy</w:t>
            </w:r>
            <w:r w:rsidR="00AB26B3" w:rsidRPr="00AB26B3">
              <w:rPr>
                <w:noProof/>
                <w:spacing w:val="-6"/>
                <w:lang w:val="sk-SK"/>
              </w:rPr>
              <w:t xml:space="preserve"> a </w:t>
            </w:r>
            <w:r w:rsidRPr="00AB26B3">
              <w:rPr>
                <w:noProof/>
                <w:spacing w:val="-6"/>
                <w:lang w:val="sk-SK"/>
              </w:rPr>
              <w:t>odolnosti</w:t>
            </w:r>
          </w:p>
        </w:tc>
      </w:tr>
      <w:tr w:rsidR="00302FC1" w:rsidRPr="00AB26B3" w14:paraId="471AF76B"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E060402"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268c</w:t>
            </w:r>
          </w:p>
        </w:tc>
        <w:tc>
          <w:tcPr>
            <w:tcW w:w="5581" w:type="dxa"/>
            <w:gridSpan w:val="2"/>
            <w:tcBorders>
              <w:top w:val="nil"/>
              <w:left w:val="single" w:sz="4" w:space="0" w:color="auto"/>
              <w:bottom w:val="single" w:sz="4" w:space="0" w:color="auto"/>
              <w:right w:val="single" w:sz="4" w:space="0" w:color="auto"/>
            </w:tcBorders>
            <w:shd w:val="clear" w:color="auto" w:fill="C6EFCE"/>
            <w:noWrap/>
            <w:hideMark/>
          </w:tcPr>
          <w:p w14:paraId="57D49A31" w14:textId="361189E2"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16982_Organizačná reforma</w:t>
            </w:r>
            <w:r w:rsidR="00AB26B3" w:rsidRPr="00AB26B3">
              <w:rPr>
                <w:noProof/>
                <w:spacing w:val="-6"/>
                <w:lang w:val="sk-SK"/>
              </w:rPr>
              <w:t xml:space="preserve"> v </w:t>
            </w:r>
            <w:r w:rsidRPr="00AB26B3">
              <w:rPr>
                <w:noProof/>
                <w:spacing w:val="-6"/>
                <w:lang w:val="sk-SK"/>
              </w:rPr>
              <w:t>odvetví železničnej dopravy</w:t>
            </w:r>
          </w:p>
        </w:tc>
        <w:tc>
          <w:tcPr>
            <w:tcW w:w="1680" w:type="dxa"/>
            <w:tcBorders>
              <w:top w:val="nil"/>
              <w:left w:val="nil"/>
              <w:bottom w:val="single" w:sz="4" w:space="0" w:color="auto"/>
              <w:right w:val="single" w:sz="4" w:space="0" w:color="auto"/>
            </w:tcBorders>
            <w:shd w:val="clear" w:color="auto" w:fill="C6EFCE"/>
            <w:noWrap/>
            <w:hideMark/>
          </w:tcPr>
          <w:p w14:paraId="122C1EFF"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hideMark/>
          </w:tcPr>
          <w:p w14:paraId="41ADE445" w14:textId="77777777" w:rsidR="00302FC1" w:rsidRPr="00AB26B3" w:rsidRDefault="00D64F26">
            <w:pPr>
              <w:pStyle w:val="P68B1DB1-Normal11"/>
              <w:keepNext/>
              <w:spacing w:before="40" w:after="0" w:line="240" w:lineRule="auto"/>
              <w:jc w:val="both"/>
              <w:rPr>
                <w:rFonts w:cs="Times New Roman"/>
                <w:noProof/>
                <w:spacing w:val="-6"/>
                <w:lang w:val="sk-SK"/>
              </w:rPr>
            </w:pPr>
            <w:r w:rsidRPr="00AB26B3">
              <w:rPr>
                <w:noProof/>
                <w:spacing w:val="-6"/>
                <w:lang w:val="sk-SK"/>
              </w:rPr>
              <w:t>Vykonávanie plánu vykonávania pre grécke železnice</w:t>
            </w:r>
          </w:p>
        </w:tc>
      </w:tr>
      <w:tr w:rsidR="00302FC1" w:rsidRPr="00AB26B3" w14:paraId="4D093E84"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092A13B"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269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44403AB6" w14:textId="034EE87E" w:rsidR="00302FC1" w:rsidRPr="00AB26B3" w:rsidRDefault="00D64F26">
            <w:pPr>
              <w:pStyle w:val="P68B1DB1-Normal11"/>
              <w:keepNext/>
              <w:spacing w:before="40" w:after="0" w:line="240" w:lineRule="auto"/>
              <w:jc w:val="both"/>
              <w:rPr>
                <w:rFonts w:cs="Times New Roman"/>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16833_Zavedenie bezpečnostných prác na letiskách</w:t>
            </w:r>
          </w:p>
        </w:tc>
        <w:tc>
          <w:tcPr>
            <w:tcW w:w="1680" w:type="dxa"/>
            <w:tcBorders>
              <w:top w:val="nil"/>
              <w:left w:val="nil"/>
              <w:bottom w:val="single" w:sz="4" w:space="0" w:color="auto"/>
              <w:right w:val="single" w:sz="4" w:space="0" w:color="auto"/>
            </w:tcBorders>
            <w:shd w:val="clear" w:color="auto" w:fill="C6EFCE"/>
            <w:noWrap/>
            <w:vAlign w:val="center"/>
            <w:hideMark/>
          </w:tcPr>
          <w:p w14:paraId="6F192FB5"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3448198E" w14:textId="15884D58" w:rsidR="00302FC1" w:rsidRPr="00AB26B3" w:rsidRDefault="00D64F26">
            <w:pPr>
              <w:pStyle w:val="P68B1DB1-Normal15"/>
              <w:keepNext/>
              <w:spacing w:before="40" w:after="0" w:line="240" w:lineRule="auto"/>
              <w:jc w:val="both"/>
              <w:rPr>
                <w:rFonts w:eastAsiaTheme="minorEastAsia"/>
                <w:noProof/>
                <w:spacing w:val="-6"/>
                <w:lang w:val="sk-SK"/>
              </w:rPr>
            </w:pPr>
            <w:r w:rsidRPr="00AB26B3">
              <w:rPr>
                <w:noProof/>
                <w:spacing w:val="-6"/>
                <w:lang w:val="sk-SK"/>
              </w:rPr>
              <w:t>Dokumenty</w:t>
            </w:r>
            <w:r w:rsidR="00AB26B3" w:rsidRPr="00AB26B3">
              <w:rPr>
                <w:noProof/>
                <w:spacing w:val="-6"/>
                <w:lang w:val="sk-SK"/>
              </w:rPr>
              <w:t xml:space="preserve"> o </w:t>
            </w:r>
            <w:r w:rsidRPr="00AB26B3">
              <w:rPr>
                <w:noProof/>
                <w:spacing w:val="-6"/>
                <w:lang w:val="sk-SK"/>
              </w:rPr>
              <w:t>prijatí odchýlky</w:t>
            </w:r>
            <w:r w:rsidR="00AB26B3" w:rsidRPr="00AB26B3">
              <w:rPr>
                <w:noProof/>
                <w:spacing w:val="-6"/>
                <w:lang w:val="sk-SK"/>
              </w:rPr>
              <w:t xml:space="preserve"> a </w:t>
            </w:r>
            <w:r w:rsidRPr="00AB26B3">
              <w:rPr>
                <w:noProof/>
                <w:spacing w:val="-6"/>
                <w:lang w:val="sk-SK"/>
              </w:rPr>
              <w:t xml:space="preserve">súvisiacich opatreniach (DAAD) </w:t>
            </w:r>
          </w:p>
        </w:tc>
      </w:tr>
      <w:tr w:rsidR="00302FC1" w:rsidRPr="00AB26B3" w14:paraId="175C07B4"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6B0374D"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271</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1466DA5" w14:textId="49283F30"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16892_Modernizácia prímestskej železnice Západnej Atiky</w:t>
            </w:r>
          </w:p>
        </w:tc>
        <w:tc>
          <w:tcPr>
            <w:tcW w:w="1680" w:type="dxa"/>
            <w:tcBorders>
              <w:top w:val="nil"/>
              <w:left w:val="nil"/>
              <w:bottom w:val="single" w:sz="4" w:space="0" w:color="auto"/>
              <w:right w:val="single" w:sz="4" w:space="0" w:color="auto"/>
            </w:tcBorders>
            <w:shd w:val="clear" w:color="auto" w:fill="C6EFCE"/>
            <w:noWrap/>
            <w:vAlign w:val="center"/>
            <w:hideMark/>
          </w:tcPr>
          <w:p w14:paraId="65E949B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1BD5469" w14:textId="111CD297" w:rsidR="00302FC1" w:rsidRPr="00AB26B3" w:rsidRDefault="00D64F26">
            <w:pPr>
              <w:pStyle w:val="P68B1DB1-Normal11"/>
              <w:keepNext/>
              <w:spacing w:before="40" w:after="0" w:line="240" w:lineRule="auto"/>
              <w:jc w:val="both"/>
              <w:rPr>
                <w:rFonts w:cs="Times New Roman"/>
                <w:noProof/>
                <w:spacing w:val="-6"/>
                <w:lang w:val="sk-SK"/>
              </w:rPr>
            </w:pPr>
            <w:r w:rsidRPr="00AB26B3">
              <w:rPr>
                <w:noProof/>
                <w:spacing w:val="-6"/>
                <w:lang w:val="sk-SK"/>
              </w:rPr>
              <w:t>Výstavba časti železničnej trate West Atica od Ano Liossia po začiatok úseku</w:t>
            </w:r>
            <w:r w:rsidR="00AB26B3" w:rsidRPr="00AB26B3">
              <w:rPr>
                <w:noProof/>
                <w:spacing w:val="-6"/>
                <w:lang w:val="sk-SK"/>
              </w:rPr>
              <w:t xml:space="preserve"> v </w:t>
            </w:r>
            <w:r w:rsidRPr="00AB26B3">
              <w:rPr>
                <w:noProof/>
                <w:spacing w:val="-6"/>
                <w:lang w:val="sk-SK"/>
              </w:rPr>
              <w:t>ELPE Elefsina</w:t>
            </w:r>
            <w:r w:rsidR="00AB26B3" w:rsidRPr="00AB26B3">
              <w:rPr>
                <w:noProof/>
                <w:spacing w:val="-6"/>
                <w:lang w:val="sk-SK"/>
              </w:rPr>
              <w:t xml:space="preserve"> a </w:t>
            </w:r>
            <w:r w:rsidRPr="00AB26B3">
              <w:rPr>
                <w:noProof/>
                <w:spacing w:val="-6"/>
                <w:lang w:val="sk-SK"/>
              </w:rPr>
              <w:t>od konca úseku ELPE Elefsina po novú stanicu Megara</w:t>
            </w:r>
          </w:p>
        </w:tc>
      </w:tr>
      <w:tr w:rsidR="00302FC1" w:rsidRPr="00AB26B3" w14:paraId="44854E2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0A049C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272</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03B1269" w14:textId="1B87A3B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16949_Inteligentné mosty</w:t>
            </w:r>
          </w:p>
        </w:tc>
        <w:tc>
          <w:tcPr>
            <w:tcW w:w="1680" w:type="dxa"/>
            <w:tcBorders>
              <w:top w:val="nil"/>
              <w:left w:val="nil"/>
              <w:bottom w:val="single" w:sz="4" w:space="0" w:color="auto"/>
              <w:right w:val="single" w:sz="4" w:space="0" w:color="auto"/>
            </w:tcBorders>
            <w:shd w:val="clear" w:color="auto" w:fill="C6EFCE"/>
            <w:noWrap/>
            <w:vAlign w:val="center"/>
            <w:hideMark/>
          </w:tcPr>
          <w:p w14:paraId="553E2C0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D2CA36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Realizácia projektu inteligentných mostov, fáza I</w:t>
            </w:r>
          </w:p>
        </w:tc>
      </w:tr>
      <w:tr w:rsidR="00302FC1" w:rsidRPr="00AB26B3" w14:paraId="12C6319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9132C2B"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272a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F9241D6" w14:textId="7395759E"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16949_Inteligentné mosty</w:t>
            </w:r>
          </w:p>
        </w:tc>
        <w:tc>
          <w:tcPr>
            <w:tcW w:w="1680" w:type="dxa"/>
            <w:tcBorders>
              <w:top w:val="nil"/>
              <w:left w:val="nil"/>
              <w:bottom w:val="single" w:sz="4" w:space="0" w:color="auto"/>
              <w:right w:val="single" w:sz="4" w:space="0" w:color="auto"/>
            </w:tcBorders>
            <w:shd w:val="clear" w:color="auto" w:fill="C6EFCE"/>
            <w:noWrap/>
            <w:vAlign w:val="center"/>
            <w:hideMark/>
          </w:tcPr>
          <w:p w14:paraId="28F4B53D"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ED9C0CC"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Realizácia projektu inteligentných mostov, fáza II</w:t>
            </w:r>
          </w:p>
        </w:tc>
      </w:tr>
      <w:tr w:rsidR="00302FC1" w:rsidRPr="00AB26B3" w14:paraId="27C117CF"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31BB0B" w14:textId="0ABDB16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272b</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tcPr>
          <w:p w14:paraId="75E14060" w14:textId="4A23EF9C" w:rsidR="00302FC1" w:rsidRPr="00AB26B3" w:rsidRDefault="00D64F26">
            <w:pPr>
              <w:pStyle w:val="P68B1DB1-Normal52"/>
              <w:keepNext/>
              <w:spacing w:before="40" w:after="0" w:line="240" w:lineRule="auto"/>
              <w:jc w:val="both"/>
              <w:rPr>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16949_Inteligentné mosty</w:t>
            </w:r>
          </w:p>
        </w:tc>
        <w:tc>
          <w:tcPr>
            <w:tcW w:w="1680" w:type="dxa"/>
            <w:tcBorders>
              <w:top w:val="nil"/>
              <w:left w:val="nil"/>
              <w:bottom w:val="single" w:sz="4" w:space="0" w:color="auto"/>
              <w:right w:val="single" w:sz="4" w:space="0" w:color="auto"/>
            </w:tcBorders>
            <w:shd w:val="clear" w:color="auto" w:fill="C6EFCE"/>
            <w:noWrap/>
            <w:vAlign w:val="center"/>
          </w:tcPr>
          <w:p w14:paraId="5D6FA998" w14:textId="74DAF6CF"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tcPr>
          <w:p w14:paraId="1FCA1CD7" w14:textId="3E950241" w:rsidR="00302FC1" w:rsidRPr="00AB26B3" w:rsidRDefault="00D64F26">
            <w:pPr>
              <w:pStyle w:val="P68B1DB1-Normal52"/>
              <w:keepNext/>
              <w:spacing w:before="40" w:after="0" w:line="240" w:lineRule="auto"/>
              <w:jc w:val="both"/>
              <w:rPr>
                <w:noProof/>
                <w:spacing w:val="-6"/>
                <w:szCs w:val="18"/>
                <w:lang w:val="sk-SK"/>
              </w:rPr>
            </w:pPr>
            <w:r w:rsidRPr="00AB26B3">
              <w:rPr>
                <w:noProof/>
                <w:spacing w:val="-6"/>
                <w:lang w:val="sk-SK"/>
              </w:rPr>
              <w:t>Realizácia projektu inteligentných mostov, fáza III</w:t>
            </w:r>
          </w:p>
        </w:tc>
      </w:tr>
      <w:tr w:rsidR="00302FC1" w:rsidRPr="00AB26B3" w14:paraId="0F38B2F5"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68714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274</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9CD7B78" w14:textId="64E89F45" w:rsidR="00302FC1" w:rsidRPr="00AB26B3" w:rsidRDefault="00D64F26">
            <w:pPr>
              <w:pStyle w:val="P68B1DB1-Normal11"/>
              <w:keepNext/>
              <w:spacing w:before="40" w:after="0" w:line="240" w:lineRule="auto"/>
              <w:jc w:val="both"/>
              <w:rPr>
                <w:rFonts w:eastAsia="Times New Roman" w:cs="Times New Roman"/>
                <w:bCs/>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16959_Digitálna transformácia gréckych železníc</w:t>
            </w:r>
          </w:p>
        </w:tc>
        <w:tc>
          <w:tcPr>
            <w:tcW w:w="1680" w:type="dxa"/>
            <w:tcBorders>
              <w:top w:val="nil"/>
              <w:left w:val="nil"/>
              <w:bottom w:val="single" w:sz="4" w:space="0" w:color="auto"/>
              <w:right w:val="single" w:sz="4" w:space="0" w:color="auto"/>
            </w:tcBorders>
            <w:shd w:val="clear" w:color="auto" w:fill="C6EFCE"/>
            <w:noWrap/>
            <w:vAlign w:val="center"/>
            <w:hideMark/>
          </w:tcPr>
          <w:p w14:paraId="1B066E8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0CC0DC2" w14:textId="013EC95B"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Digitálne projekty, systémy, vybavenie</w:t>
            </w:r>
            <w:r w:rsidR="00AB26B3" w:rsidRPr="00AB26B3">
              <w:rPr>
                <w:noProof/>
                <w:spacing w:val="-6"/>
                <w:lang w:val="sk-SK"/>
              </w:rPr>
              <w:t xml:space="preserve"> a </w:t>
            </w:r>
            <w:r w:rsidRPr="00AB26B3">
              <w:rPr>
                <w:noProof/>
                <w:spacing w:val="-6"/>
                <w:lang w:val="sk-SK"/>
              </w:rPr>
              <w:t>služby</w:t>
            </w:r>
          </w:p>
        </w:tc>
      </w:tr>
      <w:tr w:rsidR="00302FC1" w:rsidRPr="00AB26B3" w14:paraId="74FBCDB4"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360E9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275</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DD96E92" w14:textId="6F7036A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16960_Inteligentná infraštruktúra so zameraním na životné prostredie</w:t>
            </w:r>
            <w:r w:rsidR="00AB26B3" w:rsidRPr="00AB26B3">
              <w:rPr>
                <w:noProof/>
                <w:spacing w:val="-6"/>
                <w:lang w:val="sk-SK"/>
              </w:rPr>
              <w:t xml:space="preserve"> a </w:t>
            </w:r>
            <w:r w:rsidRPr="00AB26B3">
              <w:rPr>
                <w:noProof/>
                <w:spacing w:val="-6"/>
                <w:lang w:val="sk-SK"/>
              </w:rPr>
              <w:t>kultúru</w:t>
            </w:r>
          </w:p>
        </w:tc>
        <w:tc>
          <w:tcPr>
            <w:tcW w:w="1680" w:type="dxa"/>
            <w:tcBorders>
              <w:top w:val="nil"/>
              <w:left w:val="nil"/>
              <w:bottom w:val="single" w:sz="4" w:space="0" w:color="auto"/>
              <w:right w:val="single" w:sz="4" w:space="0" w:color="auto"/>
            </w:tcBorders>
            <w:shd w:val="clear" w:color="auto" w:fill="C6EFCE"/>
            <w:noWrap/>
            <w:vAlign w:val="center"/>
            <w:hideMark/>
          </w:tcPr>
          <w:p w14:paraId="4973C31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90FFA2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Realizácia projektu inteligentnej infraštruktúry</w:t>
            </w:r>
          </w:p>
        </w:tc>
      </w:tr>
      <w:tr w:rsidR="00302FC1" w:rsidRPr="00AB26B3" w14:paraId="42622C5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B0F6D3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276</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9DD0C48" w14:textId="1E587A1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16937_digitálny integrovaný systém riadenia programov na správu technických prác</w:t>
            </w:r>
            <w:r w:rsidR="00AB26B3" w:rsidRPr="00AB26B3">
              <w:rPr>
                <w:noProof/>
                <w:spacing w:val="-6"/>
                <w:lang w:val="sk-SK"/>
              </w:rPr>
              <w:t xml:space="preserve"> a </w:t>
            </w:r>
            <w:r w:rsidRPr="00AB26B3">
              <w:rPr>
                <w:noProof/>
                <w:spacing w:val="-6"/>
                <w:lang w:val="sk-SK"/>
              </w:rPr>
              <w:t>štrukturálnych aktív ministerstva infraštruktúry</w:t>
            </w:r>
            <w:r w:rsidR="00AB26B3" w:rsidRPr="00AB26B3">
              <w:rPr>
                <w:noProof/>
                <w:spacing w:val="-6"/>
                <w:lang w:val="sk-SK"/>
              </w:rPr>
              <w:t xml:space="preserve"> a </w:t>
            </w:r>
            <w:r w:rsidRPr="00AB26B3">
              <w:rPr>
                <w:noProof/>
                <w:spacing w:val="-6"/>
                <w:lang w:val="sk-SK"/>
              </w:rPr>
              <w:t>dopravy</w:t>
            </w:r>
          </w:p>
        </w:tc>
        <w:tc>
          <w:tcPr>
            <w:tcW w:w="1680" w:type="dxa"/>
            <w:tcBorders>
              <w:top w:val="nil"/>
              <w:left w:val="nil"/>
              <w:bottom w:val="single" w:sz="4" w:space="0" w:color="auto"/>
              <w:right w:val="single" w:sz="4" w:space="0" w:color="auto"/>
            </w:tcBorders>
            <w:shd w:val="clear" w:color="auto" w:fill="C6EFCE"/>
            <w:noWrap/>
            <w:vAlign w:val="center"/>
            <w:hideMark/>
          </w:tcPr>
          <w:p w14:paraId="502CD60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31BF3BB"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Informačný systém správy portfólia (PMIS)</w:t>
            </w:r>
          </w:p>
        </w:tc>
      </w:tr>
      <w:tr w:rsidR="00302FC1" w:rsidRPr="00AB26B3" w14:paraId="74D6996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B4B020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283</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799C83F" w14:textId="722B83A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16293_Kultúra ako hnacia sila rastu</w:t>
            </w:r>
          </w:p>
        </w:tc>
        <w:tc>
          <w:tcPr>
            <w:tcW w:w="1680" w:type="dxa"/>
            <w:tcBorders>
              <w:top w:val="nil"/>
              <w:left w:val="nil"/>
              <w:bottom w:val="single" w:sz="4" w:space="0" w:color="auto"/>
              <w:right w:val="single" w:sz="4" w:space="0" w:color="auto"/>
            </w:tcBorders>
            <w:shd w:val="clear" w:color="auto" w:fill="C6EFCE"/>
            <w:noWrap/>
            <w:vAlign w:val="center"/>
            <w:hideMark/>
          </w:tcPr>
          <w:p w14:paraId="01A3DC7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64DE1A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Kultúra ako hnacia sila rastu</w:t>
            </w:r>
          </w:p>
        </w:tc>
      </w:tr>
      <w:tr w:rsidR="00302FC1" w:rsidRPr="00AB26B3" w14:paraId="7B761D7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7C7488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284</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3358036" w14:textId="3307EE88"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16536_modernizácia infraštruktúry, obnova vybavenia</w:t>
            </w:r>
            <w:r w:rsidR="00AB26B3" w:rsidRPr="00AB26B3">
              <w:rPr>
                <w:noProof/>
                <w:spacing w:val="-6"/>
                <w:lang w:val="sk-SK"/>
              </w:rPr>
              <w:t xml:space="preserve"> a </w:t>
            </w:r>
            <w:r w:rsidRPr="00AB26B3">
              <w:rPr>
                <w:noProof/>
                <w:spacing w:val="-6"/>
                <w:lang w:val="sk-SK"/>
              </w:rPr>
              <w:t>zvýšenie kvality služieb poskytovaných HOCRED Stores – bývalé ARF Stores (on-spotové</w:t>
            </w:r>
            <w:r w:rsidR="00AB26B3" w:rsidRPr="00AB26B3">
              <w:rPr>
                <w:noProof/>
                <w:spacing w:val="-6"/>
                <w:lang w:val="sk-SK"/>
              </w:rPr>
              <w:t xml:space="preserve"> a </w:t>
            </w:r>
            <w:r w:rsidRPr="00AB26B3">
              <w:rPr>
                <w:noProof/>
                <w:spacing w:val="-6"/>
                <w:lang w:val="sk-SK"/>
              </w:rPr>
              <w:t>elektronické)</w:t>
            </w:r>
          </w:p>
        </w:tc>
        <w:tc>
          <w:tcPr>
            <w:tcW w:w="1680" w:type="dxa"/>
            <w:tcBorders>
              <w:top w:val="nil"/>
              <w:left w:val="nil"/>
              <w:bottom w:val="single" w:sz="4" w:space="0" w:color="auto"/>
              <w:right w:val="single" w:sz="4" w:space="0" w:color="auto"/>
            </w:tcBorders>
            <w:shd w:val="clear" w:color="auto" w:fill="C6EFCE"/>
            <w:noWrap/>
            <w:vAlign w:val="center"/>
            <w:hideMark/>
          </w:tcPr>
          <w:p w14:paraId="1684816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7465ABA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Modernizácia Helénskej organizácie pre rozvoj kultúrnych zdrojov (HOCRED) </w:t>
            </w:r>
          </w:p>
        </w:tc>
      </w:tr>
      <w:tr w:rsidR="00302FC1" w:rsidRPr="00AB26B3" w14:paraId="7C2FE074"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D54963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285</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113F3A2" w14:textId="5F93355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16725_Zlepšovanie vysokoškolského umeleckého vzdelávania</w:t>
            </w:r>
          </w:p>
        </w:tc>
        <w:tc>
          <w:tcPr>
            <w:tcW w:w="1680" w:type="dxa"/>
            <w:tcBorders>
              <w:top w:val="nil"/>
              <w:left w:val="nil"/>
              <w:bottom w:val="single" w:sz="4" w:space="0" w:color="auto"/>
              <w:right w:val="single" w:sz="4" w:space="0" w:color="auto"/>
            </w:tcBorders>
            <w:shd w:val="clear" w:color="auto" w:fill="C6EFCE"/>
            <w:noWrap/>
            <w:vAlign w:val="center"/>
            <w:hideMark/>
          </w:tcPr>
          <w:p w14:paraId="6576491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5DFF7B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Modernizácia vysokoškolského umeleckého vzdelávania</w:t>
            </w:r>
          </w:p>
        </w:tc>
      </w:tr>
      <w:tr w:rsidR="00302FC1" w:rsidRPr="00AB26B3" w14:paraId="4730750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3C2B754"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287</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FFFEEA6" w14:textId="74396E9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16486_Múzeum podmorských starožitností</w:t>
            </w:r>
          </w:p>
        </w:tc>
        <w:tc>
          <w:tcPr>
            <w:tcW w:w="1680" w:type="dxa"/>
            <w:tcBorders>
              <w:top w:val="nil"/>
              <w:left w:val="nil"/>
              <w:bottom w:val="single" w:sz="4" w:space="0" w:color="auto"/>
              <w:right w:val="single" w:sz="4" w:space="0" w:color="auto"/>
            </w:tcBorders>
            <w:shd w:val="clear" w:color="auto" w:fill="C6EFCE"/>
            <w:noWrap/>
            <w:vAlign w:val="center"/>
            <w:hideMark/>
          </w:tcPr>
          <w:p w14:paraId="48734E0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A85B9A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Múzeum podmorských starožitností</w:t>
            </w:r>
          </w:p>
        </w:tc>
      </w:tr>
      <w:tr w:rsidR="00302FC1" w:rsidRPr="00AB26B3" w14:paraId="4A569011"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906E90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288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925CC8B" w14:textId="62A454E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16485_Kultúrne trasy na typických archeologických náleziskách</w:t>
            </w:r>
            <w:r w:rsidR="00AB26B3" w:rsidRPr="00AB26B3">
              <w:rPr>
                <w:noProof/>
                <w:spacing w:val="-6"/>
                <w:lang w:val="sk-SK"/>
              </w:rPr>
              <w:t xml:space="preserve"> a </w:t>
            </w:r>
            <w:r w:rsidRPr="00AB26B3">
              <w:rPr>
                <w:noProof/>
                <w:spacing w:val="-6"/>
                <w:lang w:val="sk-SK"/>
              </w:rPr>
              <w:t>pamiatkach</w:t>
            </w:r>
          </w:p>
        </w:tc>
        <w:tc>
          <w:tcPr>
            <w:tcW w:w="1680" w:type="dxa"/>
            <w:tcBorders>
              <w:top w:val="nil"/>
              <w:left w:val="nil"/>
              <w:bottom w:val="single" w:sz="4" w:space="0" w:color="auto"/>
              <w:right w:val="single" w:sz="4" w:space="0" w:color="auto"/>
            </w:tcBorders>
            <w:shd w:val="clear" w:color="auto" w:fill="C6EFCE"/>
            <w:noWrap/>
            <w:vAlign w:val="center"/>
            <w:hideMark/>
          </w:tcPr>
          <w:p w14:paraId="0A24A9A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3B8DCF4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Kultúrne trasy na emblematických archeologických lokalitách</w:t>
            </w:r>
          </w:p>
        </w:tc>
      </w:tr>
      <w:tr w:rsidR="00302FC1" w:rsidRPr="00AB26B3" w14:paraId="11FC17C0"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E1C6D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289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1974C06" w14:textId="503F2DF8"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16735_Využívanie „umení na predpis“, podpora sociálnej súdržnosti</w:t>
            </w:r>
            <w:r w:rsidR="00AB26B3" w:rsidRPr="00AB26B3">
              <w:rPr>
                <w:noProof/>
                <w:spacing w:val="-6"/>
                <w:lang w:val="sk-SK"/>
              </w:rPr>
              <w:t xml:space="preserve"> a </w:t>
            </w:r>
            <w:r w:rsidRPr="00AB26B3">
              <w:rPr>
                <w:noProof/>
                <w:spacing w:val="-6"/>
                <w:lang w:val="sk-SK"/>
              </w:rPr>
              <w:t>využívanie striebornej ekonomiky</w:t>
            </w:r>
          </w:p>
        </w:tc>
        <w:tc>
          <w:tcPr>
            <w:tcW w:w="1680" w:type="dxa"/>
            <w:tcBorders>
              <w:top w:val="nil"/>
              <w:left w:val="nil"/>
              <w:bottom w:val="single" w:sz="4" w:space="0" w:color="auto"/>
              <w:right w:val="single" w:sz="4" w:space="0" w:color="auto"/>
            </w:tcBorders>
            <w:shd w:val="clear" w:color="auto" w:fill="C6EFCE"/>
            <w:noWrap/>
            <w:vAlign w:val="center"/>
            <w:hideMark/>
          </w:tcPr>
          <w:p w14:paraId="544C7B7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52A4740" w14:textId="20E0772A"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Využívanie „umení na lekársky predpis“, podpora sociálnej súdržnosti</w:t>
            </w:r>
            <w:r w:rsidR="00AB26B3" w:rsidRPr="00AB26B3">
              <w:rPr>
                <w:noProof/>
                <w:spacing w:val="-6"/>
                <w:lang w:val="sk-SK"/>
              </w:rPr>
              <w:t xml:space="preserve"> a </w:t>
            </w:r>
            <w:r w:rsidRPr="00AB26B3">
              <w:rPr>
                <w:noProof/>
                <w:spacing w:val="-6"/>
                <w:lang w:val="sk-SK"/>
              </w:rPr>
              <w:t>využívanie striebornej ekonomiky</w:t>
            </w:r>
          </w:p>
        </w:tc>
      </w:tr>
      <w:tr w:rsidR="00302FC1" w:rsidRPr="00AB26B3" w14:paraId="44E5B8AD"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27EEC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290</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9FF18F7" w14:textId="39F6FF8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16433_Ochrana kultúrnych pamiatok</w:t>
            </w:r>
            <w:r w:rsidR="00AB26B3" w:rsidRPr="00AB26B3">
              <w:rPr>
                <w:noProof/>
                <w:spacing w:val="-6"/>
                <w:lang w:val="sk-SK"/>
              </w:rPr>
              <w:t xml:space="preserve"> a </w:t>
            </w:r>
            <w:r w:rsidRPr="00AB26B3">
              <w:rPr>
                <w:noProof/>
                <w:spacing w:val="-6"/>
                <w:lang w:val="sk-SK"/>
              </w:rPr>
              <w:t>archeologických nálezísk pred zmenou klímy</w:t>
            </w:r>
          </w:p>
        </w:tc>
        <w:tc>
          <w:tcPr>
            <w:tcW w:w="1680" w:type="dxa"/>
            <w:tcBorders>
              <w:top w:val="nil"/>
              <w:left w:val="nil"/>
              <w:bottom w:val="single" w:sz="4" w:space="0" w:color="auto"/>
              <w:right w:val="single" w:sz="4" w:space="0" w:color="auto"/>
            </w:tcBorders>
            <w:shd w:val="clear" w:color="auto" w:fill="C6EFCE"/>
            <w:noWrap/>
            <w:vAlign w:val="center"/>
            <w:hideMark/>
          </w:tcPr>
          <w:p w14:paraId="1A6D6DB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 xml:space="preserve">Míľnik </w:t>
            </w:r>
          </w:p>
        </w:tc>
        <w:tc>
          <w:tcPr>
            <w:tcW w:w="2280" w:type="dxa"/>
            <w:tcBorders>
              <w:top w:val="nil"/>
              <w:left w:val="nil"/>
              <w:bottom w:val="single" w:sz="4" w:space="0" w:color="auto"/>
              <w:right w:val="single" w:sz="4" w:space="0" w:color="auto"/>
            </w:tcBorders>
            <w:shd w:val="clear" w:color="auto" w:fill="C6EFCE"/>
            <w:noWrap/>
            <w:vAlign w:val="center"/>
            <w:hideMark/>
          </w:tcPr>
          <w:p w14:paraId="73169882"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Ochrana kultúrnych pamiatok pred zmenou klímy</w:t>
            </w:r>
          </w:p>
        </w:tc>
      </w:tr>
      <w:tr w:rsidR="00302FC1" w:rsidRPr="00AB26B3" w14:paraId="0B22FCA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EA8BA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291</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FFC7876" w14:textId="085A4C2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16435_Obnova – Ochrana – Zlepšenie pamiatok Akropolis</w:t>
            </w:r>
          </w:p>
        </w:tc>
        <w:tc>
          <w:tcPr>
            <w:tcW w:w="1680" w:type="dxa"/>
            <w:tcBorders>
              <w:top w:val="nil"/>
              <w:left w:val="nil"/>
              <w:bottom w:val="single" w:sz="4" w:space="0" w:color="auto"/>
              <w:right w:val="single" w:sz="4" w:space="0" w:color="auto"/>
            </w:tcBorders>
            <w:shd w:val="clear" w:color="auto" w:fill="C6EFCE"/>
            <w:noWrap/>
            <w:vAlign w:val="center"/>
            <w:hideMark/>
          </w:tcPr>
          <w:p w14:paraId="03A604D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314418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Obnova – ochrana – posilnenie akropolu</w:t>
            </w:r>
          </w:p>
        </w:tc>
      </w:tr>
      <w:tr w:rsidR="00302FC1" w:rsidRPr="00AB26B3" w14:paraId="5B14C2A9"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80D217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297</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AC9A434" w14:textId="347F1986"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16931_Rozvoj cestovného ruchu</w:t>
            </w:r>
          </w:p>
        </w:tc>
        <w:tc>
          <w:tcPr>
            <w:tcW w:w="1680" w:type="dxa"/>
            <w:tcBorders>
              <w:top w:val="nil"/>
              <w:left w:val="nil"/>
              <w:bottom w:val="single" w:sz="4" w:space="0" w:color="auto"/>
              <w:right w:val="single" w:sz="4" w:space="0" w:color="auto"/>
            </w:tcBorders>
            <w:shd w:val="clear" w:color="auto" w:fill="C6EFCE"/>
            <w:noWrap/>
            <w:vAlign w:val="center"/>
            <w:hideMark/>
          </w:tcPr>
          <w:p w14:paraId="64AD2DC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62C2827C" w14:textId="7BE2E47D"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Projekty</w:t>
            </w:r>
            <w:r w:rsidR="00AB26B3" w:rsidRPr="00AB26B3">
              <w:rPr>
                <w:noProof/>
                <w:spacing w:val="-6"/>
                <w:lang w:val="sk-SK"/>
              </w:rPr>
              <w:t xml:space="preserve"> v </w:t>
            </w:r>
            <w:r w:rsidRPr="00AB26B3">
              <w:rPr>
                <w:noProof/>
                <w:spacing w:val="-6"/>
                <w:lang w:val="sk-SK"/>
              </w:rPr>
              <w:t>oblasti cestovného ruchu</w:t>
            </w:r>
          </w:p>
        </w:tc>
      </w:tr>
      <w:tr w:rsidR="00302FC1" w:rsidRPr="00AB26B3" w14:paraId="1236EAF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7CB1A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298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8B8087E" w14:textId="0C4F06A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16975_Modernizácia intervencií pre regionálne prístavy</w:t>
            </w:r>
          </w:p>
        </w:tc>
        <w:tc>
          <w:tcPr>
            <w:tcW w:w="1680" w:type="dxa"/>
            <w:tcBorders>
              <w:top w:val="nil"/>
              <w:left w:val="nil"/>
              <w:bottom w:val="single" w:sz="4" w:space="0" w:color="auto"/>
              <w:right w:val="single" w:sz="4" w:space="0" w:color="auto"/>
            </w:tcBorders>
            <w:shd w:val="clear" w:color="auto" w:fill="C6EFCE"/>
            <w:noWrap/>
            <w:vAlign w:val="center"/>
            <w:hideMark/>
          </w:tcPr>
          <w:p w14:paraId="072AA5CA" w14:textId="77777777"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A26EBF6" w14:textId="0D81DBD2" w:rsidR="00302FC1" w:rsidRPr="00AB26B3" w:rsidRDefault="00D64F26">
            <w:pPr>
              <w:pStyle w:val="P68B1DB1-Normal11"/>
              <w:keepNext/>
              <w:spacing w:before="40" w:after="0" w:line="240" w:lineRule="auto"/>
              <w:jc w:val="both"/>
              <w:rPr>
                <w:rFonts w:eastAsia="Times New Roman" w:cs="Times New Roman"/>
                <w:noProof/>
                <w:spacing w:val="-6"/>
                <w:lang w:val="sk-SK"/>
              </w:rPr>
            </w:pPr>
            <w:r w:rsidRPr="00AB26B3">
              <w:rPr>
                <w:noProof/>
                <w:spacing w:val="-6"/>
                <w:lang w:val="sk-SK"/>
              </w:rPr>
              <w:t>Výstavba infraštruktúrnych prác</w:t>
            </w:r>
            <w:r w:rsidR="00AB26B3" w:rsidRPr="00AB26B3">
              <w:rPr>
                <w:noProof/>
                <w:spacing w:val="-6"/>
                <w:lang w:val="sk-SK"/>
              </w:rPr>
              <w:t xml:space="preserve"> v </w:t>
            </w:r>
            <w:r w:rsidRPr="00AB26B3">
              <w:rPr>
                <w:noProof/>
                <w:spacing w:val="-6"/>
                <w:lang w:val="sk-SK"/>
              </w:rPr>
              <w:t>prístavoch</w:t>
            </w:r>
          </w:p>
        </w:tc>
      </w:tr>
      <w:tr w:rsidR="00302FC1" w:rsidRPr="00AB26B3" w14:paraId="0D33A30F"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FE12B8C"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307</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5C507293" w14:textId="7B894CA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16634_Priemyselné parky</w:t>
            </w:r>
          </w:p>
        </w:tc>
        <w:tc>
          <w:tcPr>
            <w:tcW w:w="1680" w:type="dxa"/>
            <w:tcBorders>
              <w:top w:val="nil"/>
              <w:left w:val="nil"/>
              <w:bottom w:val="single" w:sz="4" w:space="0" w:color="auto"/>
              <w:right w:val="single" w:sz="4" w:space="0" w:color="auto"/>
            </w:tcBorders>
            <w:shd w:val="clear" w:color="auto" w:fill="C6EFCE"/>
            <w:noWrap/>
            <w:vAlign w:val="center"/>
            <w:hideMark/>
          </w:tcPr>
          <w:p w14:paraId="15484DA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11D7570F"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Priemyselné parky – realizácia investičných plánov</w:t>
            </w:r>
          </w:p>
        </w:tc>
      </w:tr>
      <w:tr w:rsidR="00302FC1" w:rsidRPr="00AB26B3" w14:paraId="570C190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032A4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308</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417A9A20" w14:textId="36CC439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16593_Zmena právneho rámca pre prilákanie strategických investícií</w:t>
            </w:r>
          </w:p>
        </w:tc>
        <w:tc>
          <w:tcPr>
            <w:tcW w:w="1680" w:type="dxa"/>
            <w:tcBorders>
              <w:top w:val="nil"/>
              <w:left w:val="nil"/>
              <w:bottom w:val="single" w:sz="4" w:space="0" w:color="auto"/>
              <w:right w:val="single" w:sz="4" w:space="0" w:color="auto"/>
            </w:tcBorders>
            <w:shd w:val="clear" w:color="auto" w:fill="C6EFCE"/>
            <w:noWrap/>
            <w:vAlign w:val="center"/>
            <w:hideMark/>
          </w:tcPr>
          <w:p w14:paraId="1777826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ED2C63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Strategické investície – realizácia investičných plánov</w:t>
            </w:r>
          </w:p>
        </w:tc>
      </w:tr>
      <w:tr w:rsidR="00302FC1" w:rsidRPr="00AB26B3" w14:paraId="14CB63A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6291FF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309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72BB7129" w14:textId="20E99A6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16721_Urýchlenie inteligentnej výroby</w:t>
            </w:r>
          </w:p>
        </w:tc>
        <w:tc>
          <w:tcPr>
            <w:tcW w:w="1680" w:type="dxa"/>
            <w:tcBorders>
              <w:top w:val="nil"/>
              <w:left w:val="nil"/>
              <w:bottom w:val="single" w:sz="4" w:space="0" w:color="auto"/>
              <w:right w:val="single" w:sz="4" w:space="0" w:color="auto"/>
            </w:tcBorders>
            <w:shd w:val="clear" w:color="auto" w:fill="C6EFCE"/>
            <w:noWrap/>
            <w:vAlign w:val="center"/>
            <w:hideMark/>
          </w:tcPr>
          <w:p w14:paraId="1BF1217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C9D978B" w14:textId="10F6AB53"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Výrobný sektor – realizácia investičných plánov</w:t>
            </w:r>
          </w:p>
        </w:tc>
      </w:tr>
      <w:tr w:rsidR="00302FC1" w:rsidRPr="00AB26B3" w14:paraId="0589F44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A8A2256" w14:textId="1BAA0E9D"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313a</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FFCFA3F" w14:textId="5A830DD4"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16653_Digitálna transformácia agropotravinárskeho sektora</w:t>
            </w:r>
          </w:p>
        </w:tc>
        <w:tc>
          <w:tcPr>
            <w:tcW w:w="1680" w:type="dxa"/>
            <w:tcBorders>
              <w:top w:val="nil"/>
              <w:left w:val="nil"/>
              <w:bottom w:val="single" w:sz="4" w:space="0" w:color="auto"/>
              <w:right w:val="single" w:sz="4" w:space="0" w:color="auto"/>
            </w:tcBorders>
            <w:shd w:val="clear" w:color="auto" w:fill="C6EFCE"/>
            <w:noWrap/>
            <w:vAlign w:val="center"/>
            <w:hideMark/>
          </w:tcPr>
          <w:p w14:paraId="5678CBAC" w14:textId="0F1835C6"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41CFB45" w14:textId="2D755809"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Realizácia projektov digitálnej transformácie agropotravinárskeho sektora</w:t>
            </w:r>
          </w:p>
        </w:tc>
      </w:tr>
      <w:tr w:rsidR="00302FC1" w:rsidRPr="00AB26B3" w14:paraId="1F31D257"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9BA9AF7"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314</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66D7D064" w14:textId="3ACA9A9F"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16626_Hospodárska transformácia odvetví poľnohospodárstva</w:t>
            </w:r>
            <w:r w:rsidR="00AB26B3" w:rsidRPr="00AB26B3">
              <w:rPr>
                <w:noProof/>
                <w:spacing w:val="-6"/>
                <w:lang w:val="sk-SK"/>
              </w:rPr>
              <w:t xml:space="preserve"> a </w:t>
            </w:r>
            <w:r w:rsidRPr="00AB26B3">
              <w:rPr>
                <w:noProof/>
                <w:spacing w:val="-6"/>
                <w:lang w:val="sk-SK"/>
              </w:rPr>
              <w:t>akvakultúry</w:t>
            </w:r>
          </w:p>
        </w:tc>
        <w:tc>
          <w:tcPr>
            <w:tcW w:w="1680" w:type="dxa"/>
            <w:tcBorders>
              <w:top w:val="nil"/>
              <w:left w:val="nil"/>
              <w:bottom w:val="single" w:sz="4" w:space="0" w:color="auto"/>
              <w:right w:val="single" w:sz="4" w:space="0" w:color="auto"/>
            </w:tcBorders>
            <w:shd w:val="clear" w:color="auto" w:fill="C6EFCE"/>
            <w:noWrap/>
            <w:vAlign w:val="center"/>
            <w:hideMark/>
          </w:tcPr>
          <w:p w14:paraId="0062844B"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42BCBB0" w14:textId="09AAC27C"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Dokončenie hospodárskej transformácie poľnohospodárstva</w:t>
            </w:r>
            <w:r w:rsidR="00AB26B3" w:rsidRPr="00AB26B3">
              <w:rPr>
                <w:noProof/>
                <w:spacing w:val="-6"/>
                <w:lang w:val="sk-SK"/>
              </w:rPr>
              <w:t xml:space="preserve"> a </w:t>
            </w:r>
            <w:r w:rsidRPr="00AB26B3">
              <w:rPr>
                <w:noProof/>
                <w:spacing w:val="-6"/>
                <w:lang w:val="sk-SK"/>
              </w:rPr>
              <w:t>akvakultúry</w:t>
            </w:r>
          </w:p>
        </w:tc>
      </w:tr>
      <w:tr w:rsidR="00302FC1" w:rsidRPr="00AB26B3" w14:paraId="7AA7563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55F1E4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319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3D1A9A36" w14:textId="774C220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18 – 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16543_Opatrenia na zjednodušenie podnikateľského prostredia</w:t>
            </w:r>
            <w:r w:rsidR="00AB26B3" w:rsidRPr="00AB26B3">
              <w:rPr>
                <w:noProof/>
                <w:spacing w:val="-6"/>
                <w:lang w:val="sk-SK"/>
              </w:rPr>
              <w:t xml:space="preserve"> a </w:t>
            </w:r>
            <w:r w:rsidRPr="00AB26B3">
              <w:rPr>
                <w:noProof/>
                <w:spacing w:val="-6"/>
                <w:lang w:val="sk-SK"/>
              </w:rPr>
              <w:t>jeho zlepšenie kvality</w:t>
            </w:r>
            <w:r w:rsidR="00AB26B3" w:rsidRPr="00AB26B3">
              <w:rPr>
                <w:noProof/>
                <w:spacing w:val="-6"/>
                <w:lang w:val="sk-SK"/>
              </w:rPr>
              <w:t xml:space="preserve"> a </w:t>
            </w:r>
            <w:r w:rsidRPr="00AB26B3">
              <w:rPr>
                <w:noProof/>
                <w:spacing w:val="-6"/>
                <w:lang w:val="sk-SK"/>
              </w:rPr>
              <w:t>bezpečnosti</w:t>
            </w:r>
          </w:p>
        </w:tc>
        <w:tc>
          <w:tcPr>
            <w:tcW w:w="1680" w:type="dxa"/>
            <w:tcBorders>
              <w:top w:val="nil"/>
              <w:left w:val="nil"/>
              <w:bottom w:val="single" w:sz="4" w:space="0" w:color="auto"/>
              <w:right w:val="single" w:sz="4" w:space="0" w:color="auto"/>
            </w:tcBorders>
            <w:shd w:val="clear" w:color="auto" w:fill="C6EFCE"/>
            <w:noWrap/>
            <w:vAlign w:val="center"/>
            <w:hideMark/>
          </w:tcPr>
          <w:p w14:paraId="409AD77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0F48E5DF" w14:textId="4D4F676F"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Podnikateľské prostredie – zjednodušenie udeľovania licencií</w:t>
            </w:r>
            <w:r w:rsidR="00AB26B3" w:rsidRPr="00AB26B3">
              <w:rPr>
                <w:noProof/>
                <w:spacing w:val="-6"/>
                <w:lang w:val="sk-SK"/>
              </w:rPr>
              <w:t xml:space="preserve"> a </w:t>
            </w:r>
            <w:r w:rsidRPr="00AB26B3">
              <w:rPr>
                <w:noProof/>
                <w:spacing w:val="-6"/>
                <w:lang w:val="sk-SK"/>
              </w:rPr>
              <w:t>dohľad nad trhom</w:t>
            </w:r>
          </w:p>
        </w:tc>
      </w:tr>
      <w:tr w:rsidR="00302FC1" w:rsidRPr="00AB26B3" w14:paraId="02431992"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0A3F47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259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2CE5792E" w14:textId="7E6940E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 17 – 4.6. Modernizácia</w:t>
            </w:r>
            <w:r w:rsidR="00AB26B3" w:rsidRPr="00AB26B3">
              <w:rPr>
                <w:noProof/>
                <w:spacing w:val="-6"/>
                <w:lang w:val="sk-SK"/>
              </w:rPr>
              <w:t xml:space="preserve"> a </w:t>
            </w:r>
            <w:r w:rsidRPr="00AB26B3">
              <w:rPr>
                <w:noProof/>
                <w:spacing w:val="-6"/>
                <w:lang w:val="sk-SK"/>
              </w:rPr>
              <w:t>zlepšenie odolnosti kľúčových hospodárskych odvetví – 16631_Zlepšenie bezpečnosti cestnej premávky</w:t>
            </w:r>
          </w:p>
        </w:tc>
        <w:tc>
          <w:tcPr>
            <w:tcW w:w="1680" w:type="dxa"/>
            <w:tcBorders>
              <w:top w:val="nil"/>
              <w:left w:val="nil"/>
              <w:bottom w:val="single" w:sz="4" w:space="0" w:color="auto"/>
              <w:right w:val="single" w:sz="4" w:space="0" w:color="auto"/>
            </w:tcBorders>
            <w:shd w:val="clear" w:color="auto" w:fill="C6EFCE"/>
            <w:noWrap/>
            <w:vAlign w:val="center"/>
            <w:hideMark/>
          </w:tcPr>
          <w:p w14:paraId="7A66A34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E93417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Dokončenie projektu bezpečnosti cestnej premávky</w:t>
            </w:r>
          </w:p>
        </w:tc>
      </w:tr>
      <w:tr w:rsidR="00302FC1" w:rsidRPr="00AB26B3" w14:paraId="48F76F29"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38B760"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346</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11DFC6B5" w14:textId="291DF83C"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16 – 4.5. Podpora výskumu</w:t>
            </w:r>
            <w:r w:rsidR="00AB26B3" w:rsidRPr="00AB26B3">
              <w:rPr>
                <w:noProof/>
                <w:spacing w:val="-6"/>
                <w:lang w:val="sk-SK"/>
              </w:rPr>
              <w:t xml:space="preserve"> a </w:t>
            </w:r>
            <w:r w:rsidRPr="00AB26B3">
              <w:rPr>
                <w:noProof/>
                <w:spacing w:val="-6"/>
                <w:lang w:val="sk-SK"/>
              </w:rPr>
              <w:t>inovácií – 16622_HORIZONT 2020 „známka excelentnosti“: financovanie najinovatívnejších spoločností</w:t>
            </w:r>
          </w:p>
        </w:tc>
        <w:tc>
          <w:tcPr>
            <w:tcW w:w="1680" w:type="dxa"/>
            <w:tcBorders>
              <w:top w:val="nil"/>
              <w:left w:val="nil"/>
              <w:bottom w:val="single" w:sz="4" w:space="0" w:color="auto"/>
              <w:right w:val="single" w:sz="4" w:space="0" w:color="auto"/>
            </w:tcBorders>
            <w:shd w:val="clear" w:color="auto" w:fill="C6EFCE"/>
            <w:noWrap/>
            <w:vAlign w:val="center"/>
            <w:hideMark/>
          </w:tcPr>
          <w:p w14:paraId="50D6B64A"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581C18FC" w14:textId="1D4E180A"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Realizácia projektov realizovaných malými</w:t>
            </w:r>
            <w:r w:rsidR="00AB26B3" w:rsidRPr="00AB26B3">
              <w:rPr>
                <w:noProof/>
                <w:spacing w:val="-6"/>
                <w:lang w:val="sk-SK"/>
              </w:rPr>
              <w:t xml:space="preserve"> a </w:t>
            </w:r>
            <w:r w:rsidRPr="00AB26B3">
              <w:rPr>
                <w:noProof/>
                <w:spacing w:val="-6"/>
                <w:lang w:val="sk-SK"/>
              </w:rPr>
              <w:t>strednými podnikmi</w:t>
            </w:r>
          </w:p>
        </w:tc>
      </w:tr>
      <w:tr w:rsidR="00302FC1" w:rsidRPr="00AB26B3" w14:paraId="02BE9D8D"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705C26"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349</w:t>
            </w:r>
          </w:p>
        </w:tc>
        <w:tc>
          <w:tcPr>
            <w:tcW w:w="5581" w:type="dxa"/>
            <w:gridSpan w:val="2"/>
            <w:tcBorders>
              <w:top w:val="nil"/>
              <w:left w:val="single" w:sz="4" w:space="0" w:color="auto"/>
              <w:bottom w:val="single" w:sz="4" w:space="0" w:color="auto"/>
              <w:right w:val="single" w:sz="4" w:space="0" w:color="auto"/>
            </w:tcBorders>
            <w:shd w:val="clear" w:color="auto" w:fill="C6EFCE"/>
            <w:noWrap/>
            <w:vAlign w:val="center"/>
            <w:hideMark/>
          </w:tcPr>
          <w:p w14:paraId="0C8BF8FF" w14:textId="399CB9B6"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17 – 4.6. Modernizácia</w:t>
            </w:r>
            <w:r w:rsidR="00AB26B3" w:rsidRPr="00AB26B3">
              <w:rPr>
                <w:noProof/>
                <w:spacing w:val="-6"/>
                <w:lang w:val="sk-SK"/>
              </w:rPr>
              <w:t xml:space="preserve"> a </w:t>
            </w:r>
            <w:r w:rsidRPr="00AB26B3">
              <w:rPr>
                <w:noProof/>
                <w:spacing w:val="-6"/>
                <w:lang w:val="sk-SK"/>
              </w:rPr>
              <w:t>zlepšenie odolnosti kľúčových hospodárskych odvetví – 16999_Obnova prístupnosti po ničivých účinkoch búrok „DANIEL“</w:t>
            </w:r>
            <w:r w:rsidR="00AB26B3" w:rsidRPr="00AB26B3">
              <w:rPr>
                <w:noProof/>
                <w:spacing w:val="-6"/>
                <w:lang w:val="sk-SK"/>
              </w:rPr>
              <w:t xml:space="preserve"> a </w:t>
            </w:r>
            <w:r w:rsidRPr="00AB26B3">
              <w:rPr>
                <w:noProof/>
                <w:spacing w:val="-6"/>
                <w:lang w:val="sk-SK"/>
              </w:rPr>
              <w:t>„ELIAS“</w:t>
            </w:r>
          </w:p>
        </w:tc>
        <w:tc>
          <w:tcPr>
            <w:tcW w:w="1680" w:type="dxa"/>
            <w:tcBorders>
              <w:top w:val="nil"/>
              <w:left w:val="nil"/>
              <w:bottom w:val="single" w:sz="4" w:space="0" w:color="auto"/>
              <w:right w:val="single" w:sz="4" w:space="0" w:color="auto"/>
            </w:tcBorders>
            <w:shd w:val="clear" w:color="auto" w:fill="C6EFCE"/>
            <w:noWrap/>
            <w:vAlign w:val="center"/>
            <w:hideMark/>
          </w:tcPr>
          <w:p w14:paraId="70DC0448"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280" w:type="dxa"/>
            <w:tcBorders>
              <w:top w:val="nil"/>
              <w:left w:val="nil"/>
              <w:bottom w:val="single" w:sz="4" w:space="0" w:color="auto"/>
              <w:right w:val="single" w:sz="4" w:space="0" w:color="auto"/>
            </w:tcBorders>
            <w:shd w:val="clear" w:color="auto" w:fill="C6EFCE"/>
            <w:noWrap/>
            <w:vAlign w:val="center"/>
            <w:hideMark/>
          </w:tcPr>
          <w:p w14:paraId="439D4075"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Vybudované projekty obnovy ciest</w:t>
            </w:r>
          </w:p>
        </w:tc>
      </w:tr>
      <w:tr w:rsidR="00302FC1" w:rsidRPr="00AB26B3" w14:paraId="1FEA79B0"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384E13A" w14:textId="08144CB6"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350</w:t>
            </w:r>
          </w:p>
        </w:tc>
        <w:tc>
          <w:tcPr>
            <w:tcW w:w="5581" w:type="dxa"/>
            <w:gridSpan w:val="2"/>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C12E6F" w14:textId="6FFD2860"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 xml:space="preserve">17 - </w:t>
            </w:r>
            <w:r w:rsidRPr="00AB26B3">
              <w:rPr>
                <w:noProof/>
                <w:spacing w:val="-6"/>
                <w:szCs w:val="18"/>
                <w:lang w:val="sk-SK"/>
              </w:rPr>
              <w:t>4.6. Modernizácia</w:t>
            </w:r>
            <w:r w:rsidR="00AB26B3" w:rsidRPr="00AB26B3">
              <w:rPr>
                <w:noProof/>
                <w:spacing w:val="-6"/>
                <w:szCs w:val="18"/>
                <w:lang w:val="sk-SK"/>
              </w:rPr>
              <w:t xml:space="preserve"> a </w:t>
            </w:r>
            <w:r w:rsidRPr="00AB26B3">
              <w:rPr>
                <w:noProof/>
                <w:spacing w:val="-6"/>
                <w:szCs w:val="18"/>
                <w:lang w:val="sk-SK"/>
              </w:rPr>
              <w:t>zlepšenie odolnosti kľúčových hospodárskych odvetví – 16999_Obnova prístupnosti po ničivých účinkoch búrok „DANIEL“</w:t>
            </w:r>
            <w:r w:rsidR="00AB26B3" w:rsidRPr="00AB26B3">
              <w:rPr>
                <w:noProof/>
                <w:spacing w:val="-6"/>
                <w:szCs w:val="18"/>
                <w:lang w:val="sk-SK"/>
              </w:rPr>
              <w:t xml:space="preserve"> a </w:t>
            </w:r>
            <w:r w:rsidRPr="00AB26B3">
              <w:rPr>
                <w:noProof/>
                <w:spacing w:val="-6"/>
                <w:szCs w:val="18"/>
                <w:lang w:val="sk-SK"/>
              </w:rPr>
              <w:t>„ELIAS“</w:t>
            </w:r>
          </w:p>
        </w:tc>
        <w:tc>
          <w:tcPr>
            <w:tcW w:w="16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9139956" w14:textId="1FDC4C85"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Míľnik</w:t>
            </w:r>
          </w:p>
        </w:tc>
        <w:tc>
          <w:tcPr>
            <w:tcW w:w="22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EE3169" w14:textId="77777777" w:rsidR="00302FC1" w:rsidRPr="00AB26B3" w:rsidRDefault="00D64F26">
            <w:pPr>
              <w:pStyle w:val="P68B1DB1-Normal11"/>
              <w:keepNext/>
              <w:spacing w:before="40" w:after="0" w:line="240" w:lineRule="auto"/>
              <w:jc w:val="both"/>
              <w:rPr>
                <w:rFonts w:cs="Times New Roman"/>
                <w:noProof/>
                <w:spacing w:val="-6"/>
                <w:lang w:val="sk-SK"/>
              </w:rPr>
            </w:pPr>
            <w:r w:rsidRPr="00AB26B3">
              <w:rPr>
                <w:noProof/>
                <w:spacing w:val="-6"/>
                <w:lang w:val="sk-SK"/>
              </w:rPr>
              <w:t>Vybudované projekty obnovy železníc</w:t>
            </w:r>
          </w:p>
        </w:tc>
      </w:tr>
      <w:tr w:rsidR="00302FC1" w:rsidRPr="00AB26B3" w14:paraId="6D092B1C"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4B2830" w14:textId="77777777"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350a</w:t>
            </w:r>
          </w:p>
          <w:p w14:paraId="3B516559" w14:textId="77777777" w:rsidR="00302FC1" w:rsidRPr="00AB26B3" w:rsidRDefault="00302FC1">
            <w:pPr>
              <w:keepNext/>
              <w:spacing w:before="40" w:after="0" w:line="240" w:lineRule="auto"/>
              <w:jc w:val="both"/>
              <w:rPr>
                <w:rFonts w:ascii="Times New Roman" w:hAnsi="Times New Roman"/>
                <w:noProof/>
                <w:spacing w:val="-6"/>
                <w:sz w:val="18"/>
                <w:szCs w:val="18"/>
                <w:lang w:val="sk-SK"/>
              </w:rPr>
            </w:pPr>
          </w:p>
        </w:tc>
        <w:tc>
          <w:tcPr>
            <w:tcW w:w="5581" w:type="dxa"/>
            <w:gridSpan w:val="2"/>
            <w:tcBorders>
              <w:top w:val="single" w:sz="4" w:space="0" w:color="auto"/>
              <w:left w:val="single" w:sz="4" w:space="0" w:color="auto"/>
              <w:bottom w:val="single" w:sz="4" w:space="0" w:color="auto"/>
              <w:right w:val="single" w:sz="4" w:space="0" w:color="auto"/>
            </w:tcBorders>
            <w:shd w:val="clear" w:color="auto" w:fill="C6EFCE"/>
            <w:noWrap/>
            <w:vAlign w:val="center"/>
          </w:tcPr>
          <w:p w14:paraId="3CA9CBBE" w14:textId="02E2F003"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4.6. Modernizácia</w:t>
            </w:r>
            <w:r w:rsidR="00AB26B3" w:rsidRPr="00AB26B3">
              <w:rPr>
                <w:noProof/>
                <w:spacing w:val="-6"/>
                <w:lang w:val="sk-SK"/>
              </w:rPr>
              <w:t xml:space="preserve"> a </w:t>
            </w:r>
            <w:r w:rsidRPr="00AB26B3">
              <w:rPr>
                <w:noProof/>
                <w:spacing w:val="-6"/>
                <w:lang w:val="sk-SK"/>
              </w:rPr>
              <w:t>zlepšenie odolnosti kľúčových hospodárskych odvetví – 16999_Obnova prístupnosti po ničivých účinkoch búrok „DANIEL“</w:t>
            </w:r>
            <w:r w:rsidR="00AB26B3" w:rsidRPr="00AB26B3">
              <w:rPr>
                <w:noProof/>
                <w:spacing w:val="-6"/>
                <w:lang w:val="sk-SK"/>
              </w:rPr>
              <w:t xml:space="preserve"> a </w:t>
            </w:r>
            <w:r w:rsidRPr="00AB26B3">
              <w:rPr>
                <w:noProof/>
                <w:spacing w:val="-6"/>
                <w:lang w:val="sk-SK"/>
              </w:rPr>
              <w:t>„ELIAS“</w:t>
            </w:r>
          </w:p>
        </w:tc>
        <w:tc>
          <w:tcPr>
            <w:tcW w:w="16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FA171B" w14:textId="77777777"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Míľnik</w:t>
            </w:r>
          </w:p>
          <w:p w14:paraId="0D5553E8" w14:textId="77777777" w:rsidR="00302FC1" w:rsidRPr="00AB26B3" w:rsidRDefault="00302FC1">
            <w:pPr>
              <w:keepNext/>
              <w:spacing w:before="40" w:after="0" w:line="240" w:lineRule="auto"/>
              <w:jc w:val="both"/>
              <w:rPr>
                <w:rFonts w:ascii="Times New Roman" w:hAnsi="Times New Roman"/>
                <w:noProof/>
                <w:spacing w:val="-6"/>
                <w:sz w:val="18"/>
                <w:szCs w:val="18"/>
                <w:lang w:val="sk-SK"/>
              </w:rPr>
            </w:pPr>
          </w:p>
        </w:tc>
        <w:tc>
          <w:tcPr>
            <w:tcW w:w="22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80B0BE" w14:textId="4022BEEA" w:rsidR="00302FC1" w:rsidRPr="00AB26B3" w:rsidRDefault="00D64F26">
            <w:pPr>
              <w:pStyle w:val="P68B1DB1-Normal11"/>
              <w:keepNext/>
              <w:spacing w:before="40" w:after="0" w:line="240" w:lineRule="auto"/>
              <w:jc w:val="both"/>
              <w:rPr>
                <w:noProof/>
                <w:spacing w:val="-6"/>
                <w:lang w:val="sk-SK"/>
              </w:rPr>
            </w:pPr>
            <w:r w:rsidRPr="00AB26B3">
              <w:rPr>
                <w:noProof/>
                <w:spacing w:val="-6"/>
                <w:lang w:val="sk-SK"/>
              </w:rPr>
              <w:t>Systémy návestenia, ETCS, Telemanažment</w:t>
            </w:r>
            <w:r w:rsidR="00AB26B3" w:rsidRPr="00AB26B3">
              <w:rPr>
                <w:noProof/>
                <w:spacing w:val="-6"/>
                <w:lang w:val="sk-SK"/>
              </w:rPr>
              <w:t xml:space="preserve"> a </w:t>
            </w:r>
            <w:r w:rsidRPr="00AB26B3">
              <w:rPr>
                <w:noProof/>
                <w:spacing w:val="-6"/>
                <w:lang w:val="sk-SK"/>
              </w:rPr>
              <w:t>elektrifikácia</w:t>
            </w:r>
            <w:r w:rsidR="00AB26B3" w:rsidRPr="00AB26B3">
              <w:rPr>
                <w:noProof/>
                <w:spacing w:val="-6"/>
                <w:lang w:val="sk-SK"/>
              </w:rPr>
              <w:t xml:space="preserve"> z </w:t>
            </w:r>
            <w:r w:rsidRPr="00AB26B3">
              <w:rPr>
                <w:noProof/>
                <w:spacing w:val="-6"/>
                <w:lang w:val="sk-SK"/>
              </w:rPr>
              <w:t>Paleofarsalos do Krannony</w:t>
            </w:r>
          </w:p>
        </w:tc>
      </w:tr>
      <w:tr w:rsidR="00302FC1" w:rsidRPr="00AB26B3" w14:paraId="07EA9E78"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tcPr>
          <w:p w14:paraId="13C7B2F5"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354</w:t>
            </w:r>
          </w:p>
        </w:tc>
        <w:tc>
          <w:tcPr>
            <w:tcW w:w="5581" w:type="dxa"/>
            <w:gridSpan w:val="2"/>
            <w:tcBorders>
              <w:top w:val="single" w:sz="4" w:space="0" w:color="auto"/>
              <w:left w:val="single" w:sz="4" w:space="0" w:color="auto"/>
              <w:bottom w:val="single" w:sz="4" w:space="0" w:color="auto"/>
              <w:right w:val="single" w:sz="4" w:space="0" w:color="auto"/>
            </w:tcBorders>
            <w:shd w:val="clear" w:color="auto" w:fill="C6EFCE"/>
            <w:noWrap/>
          </w:tcPr>
          <w:p w14:paraId="6F291620" w14:textId="7093355E"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20 – 5.1. Reformy REPowerEU – 16989_Optimalizácia využívania pevniny</w:t>
            </w:r>
            <w:r w:rsidR="00AB26B3" w:rsidRPr="00AB26B3">
              <w:rPr>
                <w:noProof/>
                <w:spacing w:val="-6"/>
                <w:lang w:val="sk-SK"/>
              </w:rPr>
              <w:t xml:space="preserve"> a </w:t>
            </w:r>
            <w:r w:rsidRPr="00AB26B3">
              <w:rPr>
                <w:noProof/>
                <w:spacing w:val="-6"/>
                <w:lang w:val="sk-SK"/>
              </w:rPr>
              <w:t>morského priestoru na rozvoj energie</w:t>
            </w:r>
            <w:r w:rsidR="00AB26B3" w:rsidRPr="00AB26B3">
              <w:rPr>
                <w:noProof/>
                <w:spacing w:val="-6"/>
                <w:lang w:val="sk-SK"/>
              </w:rPr>
              <w:t xml:space="preserve"> z </w:t>
            </w:r>
            <w:r w:rsidRPr="00AB26B3">
              <w:rPr>
                <w:noProof/>
                <w:spacing w:val="-6"/>
                <w:lang w:val="sk-SK"/>
              </w:rPr>
              <w:t>obnoviteľných zdrojov</w:t>
            </w:r>
            <w:r w:rsidR="00AB26B3" w:rsidRPr="00AB26B3">
              <w:rPr>
                <w:noProof/>
                <w:spacing w:val="-6"/>
                <w:lang w:val="sk-SK"/>
              </w:rPr>
              <w:t xml:space="preserve"> a </w:t>
            </w:r>
            <w:r w:rsidRPr="00AB26B3">
              <w:rPr>
                <w:noProof/>
                <w:spacing w:val="-6"/>
                <w:lang w:val="sk-SK"/>
              </w:rPr>
              <w:t>rozvoj veternej energie na mori</w:t>
            </w:r>
          </w:p>
        </w:tc>
        <w:tc>
          <w:tcPr>
            <w:tcW w:w="1680" w:type="dxa"/>
            <w:tcBorders>
              <w:top w:val="single" w:sz="4" w:space="0" w:color="auto"/>
              <w:left w:val="nil"/>
              <w:bottom w:val="single" w:sz="4" w:space="0" w:color="auto"/>
              <w:right w:val="single" w:sz="4" w:space="0" w:color="auto"/>
            </w:tcBorders>
            <w:shd w:val="clear" w:color="auto" w:fill="C6EFCE"/>
            <w:noWrap/>
          </w:tcPr>
          <w:p w14:paraId="1642C183"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280" w:type="dxa"/>
            <w:tcBorders>
              <w:top w:val="single" w:sz="4" w:space="0" w:color="auto"/>
              <w:left w:val="nil"/>
              <w:bottom w:val="single" w:sz="4" w:space="0" w:color="auto"/>
              <w:right w:val="single" w:sz="4" w:space="0" w:color="auto"/>
            </w:tcBorders>
            <w:shd w:val="clear" w:color="auto" w:fill="C6EFCE"/>
            <w:noWrap/>
          </w:tcPr>
          <w:p w14:paraId="1A068A0C"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Rámec na uľahčenie využívania obnoviteľných zdrojov energie</w:t>
            </w:r>
          </w:p>
        </w:tc>
      </w:tr>
      <w:tr w:rsidR="00302FC1" w:rsidRPr="00AB26B3" w14:paraId="1BE72D5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4ECE063C" w14:textId="77777777" w:rsidR="00302FC1" w:rsidRPr="00AB26B3" w:rsidRDefault="00D64F26">
            <w:pPr>
              <w:pStyle w:val="P68B1DB1-Normal52"/>
              <w:keepNext/>
              <w:spacing w:before="40" w:after="0" w:line="256" w:lineRule="auto"/>
              <w:jc w:val="both"/>
              <w:rPr>
                <w:rFonts w:eastAsia="Times New Roman" w:cs="Times New Roman"/>
                <w:bCs/>
                <w:noProof/>
                <w:spacing w:val="-6"/>
                <w:szCs w:val="18"/>
                <w:lang w:val="sk-SK"/>
              </w:rPr>
            </w:pPr>
            <w:r w:rsidRPr="00AB26B3">
              <w:rPr>
                <w:noProof/>
                <w:spacing w:val="-6"/>
                <w:lang w:val="sk-SK"/>
              </w:rPr>
              <w:t>360</w:t>
            </w:r>
          </w:p>
        </w:tc>
        <w:tc>
          <w:tcPr>
            <w:tcW w:w="5581" w:type="dxa"/>
            <w:gridSpan w:val="2"/>
            <w:tcBorders>
              <w:top w:val="single" w:sz="4" w:space="0" w:color="auto"/>
              <w:left w:val="single" w:sz="4" w:space="0" w:color="auto"/>
              <w:bottom w:val="single" w:sz="4" w:space="0" w:color="auto"/>
              <w:right w:val="single" w:sz="4" w:space="0" w:color="auto"/>
            </w:tcBorders>
            <w:shd w:val="clear" w:color="auto" w:fill="C6EFCE"/>
            <w:noWrap/>
            <w:hideMark/>
          </w:tcPr>
          <w:p w14:paraId="50D1FED1" w14:textId="77777777" w:rsidR="00302FC1" w:rsidRPr="00AB26B3" w:rsidRDefault="00D64F26">
            <w:pPr>
              <w:pStyle w:val="P68B1DB1-Normal52"/>
              <w:keepNext/>
              <w:spacing w:before="40" w:after="0" w:line="256" w:lineRule="auto"/>
              <w:jc w:val="both"/>
              <w:rPr>
                <w:rFonts w:eastAsia="Times New Roman" w:cs="Times New Roman"/>
                <w:bCs/>
                <w:noProof/>
                <w:spacing w:val="-6"/>
                <w:szCs w:val="18"/>
                <w:lang w:val="sk-SK"/>
              </w:rPr>
            </w:pPr>
            <w:r w:rsidRPr="00AB26B3">
              <w:rPr>
                <w:noProof/>
                <w:spacing w:val="-6"/>
                <w:lang w:val="sk-SK"/>
              </w:rPr>
              <w:t>20 – 5.1. Reformy REPowerEU – 16991_Regulačný rámec pre inteligentnú sieť</w:t>
            </w:r>
          </w:p>
        </w:tc>
        <w:tc>
          <w:tcPr>
            <w:tcW w:w="1680" w:type="dxa"/>
            <w:tcBorders>
              <w:top w:val="single" w:sz="4" w:space="0" w:color="auto"/>
              <w:left w:val="nil"/>
              <w:bottom w:val="single" w:sz="4" w:space="0" w:color="auto"/>
              <w:right w:val="single" w:sz="4" w:space="0" w:color="auto"/>
            </w:tcBorders>
            <w:shd w:val="clear" w:color="auto" w:fill="C6EFCE"/>
            <w:noWrap/>
            <w:hideMark/>
          </w:tcPr>
          <w:p w14:paraId="23297BA8" w14:textId="77777777" w:rsidR="00302FC1" w:rsidRPr="00AB26B3" w:rsidRDefault="00D64F26">
            <w:pPr>
              <w:pStyle w:val="P68B1DB1-Normal52"/>
              <w:keepNext/>
              <w:spacing w:before="40" w:after="0" w:line="256"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single" w:sz="4" w:space="0" w:color="auto"/>
              <w:left w:val="nil"/>
              <w:bottom w:val="single" w:sz="4" w:space="0" w:color="auto"/>
              <w:right w:val="single" w:sz="4" w:space="0" w:color="auto"/>
            </w:tcBorders>
            <w:shd w:val="clear" w:color="auto" w:fill="C6EFCE"/>
            <w:noWrap/>
            <w:hideMark/>
          </w:tcPr>
          <w:p w14:paraId="0979ACCF" w14:textId="77777777" w:rsidR="00302FC1" w:rsidRPr="00AB26B3" w:rsidRDefault="00D64F26">
            <w:pPr>
              <w:pStyle w:val="P68B1DB1-Normal52"/>
              <w:keepNext/>
              <w:spacing w:before="40" w:after="0" w:line="256" w:lineRule="auto"/>
              <w:jc w:val="both"/>
              <w:rPr>
                <w:rFonts w:eastAsia="Times New Roman" w:cs="Times New Roman"/>
                <w:noProof/>
                <w:spacing w:val="-6"/>
                <w:szCs w:val="18"/>
                <w:lang w:val="sk-SK"/>
              </w:rPr>
            </w:pPr>
            <w:r w:rsidRPr="00AB26B3">
              <w:rPr>
                <w:noProof/>
                <w:spacing w:val="-6"/>
                <w:lang w:val="sk-SK"/>
              </w:rPr>
              <w:t>Vývoj kontrolného strediska prevádzkovateľa distribučnej sústavy</w:t>
            </w:r>
          </w:p>
        </w:tc>
      </w:tr>
      <w:tr w:rsidR="00302FC1" w:rsidRPr="00AB26B3" w14:paraId="0087285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0EC2EF32" w14:textId="77777777" w:rsidR="00302FC1" w:rsidRPr="00AB26B3" w:rsidRDefault="00D64F26">
            <w:pPr>
              <w:pStyle w:val="P68B1DB1-Normal52"/>
              <w:keepNext/>
              <w:spacing w:before="40" w:after="0" w:line="256" w:lineRule="auto"/>
              <w:jc w:val="both"/>
              <w:rPr>
                <w:rFonts w:eastAsia="Times New Roman" w:cs="Times New Roman"/>
                <w:bCs/>
                <w:noProof/>
                <w:spacing w:val="-6"/>
                <w:szCs w:val="18"/>
                <w:lang w:val="sk-SK"/>
              </w:rPr>
            </w:pPr>
            <w:r w:rsidRPr="00AB26B3">
              <w:rPr>
                <w:noProof/>
                <w:spacing w:val="-6"/>
                <w:lang w:val="sk-SK"/>
              </w:rPr>
              <w:t>369</w:t>
            </w:r>
          </w:p>
        </w:tc>
        <w:tc>
          <w:tcPr>
            <w:tcW w:w="5581" w:type="dxa"/>
            <w:gridSpan w:val="2"/>
            <w:tcBorders>
              <w:top w:val="single" w:sz="4" w:space="0" w:color="auto"/>
              <w:left w:val="single" w:sz="4" w:space="0" w:color="auto"/>
              <w:bottom w:val="single" w:sz="4" w:space="0" w:color="auto"/>
              <w:right w:val="single" w:sz="4" w:space="0" w:color="auto"/>
            </w:tcBorders>
            <w:shd w:val="clear" w:color="auto" w:fill="C6EFCE"/>
            <w:noWrap/>
            <w:hideMark/>
          </w:tcPr>
          <w:p w14:paraId="675F186B" w14:textId="1189DBE2" w:rsidR="00302FC1" w:rsidRPr="00AB26B3" w:rsidRDefault="00D64F26">
            <w:pPr>
              <w:pStyle w:val="P68B1DB1-Normal52"/>
              <w:keepNext/>
              <w:spacing w:before="40" w:after="0" w:line="256" w:lineRule="auto"/>
              <w:jc w:val="both"/>
              <w:rPr>
                <w:rFonts w:eastAsia="Times New Roman" w:cs="Times New Roman"/>
                <w:bCs/>
                <w:noProof/>
                <w:spacing w:val="-6"/>
                <w:szCs w:val="18"/>
                <w:lang w:val="sk-SK"/>
              </w:rPr>
            </w:pPr>
            <w:r w:rsidRPr="00AB26B3">
              <w:rPr>
                <w:noProof/>
                <w:spacing w:val="-6"/>
                <w:lang w:val="sk-SK"/>
              </w:rPr>
              <w:t>21 – 5.2 Investície</w:t>
            </w:r>
            <w:r w:rsidR="00AB26B3" w:rsidRPr="00AB26B3">
              <w:rPr>
                <w:noProof/>
                <w:spacing w:val="-6"/>
                <w:lang w:val="sk-SK"/>
              </w:rPr>
              <w:t xml:space="preserve"> v </w:t>
            </w:r>
            <w:r w:rsidRPr="00AB26B3">
              <w:rPr>
                <w:noProof/>
                <w:spacing w:val="-6"/>
                <w:lang w:val="sk-SK"/>
              </w:rPr>
              <w:t>rámci plánu REPowerEU – 16994_Energetická efektívnosť</w:t>
            </w:r>
            <w:r w:rsidR="00AB26B3" w:rsidRPr="00AB26B3">
              <w:rPr>
                <w:noProof/>
                <w:spacing w:val="-6"/>
                <w:lang w:val="sk-SK"/>
              </w:rPr>
              <w:t xml:space="preserve"> a </w:t>
            </w:r>
            <w:r w:rsidRPr="00AB26B3">
              <w:rPr>
                <w:noProof/>
                <w:spacing w:val="-6"/>
                <w:lang w:val="sk-SK"/>
              </w:rPr>
              <w:t>podpora obnoviteľných zdrojov energie na vlastnú spotrebu</w:t>
            </w:r>
          </w:p>
        </w:tc>
        <w:tc>
          <w:tcPr>
            <w:tcW w:w="1680" w:type="dxa"/>
            <w:tcBorders>
              <w:top w:val="single" w:sz="4" w:space="0" w:color="auto"/>
              <w:left w:val="nil"/>
              <w:bottom w:val="single" w:sz="4" w:space="0" w:color="auto"/>
              <w:right w:val="single" w:sz="4" w:space="0" w:color="auto"/>
            </w:tcBorders>
            <w:shd w:val="clear" w:color="auto" w:fill="C6EFCE"/>
            <w:noWrap/>
            <w:hideMark/>
          </w:tcPr>
          <w:p w14:paraId="4638B71C" w14:textId="77777777" w:rsidR="00302FC1" w:rsidRPr="00AB26B3" w:rsidRDefault="00D64F26">
            <w:pPr>
              <w:pStyle w:val="P68B1DB1-Normal52"/>
              <w:keepNext/>
              <w:spacing w:before="40" w:after="0" w:line="256" w:lineRule="auto"/>
              <w:jc w:val="both"/>
              <w:rPr>
                <w:rFonts w:eastAsia="Times New Roman" w:cs="Times New Roman"/>
                <w:noProof/>
                <w:spacing w:val="-6"/>
                <w:szCs w:val="18"/>
                <w:lang w:val="sk-SK"/>
              </w:rPr>
            </w:pPr>
            <w:r w:rsidRPr="00AB26B3">
              <w:rPr>
                <w:noProof/>
                <w:spacing w:val="-6"/>
                <w:lang w:val="sk-SK"/>
              </w:rPr>
              <w:t>Cieľ</w:t>
            </w:r>
          </w:p>
        </w:tc>
        <w:tc>
          <w:tcPr>
            <w:tcW w:w="2280" w:type="dxa"/>
            <w:tcBorders>
              <w:top w:val="single" w:sz="4" w:space="0" w:color="auto"/>
              <w:left w:val="nil"/>
              <w:bottom w:val="single" w:sz="4" w:space="0" w:color="auto"/>
              <w:right w:val="single" w:sz="4" w:space="0" w:color="auto"/>
            </w:tcBorders>
            <w:shd w:val="clear" w:color="auto" w:fill="C6EFCE"/>
            <w:noWrap/>
            <w:hideMark/>
          </w:tcPr>
          <w:p w14:paraId="08D578C7" w14:textId="55DE7B2B" w:rsidR="00302FC1" w:rsidRPr="00AB26B3" w:rsidRDefault="00D64F26">
            <w:pPr>
              <w:pStyle w:val="P68B1DB1-Normal34"/>
              <w:keepNext/>
              <w:spacing w:before="40" w:after="0" w:line="256" w:lineRule="auto"/>
              <w:jc w:val="both"/>
              <w:rPr>
                <w:rFonts w:ascii="Times New Roman" w:eastAsia="Times New Roman" w:hAnsi="Times New Roman" w:cs="Times New Roman"/>
                <w:noProof/>
                <w:spacing w:val="-6"/>
                <w:szCs w:val="18"/>
                <w:lang w:val="sk-SK"/>
              </w:rPr>
            </w:pPr>
            <w:r w:rsidRPr="00AB26B3">
              <w:rPr>
                <w:rFonts w:ascii="Times New Roman" w:hAnsi="Times New Roman"/>
                <w:noProof/>
                <w:spacing w:val="-6"/>
                <w:lang w:val="sk-SK"/>
              </w:rPr>
              <w:t>Čiastkové investície do obnovy zameranej na energetickú efektívnosť, solárnych ohrievačov vody, tepelných čerpadiel</w:t>
            </w:r>
            <w:r w:rsidR="00AB26B3" w:rsidRPr="00AB26B3">
              <w:rPr>
                <w:rFonts w:ascii="Times New Roman" w:hAnsi="Times New Roman"/>
                <w:noProof/>
                <w:spacing w:val="-6"/>
                <w:lang w:val="sk-SK"/>
              </w:rPr>
              <w:t xml:space="preserve"> a </w:t>
            </w:r>
            <w:r w:rsidRPr="00AB26B3">
              <w:rPr>
                <w:rFonts w:ascii="Times New Roman" w:hAnsi="Times New Roman"/>
                <w:noProof/>
                <w:spacing w:val="-6"/>
                <w:lang w:val="sk-SK"/>
              </w:rPr>
              <w:t>batériových systémov na uskladňovanie energie pre podniky</w:t>
            </w:r>
          </w:p>
        </w:tc>
      </w:tr>
      <w:tr w:rsidR="00302FC1" w:rsidRPr="00AB26B3" w14:paraId="1D9D538A"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hideMark/>
          </w:tcPr>
          <w:p w14:paraId="5C232E00" w14:textId="77777777" w:rsidR="00302FC1" w:rsidRPr="00AB26B3" w:rsidRDefault="00D64F26">
            <w:pPr>
              <w:pStyle w:val="P68B1DB1-Normal52"/>
              <w:keepNext/>
              <w:spacing w:before="40" w:after="0" w:line="256" w:lineRule="auto"/>
              <w:jc w:val="both"/>
              <w:rPr>
                <w:rFonts w:eastAsia="Times New Roman" w:cs="Times New Roman"/>
                <w:bCs/>
                <w:noProof/>
                <w:spacing w:val="-6"/>
                <w:szCs w:val="18"/>
                <w:lang w:val="sk-SK"/>
              </w:rPr>
            </w:pPr>
            <w:r w:rsidRPr="00AB26B3">
              <w:rPr>
                <w:noProof/>
                <w:spacing w:val="-6"/>
                <w:lang w:val="sk-SK"/>
              </w:rPr>
              <w:t>371</w:t>
            </w:r>
          </w:p>
        </w:tc>
        <w:tc>
          <w:tcPr>
            <w:tcW w:w="5581" w:type="dxa"/>
            <w:gridSpan w:val="2"/>
            <w:tcBorders>
              <w:top w:val="single" w:sz="4" w:space="0" w:color="auto"/>
              <w:left w:val="single" w:sz="4" w:space="0" w:color="auto"/>
              <w:bottom w:val="single" w:sz="4" w:space="0" w:color="auto"/>
              <w:right w:val="single" w:sz="4" w:space="0" w:color="auto"/>
            </w:tcBorders>
            <w:shd w:val="clear" w:color="auto" w:fill="C6EFCE"/>
            <w:noWrap/>
            <w:hideMark/>
          </w:tcPr>
          <w:p w14:paraId="4CA8B022" w14:textId="77777777" w:rsidR="00302FC1" w:rsidRPr="00AB26B3" w:rsidRDefault="00D64F26">
            <w:pPr>
              <w:pStyle w:val="P68B1DB1-Normal34"/>
              <w:keepNext/>
              <w:spacing w:before="40" w:after="0" w:line="256" w:lineRule="auto"/>
              <w:jc w:val="both"/>
              <w:rPr>
                <w:rFonts w:ascii="Times New Roman" w:eastAsia="Times New Roman" w:hAnsi="Times New Roman" w:cs="Times New Roman"/>
                <w:bCs/>
                <w:noProof/>
                <w:spacing w:val="-6"/>
                <w:szCs w:val="18"/>
                <w:lang w:val="sk-SK"/>
              </w:rPr>
            </w:pPr>
            <w:r w:rsidRPr="00AB26B3">
              <w:rPr>
                <w:rFonts w:ascii="Times New Roman" w:hAnsi="Times New Roman"/>
                <w:noProof/>
                <w:spacing w:val="-6"/>
                <w:lang w:val="sk-SK"/>
              </w:rPr>
              <w:t>21 – 5.2 Investície REPowerEU – 16995_</w:t>
            </w:r>
            <w:r w:rsidRPr="00AB26B3">
              <w:rPr>
                <w:rFonts w:ascii="Times New Roman" w:hAnsi="Times New Roman" w:cs="Times New Roman"/>
                <w:noProof/>
                <w:spacing w:val="-6"/>
                <w:szCs w:val="18"/>
                <w:lang w:val="sk-SK"/>
              </w:rPr>
              <w:t xml:space="preserve"> </w:t>
            </w:r>
            <w:r w:rsidRPr="00AB26B3">
              <w:rPr>
                <w:rFonts w:ascii="Times New Roman" w:hAnsi="Times New Roman"/>
                <w:noProof/>
                <w:spacing w:val="-6"/>
                <w:lang w:val="sk-SK"/>
              </w:rPr>
              <w:t>Projekt výroby obnoviteľného vodíka</w:t>
            </w:r>
          </w:p>
        </w:tc>
        <w:tc>
          <w:tcPr>
            <w:tcW w:w="1680" w:type="dxa"/>
            <w:tcBorders>
              <w:top w:val="single" w:sz="4" w:space="0" w:color="auto"/>
              <w:left w:val="nil"/>
              <w:bottom w:val="single" w:sz="4" w:space="0" w:color="auto"/>
              <w:right w:val="single" w:sz="4" w:space="0" w:color="auto"/>
            </w:tcBorders>
            <w:shd w:val="clear" w:color="auto" w:fill="C6EFCE"/>
            <w:noWrap/>
            <w:hideMark/>
          </w:tcPr>
          <w:p w14:paraId="7E79F080" w14:textId="77777777" w:rsidR="00302FC1" w:rsidRPr="00AB26B3" w:rsidRDefault="00D64F26">
            <w:pPr>
              <w:pStyle w:val="P68B1DB1-Normal52"/>
              <w:keepNext/>
              <w:spacing w:before="40" w:after="0" w:line="256" w:lineRule="auto"/>
              <w:jc w:val="both"/>
              <w:rPr>
                <w:rFonts w:eastAsia="Times New Roman" w:cs="Times New Roman"/>
                <w:noProof/>
                <w:spacing w:val="-6"/>
                <w:szCs w:val="18"/>
                <w:lang w:val="sk-SK"/>
              </w:rPr>
            </w:pPr>
            <w:r w:rsidRPr="00AB26B3">
              <w:rPr>
                <w:noProof/>
                <w:spacing w:val="-6"/>
                <w:lang w:val="sk-SK"/>
              </w:rPr>
              <w:t>Míľnik</w:t>
            </w:r>
          </w:p>
        </w:tc>
        <w:tc>
          <w:tcPr>
            <w:tcW w:w="2280" w:type="dxa"/>
            <w:tcBorders>
              <w:top w:val="single" w:sz="4" w:space="0" w:color="auto"/>
              <w:left w:val="nil"/>
              <w:bottom w:val="single" w:sz="4" w:space="0" w:color="auto"/>
              <w:right w:val="single" w:sz="4" w:space="0" w:color="auto"/>
            </w:tcBorders>
            <w:shd w:val="clear" w:color="auto" w:fill="C6EFCE"/>
            <w:noWrap/>
            <w:hideMark/>
          </w:tcPr>
          <w:p w14:paraId="270C4AC6" w14:textId="5488142C" w:rsidR="00302FC1" w:rsidRPr="00AB26B3" w:rsidRDefault="00D64F26">
            <w:pPr>
              <w:pStyle w:val="P68B1DB1-Normal52"/>
              <w:keepNext/>
              <w:spacing w:before="40" w:after="0" w:line="256" w:lineRule="auto"/>
              <w:jc w:val="both"/>
              <w:rPr>
                <w:rFonts w:eastAsia="Times New Roman" w:cs="Times New Roman"/>
                <w:noProof/>
                <w:spacing w:val="-6"/>
                <w:szCs w:val="18"/>
                <w:lang w:val="sk-SK"/>
              </w:rPr>
            </w:pPr>
            <w:r w:rsidRPr="00AB26B3">
              <w:rPr>
                <w:noProof/>
                <w:spacing w:val="-6"/>
                <w:lang w:val="sk-SK"/>
              </w:rPr>
              <w:t>Kapacita výroby vodíka</w:t>
            </w:r>
            <w:r w:rsidR="00AB26B3" w:rsidRPr="00AB26B3">
              <w:rPr>
                <w:noProof/>
                <w:spacing w:val="-6"/>
                <w:lang w:val="sk-SK"/>
              </w:rPr>
              <w:t xml:space="preserve"> z </w:t>
            </w:r>
            <w:r w:rsidRPr="00AB26B3">
              <w:rPr>
                <w:noProof/>
                <w:spacing w:val="-6"/>
                <w:lang w:val="sk-SK"/>
              </w:rPr>
              <w:t>obnoviteľných zdrojov</w:t>
            </w:r>
          </w:p>
        </w:tc>
      </w:tr>
      <w:tr w:rsidR="00302FC1" w:rsidRPr="00AB26B3" w14:paraId="115521A6" w14:textId="77777777">
        <w:trPr>
          <w:trHeight w:val="302"/>
        </w:trPr>
        <w:tc>
          <w:tcPr>
            <w:tcW w:w="5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9AA528" w14:textId="77777777" w:rsidR="00302FC1" w:rsidRPr="00AB26B3" w:rsidRDefault="00302FC1">
            <w:pPr>
              <w:keepNext/>
              <w:spacing w:before="40" w:after="0" w:line="256" w:lineRule="auto"/>
              <w:jc w:val="center"/>
              <w:rPr>
                <w:rFonts w:ascii="Times New Roman" w:eastAsia="Times New Roman" w:hAnsi="Times New Roman" w:cs="Times New Roman"/>
                <w:bCs/>
                <w:noProof/>
                <w:spacing w:val="-6"/>
                <w:sz w:val="18"/>
                <w:szCs w:val="18"/>
                <w:lang w:val="sk-SK"/>
              </w:rPr>
            </w:pPr>
          </w:p>
        </w:tc>
        <w:tc>
          <w:tcPr>
            <w:tcW w:w="5581" w:type="dxa"/>
            <w:gridSpan w:val="2"/>
            <w:tcBorders>
              <w:top w:val="single" w:sz="4" w:space="0" w:color="auto"/>
              <w:left w:val="single" w:sz="4" w:space="0" w:color="auto"/>
              <w:bottom w:val="single" w:sz="4" w:space="0" w:color="auto"/>
              <w:right w:val="single" w:sz="4" w:space="0" w:color="auto"/>
            </w:tcBorders>
            <w:shd w:val="clear" w:color="auto" w:fill="C6EFCE"/>
            <w:noWrap/>
            <w:vAlign w:val="bottom"/>
          </w:tcPr>
          <w:p w14:paraId="42BEC912" w14:textId="77777777" w:rsidR="00302FC1" w:rsidRPr="00AB26B3" w:rsidRDefault="00302FC1">
            <w:pPr>
              <w:keepNext/>
              <w:spacing w:before="40" w:after="0" w:line="256" w:lineRule="auto"/>
              <w:jc w:val="both"/>
              <w:rPr>
                <w:rFonts w:ascii="Times New Roman" w:eastAsia="Times New Roman" w:hAnsi="Times New Roman" w:cs="Times New Roman"/>
                <w:bCs/>
                <w:noProof/>
                <w:spacing w:val="-6"/>
                <w:sz w:val="18"/>
                <w:szCs w:val="18"/>
                <w:lang w:val="sk-SK"/>
              </w:rPr>
            </w:pPr>
          </w:p>
        </w:tc>
        <w:tc>
          <w:tcPr>
            <w:tcW w:w="1680" w:type="dxa"/>
            <w:tcBorders>
              <w:top w:val="single" w:sz="4" w:space="0" w:color="auto"/>
              <w:left w:val="nil"/>
              <w:bottom w:val="single" w:sz="4" w:space="0" w:color="auto"/>
              <w:right w:val="single" w:sz="4" w:space="0" w:color="auto"/>
            </w:tcBorders>
            <w:shd w:val="clear" w:color="auto" w:fill="C6EFCE"/>
            <w:noWrap/>
            <w:vAlign w:val="bottom"/>
            <w:hideMark/>
          </w:tcPr>
          <w:p w14:paraId="2C3493B4" w14:textId="77777777" w:rsidR="00302FC1" w:rsidRPr="00AB26B3" w:rsidRDefault="00D64F26">
            <w:pPr>
              <w:pStyle w:val="P68B1DB1-Normal52"/>
              <w:keepNext/>
              <w:spacing w:before="40" w:after="0" w:line="256" w:lineRule="auto"/>
              <w:jc w:val="both"/>
              <w:rPr>
                <w:rFonts w:eastAsia="Times New Roman" w:cs="Times New Roman"/>
                <w:noProof/>
                <w:spacing w:val="-6"/>
                <w:szCs w:val="18"/>
                <w:lang w:val="sk-SK"/>
              </w:rPr>
            </w:pPr>
            <w:r w:rsidRPr="00AB26B3">
              <w:rPr>
                <w:noProof/>
                <w:spacing w:val="-6"/>
                <w:lang w:val="sk-SK"/>
              </w:rPr>
              <w:t>Suma splátky</w:t>
            </w:r>
          </w:p>
        </w:tc>
        <w:tc>
          <w:tcPr>
            <w:tcW w:w="2280" w:type="dxa"/>
            <w:tcBorders>
              <w:top w:val="single" w:sz="4" w:space="0" w:color="auto"/>
              <w:left w:val="nil"/>
              <w:bottom w:val="single" w:sz="4" w:space="0" w:color="auto"/>
              <w:right w:val="single" w:sz="4" w:space="0" w:color="auto"/>
            </w:tcBorders>
            <w:shd w:val="clear" w:color="auto" w:fill="C6EFCE"/>
            <w:noWrap/>
            <w:vAlign w:val="center"/>
            <w:hideMark/>
          </w:tcPr>
          <w:p w14:paraId="781323E6" w14:textId="0E8DC167" w:rsidR="00302FC1" w:rsidRPr="00AB26B3" w:rsidRDefault="00D64F26">
            <w:pPr>
              <w:pStyle w:val="P68B1DB1-Normal52"/>
              <w:keepNext/>
              <w:spacing w:before="40" w:after="0" w:line="256" w:lineRule="auto"/>
              <w:rPr>
                <w:rFonts w:eastAsia="Times New Roman" w:cs="Times New Roman"/>
                <w:noProof/>
                <w:spacing w:val="-6"/>
                <w:szCs w:val="18"/>
                <w:lang w:val="sk-SK"/>
              </w:rPr>
            </w:pPr>
            <w:r w:rsidRPr="00AB26B3">
              <w:rPr>
                <w:noProof/>
                <w:spacing w:val="-6"/>
                <w:lang w:val="sk-SK"/>
              </w:rPr>
              <w:t>4 425 660 305 EUR</w:t>
            </w:r>
          </w:p>
        </w:tc>
      </w:tr>
    </w:tbl>
    <w:p w14:paraId="09F890C9" w14:textId="77777777" w:rsidR="00302FC1" w:rsidRPr="00AB26B3" w:rsidRDefault="00302FC1">
      <w:pPr>
        <w:keepNext/>
        <w:spacing w:before="40" w:after="160" w:line="259" w:lineRule="auto"/>
        <w:contextualSpacing/>
        <w:jc w:val="both"/>
        <w:rPr>
          <w:rFonts w:ascii="Times New Roman" w:hAnsi="Times New Roman"/>
          <w:noProof/>
          <w:spacing w:val="-6"/>
          <w:sz w:val="24"/>
          <w:lang w:val="sk-SK"/>
        </w:rPr>
      </w:pPr>
    </w:p>
    <w:p w14:paraId="1FD71A55" w14:textId="77777777" w:rsidR="00302FC1" w:rsidRPr="00AB26B3" w:rsidRDefault="00302FC1">
      <w:pPr>
        <w:keepNext/>
        <w:spacing w:before="40" w:after="160" w:line="259" w:lineRule="auto"/>
        <w:contextualSpacing/>
        <w:jc w:val="both"/>
        <w:rPr>
          <w:rFonts w:ascii="Times New Roman" w:hAnsi="Times New Roman"/>
          <w:noProof/>
          <w:spacing w:val="-6"/>
          <w:sz w:val="24"/>
          <w:lang w:val="sk-SK"/>
        </w:rPr>
      </w:pPr>
    </w:p>
    <w:p w14:paraId="1A19E1E8"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p w14:paraId="6DFC4F81" w14:textId="77777777" w:rsidR="00302FC1" w:rsidRPr="00AB26B3" w:rsidRDefault="00D64F26">
      <w:pPr>
        <w:pStyle w:val="P68B1DB1-Normal54"/>
        <w:rPr>
          <w:noProof/>
          <w:spacing w:val="-6"/>
          <w:lang w:val="sk-SK"/>
        </w:rPr>
      </w:pPr>
      <w:r w:rsidRPr="00AB26B3">
        <w:rPr>
          <w:noProof/>
          <w:spacing w:val="-6"/>
          <w:lang w:val="sk-SK"/>
        </w:rPr>
        <w:br w:type="page"/>
      </w:r>
    </w:p>
    <w:p w14:paraId="0382F9FC" w14:textId="77777777"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18"/>
          <w:szCs w:val="18"/>
          <w:lang w:val="sk-SK"/>
        </w:rPr>
      </w:pPr>
    </w:p>
    <w:p w14:paraId="0FA301A4" w14:textId="77777777" w:rsidR="00AB26B3" w:rsidRPr="00AB26B3" w:rsidRDefault="00D64F26">
      <w:pPr>
        <w:pStyle w:val="P68B1DB1-Normal6"/>
        <w:keepNext/>
        <w:numPr>
          <w:ilvl w:val="0"/>
          <w:numId w:val="85"/>
        </w:numPr>
        <w:spacing w:before="40" w:after="0" w:line="259" w:lineRule="auto"/>
        <w:ind w:left="0"/>
        <w:jc w:val="both"/>
        <w:outlineLvl w:val="1"/>
        <w:rPr>
          <w:noProof/>
          <w:spacing w:val="-6"/>
          <w:lang w:val="sk-SK"/>
        </w:rPr>
      </w:pPr>
      <w:r w:rsidRPr="00AB26B3">
        <w:rPr>
          <w:noProof/>
          <w:spacing w:val="-6"/>
          <w:lang w:val="sk-SK"/>
        </w:rPr>
        <w:t>Pôžička</w:t>
      </w:r>
    </w:p>
    <w:p w14:paraId="32A68BA6" w14:textId="51FDC608" w:rsidR="00302FC1" w:rsidRPr="00AB26B3" w:rsidRDefault="00D64F26">
      <w:pPr>
        <w:pStyle w:val="P68B1DB1-Normal5"/>
        <w:keepNext/>
        <w:spacing w:before="40" w:after="0" w:line="259" w:lineRule="auto"/>
        <w:jc w:val="both"/>
        <w:outlineLvl w:val="1"/>
        <w:rPr>
          <w:b/>
          <w:noProof/>
          <w:spacing w:val="-6"/>
          <w:u w:val="single"/>
          <w:lang w:val="sk-SK"/>
        </w:rPr>
      </w:pPr>
      <w:r w:rsidRPr="00AB26B3">
        <w:rPr>
          <w:noProof/>
          <w:spacing w:val="-6"/>
          <w:lang w:val="sk-SK"/>
        </w:rPr>
        <w:t>Splátky uvedené</w:t>
      </w:r>
      <w:r w:rsidR="00AB26B3" w:rsidRPr="00AB26B3">
        <w:rPr>
          <w:noProof/>
          <w:spacing w:val="-6"/>
          <w:lang w:val="sk-SK"/>
        </w:rPr>
        <w:t xml:space="preserve"> v </w:t>
      </w:r>
      <w:r w:rsidRPr="00AB26B3">
        <w:rPr>
          <w:noProof/>
          <w:spacing w:val="-6"/>
          <w:lang w:val="sk-SK"/>
        </w:rPr>
        <w:t>článku 3 ods. 2 sú štruktúrované takto:</w:t>
      </w:r>
    </w:p>
    <w:p w14:paraId="3A482FB4" w14:textId="77777777" w:rsidR="00302FC1" w:rsidRPr="00AB26B3" w:rsidRDefault="00302FC1">
      <w:pPr>
        <w:keepNext/>
        <w:spacing w:before="120" w:after="160" w:line="259" w:lineRule="auto"/>
        <w:contextualSpacing/>
        <w:jc w:val="both"/>
        <w:rPr>
          <w:rFonts w:ascii="Times New Roman" w:eastAsia="Times New Roman" w:hAnsi="Times New Roman" w:cs="Times New Roman"/>
          <w:bCs/>
          <w:noProof/>
          <w:spacing w:val="-6"/>
          <w:sz w:val="24"/>
          <w:szCs w:val="24"/>
          <w:lang w:val="sk-SK"/>
        </w:rPr>
      </w:pPr>
    </w:p>
    <w:p w14:paraId="7E5AE268" w14:textId="418CCE11" w:rsidR="00302FC1" w:rsidRPr="00AB26B3" w:rsidRDefault="00D64F26">
      <w:pPr>
        <w:pStyle w:val="P68B1DB1-Normal5"/>
        <w:keepNext/>
        <w:numPr>
          <w:ilvl w:val="1"/>
          <w:numId w:val="85"/>
        </w:numPr>
        <w:spacing w:before="40" w:after="160" w:line="259" w:lineRule="auto"/>
        <w:ind w:left="0"/>
        <w:contextualSpacing/>
        <w:jc w:val="both"/>
        <w:rPr>
          <w:rFonts w:eastAsia="Times New Roman" w:cs="Times New Roman"/>
          <w:noProof/>
          <w:spacing w:val="-6"/>
          <w:lang w:val="sk-SK"/>
        </w:rPr>
      </w:pPr>
      <w:r w:rsidRPr="00AB26B3">
        <w:rPr>
          <w:noProof/>
          <w:spacing w:val="-6"/>
          <w:lang w:val="sk-SK"/>
        </w:rPr>
        <w:t xml:space="preserve"> Prvá žiadosť</w:t>
      </w:r>
      <w:r w:rsidR="00AB26B3" w:rsidRPr="00AB26B3">
        <w:rPr>
          <w:noProof/>
          <w:spacing w:val="-6"/>
          <w:lang w:val="sk-SK"/>
        </w:rPr>
        <w:t xml:space="preserve"> o </w:t>
      </w:r>
      <w:r w:rsidRPr="00AB26B3">
        <w:rPr>
          <w:noProof/>
          <w:spacing w:val="-6"/>
          <w:lang w:val="sk-SK"/>
        </w:rPr>
        <w:t xml:space="preserve">platbu (úverová podpora): </w:t>
      </w:r>
    </w:p>
    <w:tbl>
      <w:tblPr>
        <w:tblW w:w="9535" w:type="dxa"/>
        <w:tblInd w:w="113" w:type="dxa"/>
        <w:tblLook w:val="04A0" w:firstRow="1" w:lastRow="0" w:firstColumn="1" w:lastColumn="0" w:noHBand="0" w:noVBand="1"/>
      </w:tblPr>
      <w:tblGrid>
        <w:gridCol w:w="1195"/>
        <w:gridCol w:w="4892"/>
        <w:gridCol w:w="1692"/>
        <w:gridCol w:w="1756"/>
      </w:tblGrid>
      <w:tr w:rsidR="00302FC1" w:rsidRPr="00AB26B3" w14:paraId="14E3D37E" w14:textId="77777777">
        <w:trPr>
          <w:trHeight w:val="906"/>
        </w:trPr>
        <w:tc>
          <w:tcPr>
            <w:tcW w:w="119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FAC9DB3" w14:textId="7F1989BE"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A nasl. Nie.</w:t>
            </w:r>
          </w:p>
        </w:tc>
        <w:tc>
          <w:tcPr>
            <w:tcW w:w="48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C2AC7DA"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041B85C"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14:paraId="644A63CE"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702209BD" w14:textId="77777777">
        <w:trPr>
          <w:trHeight w:val="269"/>
        </w:trPr>
        <w:tc>
          <w:tcPr>
            <w:tcW w:w="1195" w:type="dxa"/>
            <w:vMerge/>
            <w:tcBorders>
              <w:top w:val="single" w:sz="4" w:space="0" w:color="auto"/>
              <w:left w:val="single" w:sz="4" w:space="0" w:color="auto"/>
              <w:bottom w:val="single" w:sz="4" w:space="0" w:color="000000"/>
              <w:right w:val="single" w:sz="4" w:space="0" w:color="auto"/>
            </w:tcBorders>
            <w:vAlign w:val="center"/>
            <w:hideMark/>
          </w:tcPr>
          <w:p w14:paraId="033553B5"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tc>
        <w:tc>
          <w:tcPr>
            <w:tcW w:w="4892" w:type="dxa"/>
            <w:vMerge/>
            <w:tcBorders>
              <w:top w:val="single" w:sz="4" w:space="0" w:color="auto"/>
              <w:left w:val="single" w:sz="4" w:space="0" w:color="auto"/>
              <w:bottom w:val="single" w:sz="4" w:space="0" w:color="000000"/>
              <w:right w:val="single" w:sz="4" w:space="0" w:color="auto"/>
            </w:tcBorders>
            <w:vAlign w:val="center"/>
            <w:hideMark/>
          </w:tcPr>
          <w:p w14:paraId="2FD8EC72"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2FF392E8"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tc>
        <w:tc>
          <w:tcPr>
            <w:tcW w:w="1756" w:type="dxa"/>
            <w:vMerge/>
            <w:tcBorders>
              <w:top w:val="single" w:sz="4" w:space="0" w:color="auto"/>
              <w:left w:val="nil"/>
              <w:bottom w:val="single" w:sz="4" w:space="0" w:color="000000"/>
              <w:right w:val="single" w:sz="4" w:space="0" w:color="auto"/>
            </w:tcBorders>
            <w:vAlign w:val="center"/>
            <w:hideMark/>
          </w:tcPr>
          <w:p w14:paraId="2E578F52"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tc>
      </w:tr>
      <w:tr w:rsidR="00302FC1" w:rsidRPr="00AB26B3" w14:paraId="59E0904B" w14:textId="77777777">
        <w:trPr>
          <w:trHeight w:val="302"/>
        </w:trPr>
        <w:tc>
          <w:tcPr>
            <w:tcW w:w="119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DC866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320</w:t>
            </w:r>
          </w:p>
        </w:tc>
        <w:tc>
          <w:tcPr>
            <w:tcW w:w="4892" w:type="dxa"/>
            <w:tcBorders>
              <w:top w:val="single" w:sz="4" w:space="0" w:color="auto"/>
              <w:left w:val="nil"/>
              <w:bottom w:val="single" w:sz="4" w:space="0" w:color="auto"/>
              <w:right w:val="single" w:sz="4" w:space="0" w:color="auto"/>
            </w:tcBorders>
            <w:shd w:val="clear" w:color="000000" w:fill="C6EFCE"/>
            <w:noWrap/>
            <w:vAlign w:val="center"/>
            <w:hideMark/>
          </w:tcPr>
          <w:p w14:paraId="7B1D093D" w14:textId="18DABE2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23F8519D"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14:paraId="085FAF9B" w14:textId="79F7B09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Operačné dohody</w:t>
            </w:r>
            <w:r w:rsidR="00AB26B3" w:rsidRPr="00AB26B3">
              <w:rPr>
                <w:noProof/>
                <w:spacing w:val="-6"/>
                <w:lang w:val="sk-SK"/>
              </w:rPr>
              <w:t xml:space="preserve"> s </w:t>
            </w:r>
            <w:r w:rsidRPr="00AB26B3">
              <w:rPr>
                <w:noProof/>
                <w:spacing w:val="-6"/>
                <w:lang w:val="sk-SK"/>
              </w:rPr>
              <w:t>medzinárodnými finančnými inštitúciami</w:t>
            </w:r>
          </w:p>
        </w:tc>
      </w:tr>
      <w:tr w:rsidR="00302FC1" w:rsidRPr="00AB26B3" w14:paraId="0D14E4B9" w14:textId="77777777">
        <w:trPr>
          <w:trHeight w:val="302"/>
        </w:trPr>
        <w:tc>
          <w:tcPr>
            <w:tcW w:w="1195" w:type="dxa"/>
            <w:tcBorders>
              <w:top w:val="nil"/>
              <w:left w:val="single" w:sz="4" w:space="0" w:color="auto"/>
              <w:bottom w:val="single" w:sz="4" w:space="0" w:color="auto"/>
              <w:right w:val="single" w:sz="4" w:space="0" w:color="auto"/>
            </w:tcBorders>
            <w:shd w:val="clear" w:color="000000" w:fill="C6EFCE"/>
            <w:noWrap/>
            <w:vAlign w:val="center"/>
            <w:hideMark/>
          </w:tcPr>
          <w:p w14:paraId="170C75E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321</w:t>
            </w:r>
          </w:p>
        </w:tc>
        <w:tc>
          <w:tcPr>
            <w:tcW w:w="4892" w:type="dxa"/>
            <w:tcBorders>
              <w:top w:val="nil"/>
              <w:left w:val="nil"/>
              <w:bottom w:val="single" w:sz="4" w:space="0" w:color="auto"/>
              <w:right w:val="single" w:sz="4" w:space="0" w:color="auto"/>
            </w:tcBorders>
            <w:shd w:val="clear" w:color="000000" w:fill="C6EFCE"/>
            <w:noWrap/>
            <w:vAlign w:val="center"/>
            <w:hideMark/>
          </w:tcPr>
          <w:p w14:paraId="5414AF0E" w14:textId="7D78258D"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nil"/>
              <w:left w:val="nil"/>
              <w:bottom w:val="single" w:sz="4" w:space="0" w:color="auto"/>
              <w:right w:val="single" w:sz="4" w:space="0" w:color="auto"/>
            </w:tcBorders>
            <w:shd w:val="clear" w:color="000000" w:fill="C6EFCE"/>
            <w:noWrap/>
            <w:vAlign w:val="center"/>
            <w:hideMark/>
          </w:tcPr>
          <w:p w14:paraId="388CA18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56" w:type="dxa"/>
            <w:tcBorders>
              <w:top w:val="nil"/>
              <w:left w:val="nil"/>
              <w:bottom w:val="single" w:sz="4" w:space="0" w:color="auto"/>
              <w:right w:val="single" w:sz="4" w:space="0" w:color="auto"/>
            </w:tcBorders>
            <w:shd w:val="clear" w:color="000000" w:fill="C6EFCE"/>
            <w:noWrap/>
            <w:vAlign w:val="center"/>
            <w:hideMark/>
          </w:tcPr>
          <w:p w14:paraId="061C772E"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Vyhlásenie výzvy komerčných bánk</w:t>
            </w:r>
          </w:p>
        </w:tc>
      </w:tr>
      <w:tr w:rsidR="00302FC1" w:rsidRPr="00AB26B3" w14:paraId="1B1A4A71" w14:textId="77777777">
        <w:trPr>
          <w:trHeight w:val="302"/>
        </w:trPr>
        <w:tc>
          <w:tcPr>
            <w:tcW w:w="1195"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5974BD8"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4892" w:type="dxa"/>
            <w:tcBorders>
              <w:top w:val="single" w:sz="4" w:space="0" w:color="auto"/>
              <w:left w:val="nil"/>
              <w:bottom w:val="single" w:sz="4" w:space="0" w:color="auto"/>
              <w:right w:val="single" w:sz="4" w:space="0" w:color="auto"/>
            </w:tcBorders>
            <w:shd w:val="clear" w:color="auto" w:fill="C6EFCE"/>
            <w:noWrap/>
            <w:vAlign w:val="bottom"/>
          </w:tcPr>
          <w:p w14:paraId="484597FA"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30E42B10"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Suma splátky</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14:paraId="3C54C51A"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2 121 256 487 EUR</w:t>
            </w:r>
          </w:p>
        </w:tc>
      </w:tr>
    </w:tbl>
    <w:p w14:paraId="5AA69C47" w14:textId="77777777" w:rsidR="00302FC1" w:rsidRPr="00AB26B3" w:rsidRDefault="00302FC1">
      <w:pPr>
        <w:keepNext/>
        <w:spacing w:before="120" w:after="160" w:line="259" w:lineRule="auto"/>
        <w:ind w:hanging="360"/>
        <w:contextualSpacing/>
        <w:jc w:val="both"/>
        <w:rPr>
          <w:rFonts w:ascii="Times New Roman" w:eastAsia="Times New Roman" w:hAnsi="Times New Roman" w:cs="Times New Roman"/>
          <w:bCs/>
          <w:noProof/>
          <w:spacing w:val="-6"/>
          <w:sz w:val="24"/>
          <w:szCs w:val="24"/>
          <w:lang w:val="sk-SK"/>
        </w:rPr>
      </w:pPr>
    </w:p>
    <w:p w14:paraId="44C637B8" w14:textId="56E8D190" w:rsidR="00302FC1" w:rsidRPr="00AB26B3" w:rsidRDefault="00D64F26">
      <w:pPr>
        <w:pStyle w:val="P68B1DB1-Normal5"/>
        <w:keepNext/>
        <w:numPr>
          <w:ilvl w:val="1"/>
          <w:numId w:val="85"/>
        </w:numPr>
        <w:spacing w:before="40" w:after="160" w:line="259" w:lineRule="auto"/>
        <w:ind w:left="0"/>
        <w:contextualSpacing/>
        <w:jc w:val="both"/>
        <w:rPr>
          <w:rFonts w:eastAsia="Times New Roman" w:cs="Times New Roman"/>
          <w:noProof/>
          <w:spacing w:val="-6"/>
          <w:lang w:val="sk-SK"/>
        </w:rPr>
      </w:pPr>
      <w:r w:rsidRPr="00AB26B3">
        <w:rPr>
          <w:noProof/>
          <w:spacing w:val="-6"/>
          <w:lang w:val="sk-SK"/>
        </w:rPr>
        <w:t xml:space="preserve"> Druhá žiadosť</w:t>
      </w:r>
      <w:r w:rsidR="00AB26B3" w:rsidRPr="00AB26B3">
        <w:rPr>
          <w:noProof/>
          <w:spacing w:val="-6"/>
          <w:lang w:val="sk-SK"/>
        </w:rPr>
        <w:t xml:space="preserve"> o </w:t>
      </w:r>
      <w:r w:rsidRPr="00AB26B3">
        <w:rPr>
          <w:noProof/>
          <w:spacing w:val="-6"/>
          <w:lang w:val="sk-SK"/>
        </w:rPr>
        <w:t xml:space="preserve">platbu (úverová podpora): </w:t>
      </w:r>
    </w:p>
    <w:tbl>
      <w:tblPr>
        <w:tblW w:w="9535" w:type="dxa"/>
        <w:tblInd w:w="113" w:type="dxa"/>
        <w:tblLook w:val="04A0" w:firstRow="1" w:lastRow="0" w:firstColumn="1" w:lastColumn="0" w:noHBand="0" w:noVBand="1"/>
      </w:tblPr>
      <w:tblGrid>
        <w:gridCol w:w="1195"/>
        <w:gridCol w:w="4892"/>
        <w:gridCol w:w="1692"/>
        <w:gridCol w:w="1756"/>
      </w:tblGrid>
      <w:tr w:rsidR="00302FC1" w:rsidRPr="00AB26B3" w14:paraId="2C0B12B1" w14:textId="77777777">
        <w:trPr>
          <w:trHeight w:val="906"/>
        </w:trPr>
        <w:tc>
          <w:tcPr>
            <w:tcW w:w="119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3546537" w14:textId="3B18A444"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A nasl. Nie.</w:t>
            </w:r>
          </w:p>
        </w:tc>
        <w:tc>
          <w:tcPr>
            <w:tcW w:w="48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57BB9A83"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532381E3"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14:paraId="143ABA55" w14:textId="77777777"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153CB099" w14:textId="77777777">
        <w:trPr>
          <w:trHeight w:val="269"/>
        </w:trPr>
        <w:tc>
          <w:tcPr>
            <w:tcW w:w="1195" w:type="dxa"/>
            <w:vMerge/>
            <w:tcBorders>
              <w:top w:val="single" w:sz="4" w:space="0" w:color="auto"/>
              <w:left w:val="single" w:sz="4" w:space="0" w:color="auto"/>
              <w:bottom w:val="single" w:sz="4" w:space="0" w:color="000000"/>
              <w:right w:val="single" w:sz="4" w:space="0" w:color="auto"/>
            </w:tcBorders>
            <w:vAlign w:val="center"/>
            <w:hideMark/>
          </w:tcPr>
          <w:p w14:paraId="3FD8D28A"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4892" w:type="dxa"/>
            <w:vMerge/>
            <w:tcBorders>
              <w:top w:val="single" w:sz="4" w:space="0" w:color="auto"/>
              <w:left w:val="single" w:sz="4" w:space="0" w:color="auto"/>
              <w:bottom w:val="single" w:sz="4" w:space="0" w:color="000000"/>
              <w:right w:val="single" w:sz="4" w:space="0" w:color="auto"/>
            </w:tcBorders>
            <w:vAlign w:val="center"/>
            <w:hideMark/>
          </w:tcPr>
          <w:p w14:paraId="7C11C17C"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5038AB94"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756" w:type="dxa"/>
            <w:vMerge/>
            <w:tcBorders>
              <w:top w:val="single" w:sz="4" w:space="0" w:color="auto"/>
              <w:left w:val="nil"/>
              <w:bottom w:val="single" w:sz="4" w:space="0" w:color="000000"/>
              <w:right w:val="single" w:sz="4" w:space="0" w:color="auto"/>
            </w:tcBorders>
            <w:vAlign w:val="center"/>
            <w:hideMark/>
          </w:tcPr>
          <w:p w14:paraId="291B3E95"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2B4EEECF" w14:textId="77777777">
        <w:trPr>
          <w:trHeight w:val="302"/>
        </w:trPr>
        <w:tc>
          <w:tcPr>
            <w:tcW w:w="119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44FA896"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322</w:t>
            </w:r>
          </w:p>
        </w:tc>
        <w:tc>
          <w:tcPr>
            <w:tcW w:w="4892" w:type="dxa"/>
            <w:tcBorders>
              <w:top w:val="single" w:sz="4" w:space="0" w:color="auto"/>
              <w:left w:val="nil"/>
              <w:bottom w:val="single" w:sz="4" w:space="0" w:color="auto"/>
              <w:right w:val="single" w:sz="4" w:space="0" w:color="auto"/>
            </w:tcBorders>
            <w:shd w:val="clear" w:color="000000" w:fill="C6EFCE"/>
            <w:noWrap/>
            <w:vAlign w:val="center"/>
            <w:hideMark/>
          </w:tcPr>
          <w:p w14:paraId="0F035584" w14:textId="49D93EA2"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0DF4665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14:paraId="7406288F" w14:textId="23210066"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Dohoda</w:t>
            </w:r>
            <w:r w:rsidR="00AB26B3" w:rsidRPr="00AB26B3">
              <w:rPr>
                <w:noProof/>
                <w:spacing w:val="-6"/>
                <w:lang w:val="sk-SK"/>
              </w:rPr>
              <w:t xml:space="preserve"> o </w:t>
            </w:r>
            <w:r w:rsidRPr="00AB26B3">
              <w:rPr>
                <w:noProof/>
                <w:spacing w:val="-6"/>
                <w:lang w:val="sk-SK"/>
              </w:rPr>
              <w:t>platforme vlastného imania</w:t>
            </w:r>
          </w:p>
        </w:tc>
      </w:tr>
      <w:tr w:rsidR="00302FC1" w:rsidRPr="00AB26B3" w14:paraId="7737B5A5" w14:textId="77777777">
        <w:trPr>
          <w:trHeight w:val="302"/>
        </w:trPr>
        <w:tc>
          <w:tcPr>
            <w:tcW w:w="1195" w:type="dxa"/>
            <w:tcBorders>
              <w:top w:val="nil"/>
              <w:left w:val="single" w:sz="4" w:space="0" w:color="auto"/>
              <w:bottom w:val="single" w:sz="4" w:space="0" w:color="auto"/>
              <w:right w:val="single" w:sz="4" w:space="0" w:color="auto"/>
            </w:tcBorders>
            <w:shd w:val="clear" w:color="000000" w:fill="C6EFCE"/>
            <w:noWrap/>
            <w:vAlign w:val="center"/>
          </w:tcPr>
          <w:p w14:paraId="0E2C5498"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323</w:t>
            </w:r>
          </w:p>
        </w:tc>
        <w:tc>
          <w:tcPr>
            <w:tcW w:w="4892" w:type="dxa"/>
            <w:tcBorders>
              <w:top w:val="nil"/>
              <w:left w:val="nil"/>
              <w:bottom w:val="single" w:sz="4" w:space="0" w:color="auto"/>
              <w:right w:val="single" w:sz="4" w:space="0" w:color="auto"/>
            </w:tcBorders>
            <w:shd w:val="clear" w:color="000000" w:fill="C6EFCE"/>
            <w:noWrap/>
            <w:vAlign w:val="center"/>
          </w:tcPr>
          <w:p w14:paraId="55B5F314" w14:textId="3E6E5FC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nil"/>
              <w:left w:val="nil"/>
              <w:bottom w:val="single" w:sz="4" w:space="0" w:color="auto"/>
              <w:right w:val="single" w:sz="4" w:space="0" w:color="auto"/>
            </w:tcBorders>
            <w:shd w:val="clear" w:color="000000" w:fill="C6EFCE"/>
            <w:noWrap/>
            <w:vAlign w:val="center"/>
          </w:tcPr>
          <w:p w14:paraId="403B3862"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56" w:type="dxa"/>
            <w:tcBorders>
              <w:top w:val="nil"/>
              <w:left w:val="nil"/>
              <w:bottom w:val="single" w:sz="4" w:space="0" w:color="auto"/>
              <w:right w:val="single" w:sz="4" w:space="0" w:color="auto"/>
            </w:tcBorders>
            <w:shd w:val="clear" w:color="000000" w:fill="C6EFCE"/>
            <w:noWrap/>
            <w:vAlign w:val="center"/>
          </w:tcPr>
          <w:p w14:paraId="3AEED394" w14:textId="165BE8C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Dohoda</w:t>
            </w:r>
            <w:r w:rsidR="00AB26B3" w:rsidRPr="00AB26B3">
              <w:rPr>
                <w:noProof/>
                <w:spacing w:val="-6"/>
                <w:lang w:val="sk-SK"/>
              </w:rPr>
              <w:t xml:space="preserve"> o </w:t>
            </w:r>
            <w:r w:rsidRPr="00AB26B3">
              <w:rPr>
                <w:noProof/>
                <w:spacing w:val="-6"/>
                <w:lang w:val="sk-SK"/>
              </w:rPr>
              <w:t>príspevku</w:t>
            </w:r>
            <w:r w:rsidR="00AB26B3" w:rsidRPr="00AB26B3">
              <w:rPr>
                <w:noProof/>
                <w:spacing w:val="-6"/>
                <w:lang w:val="sk-SK"/>
              </w:rPr>
              <w:t xml:space="preserve"> z </w:t>
            </w:r>
            <w:r w:rsidRPr="00AB26B3">
              <w:rPr>
                <w:noProof/>
                <w:spacing w:val="-6"/>
                <w:lang w:val="sk-SK"/>
              </w:rPr>
              <w:t>Programu InvestEU</w:t>
            </w:r>
          </w:p>
        </w:tc>
      </w:tr>
      <w:tr w:rsidR="00302FC1" w:rsidRPr="00AB26B3" w14:paraId="3E08FFB5" w14:textId="77777777">
        <w:trPr>
          <w:trHeight w:val="302"/>
        </w:trPr>
        <w:tc>
          <w:tcPr>
            <w:tcW w:w="1195" w:type="dxa"/>
            <w:tcBorders>
              <w:top w:val="nil"/>
              <w:left w:val="single" w:sz="4" w:space="0" w:color="auto"/>
              <w:bottom w:val="single" w:sz="4" w:space="0" w:color="auto"/>
              <w:right w:val="single" w:sz="4" w:space="0" w:color="auto"/>
            </w:tcBorders>
            <w:shd w:val="clear" w:color="000000" w:fill="C6EFCE"/>
            <w:noWrap/>
            <w:vAlign w:val="center"/>
          </w:tcPr>
          <w:p w14:paraId="2F4075D3"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324</w:t>
            </w:r>
          </w:p>
        </w:tc>
        <w:tc>
          <w:tcPr>
            <w:tcW w:w="4892" w:type="dxa"/>
            <w:tcBorders>
              <w:top w:val="nil"/>
              <w:left w:val="nil"/>
              <w:bottom w:val="single" w:sz="4" w:space="0" w:color="auto"/>
              <w:right w:val="single" w:sz="4" w:space="0" w:color="auto"/>
            </w:tcBorders>
            <w:shd w:val="clear" w:color="000000" w:fill="C6EFCE"/>
            <w:noWrap/>
            <w:vAlign w:val="center"/>
          </w:tcPr>
          <w:p w14:paraId="56F4F54B" w14:textId="78D68F1E"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nil"/>
              <w:left w:val="nil"/>
              <w:bottom w:val="single" w:sz="4" w:space="0" w:color="auto"/>
              <w:right w:val="single" w:sz="4" w:space="0" w:color="auto"/>
            </w:tcBorders>
            <w:shd w:val="clear" w:color="000000" w:fill="C6EFCE"/>
            <w:noWrap/>
            <w:vAlign w:val="center"/>
          </w:tcPr>
          <w:p w14:paraId="0E732FB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1756" w:type="dxa"/>
            <w:tcBorders>
              <w:top w:val="nil"/>
              <w:left w:val="nil"/>
              <w:bottom w:val="single" w:sz="4" w:space="0" w:color="auto"/>
              <w:right w:val="single" w:sz="4" w:space="0" w:color="auto"/>
            </w:tcBorders>
            <w:shd w:val="clear" w:color="000000" w:fill="C6EFCE"/>
            <w:noWrap/>
            <w:vAlign w:val="center"/>
          </w:tcPr>
          <w:p w14:paraId="73F94CEC" w14:textId="60354E1A"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586,4 milióna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r>
      <w:tr w:rsidR="00302FC1" w:rsidRPr="00AB26B3" w14:paraId="57A6973B" w14:textId="77777777">
        <w:trPr>
          <w:trHeight w:val="302"/>
        </w:trPr>
        <w:tc>
          <w:tcPr>
            <w:tcW w:w="1195"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A4693E6"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4892" w:type="dxa"/>
            <w:tcBorders>
              <w:top w:val="single" w:sz="4" w:space="0" w:color="auto"/>
              <w:left w:val="nil"/>
              <w:bottom w:val="single" w:sz="4" w:space="0" w:color="auto"/>
              <w:right w:val="single" w:sz="4" w:space="0" w:color="auto"/>
            </w:tcBorders>
            <w:shd w:val="clear" w:color="auto" w:fill="C6EFCE"/>
            <w:noWrap/>
            <w:vAlign w:val="bottom"/>
          </w:tcPr>
          <w:p w14:paraId="00A4D3E6"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4E61BD0D"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Suma splátky</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14:paraId="169E72CB"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2 121 256 487 EUR</w:t>
            </w:r>
          </w:p>
        </w:tc>
      </w:tr>
    </w:tbl>
    <w:p w14:paraId="2D04A932" w14:textId="77777777" w:rsidR="00302FC1" w:rsidRPr="00AB26B3" w:rsidRDefault="00302FC1">
      <w:pPr>
        <w:keepNext/>
        <w:spacing w:before="40" w:after="160" w:line="259" w:lineRule="auto"/>
        <w:contextualSpacing/>
        <w:jc w:val="both"/>
        <w:rPr>
          <w:rFonts w:ascii="Times New Roman" w:eastAsia="Times New Roman" w:hAnsi="Times New Roman" w:cs="Times New Roman"/>
          <w:noProof/>
          <w:spacing w:val="-6"/>
          <w:sz w:val="24"/>
          <w:lang w:val="sk-SK"/>
        </w:rPr>
      </w:pPr>
    </w:p>
    <w:p w14:paraId="26DBB92F" w14:textId="77777777" w:rsidR="00302FC1" w:rsidRPr="00AB26B3" w:rsidRDefault="00302FC1">
      <w:pPr>
        <w:keepNext/>
        <w:numPr>
          <w:ilvl w:val="1"/>
          <w:numId w:val="85"/>
        </w:numPr>
        <w:spacing w:before="40" w:after="160" w:line="259" w:lineRule="auto"/>
        <w:ind w:left="0"/>
        <w:contextualSpacing/>
        <w:jc w:val="both"/>
        <w:rPr>
          <w:rFonts w:ascii="Times New Roman" w:hAnsi="Times New Roman"/>
          <w:noProof/>
          <w:spacing w:val="-6"/>
          <w:sz w:val="24"/>
          <w:lang w:val="sk-SK"/>
        </w:rPr>
        <w:sectPr w:rsidR="00302FC1" w:rsidRPr="00AB26B3" w:rsidSect="00315FC0">
          <w:headerReference w:type="default" r:id="rId388"/>
          <w:footerReference w:type="default" r:id="rId389"/>
          <w:pgSz w:w="11906" w:h="16838"/>
          <w:pgMar w:top="1417" w:right="1417" w:bottom="1417" w:left="1417" w:header="708" w:footer="708" w:gutter="0"/>
          <w:cols w:space="708"/>
          <w:docGrid w:linePitch="360"/>
        </w:sectPr>
      </w:pPr>
    </w:p>
    <w:p w14:paraId="565C07A1" w14:textId="39AE616E" w:rsidR="00302FC1" w:rsidRPr="00AB26B3" w:rsidRDefault="00D64F26">
      <w:pPr>
        <w:pStyle w:val="P68B1DB1-Normal5"/>
        <w:keepNext/>
        <w:numPr>
          <w:ilvl w:val="1"/>
          <w:numId w:val="85"/>
        </w:numPr>
        <w:spacing w:before="40" w:after="160" w:line="259" w:lineRule="auto"/>
        <w:ind w:left="0"/>
        <w:contextualSpacing/>
        <w:jc w:val="both"/>
        <w:rPr>
          <w:rFonts w:eastAsia="Times New Roman" w:cs="Times New Roman"/>
          <w:noProof/>
          <w:spacing w:val="-6"/>
          <w:lang w:val="sk-SK"/>
        </w:rPr>
      </w:pPr>
      <w:r w:rsidRPr="00AB26B3">
        <w:rPr>
          <w:noProof/>
          <w:spacing w:val="-6"/>
          <w:lang w:val="sk-SK"/>
        </w:rPr>
        <w:t xml:space="preserve"> Tretia žiadosť</w:t>
      </w:r>
      <w:r w:rsidR="00AB26B3" w:rsidRPr="00AB26B3">
        <w:rPr>
          <w:noProof/>
          <w:spacing w:val="-6"/>
          <w:lang w:val="sk-SK"/>
        </w:rPr>
        <w:t xml:space="preserve"> o </w:t>
      </w:r>
      <w:r w:rsidRPr="00AB26B3">
        <w:rPr>
          <w:noProof/>
          <w:spacing w:val="-6"/>
          <w:lang w:val="sk-SK"/>
        </w:rPr>
        <w:t xml:space="preserve">platbu (úverová podpora): </w:t>
      </w:r>
    </w:p>
    <w:tbl>
      <w:tblPr>
        <w:tblW w:w="9535" w:type="dxa"/>
        <w:tblInd w:w="113" w:type="dxa"/>
        <w:tblLook w:val="04A0" w:firstRow="1" w:lastRow="0" w:firstColumn="1" w:lastColumn="0" w:noHBand="0" w:noVBand="1"/>
      </w:tblPr>
      <w:tblGrid>
        <w:gridCol w:w="704"/>
        <w:gridCol w:w="5383"/>
        <w:gridCol w:w="1692"/>
        <w:gridCol w:w="1756"/>
      </w:tblGrid>
      <w:tr w:rsidR="00302FC1" w:rsidRPr="00AB26B3" w14:paraId="793C0576" w14:textId="77777777">
        <w:trPr>
          <w:trHeight w:val="906"/>
        </w:trPr>
        <w:tc>
          <w:tcPr>
            <w:tcW w:w="7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239D973D" w14:textId="447FF050"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3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FBFBA47" w14:textId="6EFBA4D4"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295A1BB2" w14:textId="674A0A92"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14:paraId="00E556B5" w14:textId="5B2D6465"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0036C3BF" w14:textId="77777777">
        <w:trPr>
          <w:trHeight w:val="343"/>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EAA8A6A"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383" w:type="dxa"/>
            <w:vMerge/>
            <w:tcBorders>
              <w:top w:val="single" w:sz="4" w:space="0" w:color="auto"/>
              <w:left w:val="single" w:sz="4" w:space="0" w:color="auto"/>
              <w:bottom w:val="single" w:sz="4" w:space="0" w:color="000000"/>
              <w:right w:val="single" w:sz="4" w:space="0" w:color="auto"/>
            </w:tcBorders>
            <w:vAlign w:val="center"/>
            <w:hideMark/>
          </w:tcPr>
          <w:p w14:paraId="3F8CBDFA"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156105E0"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756" w:type="dxa"/>
            <w:vMerge/>
            <w:tcBorders>
              <w:top w:val="single" w:sz="4" w:space="0" w:color="auto"/>
              <w:left w:val="nil"/>
              <w:bottom w:val="single" w:sz="4" w:space="0" w:color="000000"/>
              <w:right w:val="single" w:sz="4" w:space="0" w:color="auto"/>
            </w:tcBorders>
            <w:vAlign w:val="center"/>
            <w:hideMark/>
          </w:tcPr>
          <w:p w14:paraId="462B24FC"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6D3A54BD" w14:textId="77777777">
        <w:trPr>
          <w:trHeight w:val="302"/>
        </w:trPr>
        <w:tc>
          <w:tcPr>
            <w:tcW w:w="7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00034F4"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325</w:t>
            </w:r>
          </w:p>
        </w:tc>
        <w:tc>
          <w:tcPr>
            <w:tcW w:w="5383" w:type="dxa"/>
            <w:tcBorders>
              <w:top w:val="single" w:sz="4" w:space="0" w:color="auto"/>
              <w:left w:val="nil"/>
              <w:bottom w:val="single" w:sz="4" w:space="0" w:color="auto"/>
              <w:right w:val="single" w:sz="4" w:space="0" w:color="auto"/>
            </w:tcBorders>
            <w:shd w:val="clear" w:color="000000" w:fill="C6EFCE"/>
            <w:noWrap/>
            <w:vAlign w:val="center"/>
            <w:hideMark/>
          </w:tcPr>
          <w:p w14:paraId="32FC41D2" w14:textId="21F95546"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1275DA9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14:paraId="4E4FFA18" w14:textId="06447D2C"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3518.4 mil.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r>
      <w:tr w:rsidR="00302FC1" w:rsidRPr="00AB26B3" w14:paraId="39FFEFA1" w14:textId="77777777">
        <w:trPr>
          <w:trHeight w:val="302"/>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1D1D7AF"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383" w:type="dxa"/>
            <w:tcBorders>
              <w:top w:val="single" w:sz="4" w:space="0" w:color="auto"/>
              <w:left w:val="nil"/>
              <w:bottom w:val="single" w:sz="4" w:space="0" w:color="auto"/>
              <w:right w:val="single" w:sz="4" w:space="0" w:color="auto"/>
            </w:tcBorders>
            <w:shd w:val="clear" w:color="auto" w:fill="C6EFCE"/>
            <w:noWrap/>
            <w:vAlign w:val="bottom"/>
          </w:tcPr>
          <w:p w14:paraId="1A4C4CB0" w14:textId="77777777" w:rsidR="00302FC1" w:rsidRPr="00AB26B3" w:rsidRDefault="00302FC1">
            <w:pPr>
              <w:keepNext/>
              <w:spacing w:before="40" w:after="0" w:line="240" w:lineRule="auto"/>
              <w:jc w:val="both"/>
              <w:rPr>
                <w:rFonts w:ascii="Times New Roman" w:eastAsia="Times New Roman" w:hAnsi="Times New Roman" w:cs="Times New Roman"/>
                <w:bCs/>
                <w:noProof/>
                <w:spacing w:val="-6"/>
                <w:sz w:val="18"/>
                <w:szCs w:val="18"/>
                <w:lang w:val="sk-SK"/>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7C26B60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Suma splátky</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14:paraId="74213BCC"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2 121 256 487 EUR</w:t>
            </w:r>
          </w:p>
        </w:tc>
      </w:tr>
    </w:tbl>
    <w:p w14:paraId="2A98CA55"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p w14:paraId="4296E65C" w14:textId="32975B13" w:rsidR="00302FC1" w:rsidRPr="00AB26B3" w:rsidRDefault="00D64F26">
      <w:pPr>
        <w:pStyle w:val="P68B1DB1-Normal5"/>
        <w:keepNext/>
        <w:numPr>
          <w:ilvl w:val="1"/>
          <w:numId w:val="85"/>
        </w:numPr>
        <w:spacing w:before="40" w:after="160" w:line="259" w:lineRule="auto"/>
        <w:ind w:left="0"/>
        <w:contextualSpacing/>
        <w:jc w:val="both"/>
        <w:rPr>
          <w:rFonts w:eastAsia="Times New Roman" w:cs="Times New Roman"/>
          <w:noProof/>
          <w:spacing w:val="-6"/>
          <w:lang w:val="sk-SK"/>
        </w:rPr>
      </w:pPr>
      <w:r w:rsidRPr="00AB26B3">
        <w:rPr>
          <w:noProof/>
          <w:spacing w:val="-6"/>
          <w:lang w:val="sk-SK"/>
        </w:rPr>
        <w:t>Štvrtá žiadosť</w:t>
      </w:r>
      <w:r w:rsidR="00AB26B3" w:rsidRPr="00AB26B3">
        <w:rPr>
          <w:noProof/>
          <w:spacing w:val="-6"/>
          <w:lang w:val="sk-SK"/>
        </w:rPr>
        <w:t xml:space="preserve"> o </w:t>
      </w:r>
      <w:r w:rsidRPr="00AB26B3">
        <w:rPr>
          <w:noProof/>
          <w:spacing w:val="-6"/>
          <w:lang w:val="sk-SK"/>
        </w:rPr>
        <w:t xml:space="preserve">platbu (úverová podpora): </w:t>
      </w:r>
    </w:p>
    <w:tbl>
      <w:tblPr>
        <w:tblW w:w="9535" w:type="dxa"/>
        <w:tblInd w:w="113" w:type="dxa"/>
        <w:tblLayout w:type="fixed"/>
        <w:tblLook w:val="04A0" w:firstRow="1" w:lastRow="0" w:firstColumn="1" w:lastColumn="0" w:noHBand="0" w:noVBand="1"/>
      </w:tblPr>
      <w:tblGrid>
        <w:gridCol w:w="704"/>
        <w:gridCol w:w="5383"/>
        <w:gridCol w:w="1692"/>
        <w:gridCol w:w="1756"/>
      </w:tblGrid>
      <w:tr w:rsidR="00302FC1" w:rsidRPr="00AB26B3" w14:paraId="5CF94F45" w14:textId="77777777">
        <w:trPr>
          <w:trHeight w:val="906"/>
        </w:trPr>
        <w:tc>
          <w:tcPr>
            <w:tcW w:w="7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2103C34" w14:textId="699FF055" w:rsidR="00302FC1" w:rsidRPr="00AB26B3" w:rsidRDefault="00D64F26">
            <w:pPr>
              <w:pStyle w:val="P68B1DB1-Normal14"/>
              <w:keepNext/>
              <w:spacing w:before="40" w:after="0" w:line="259" w:lineRule="auto"/>
              <w:jc w:val="center"/>
              <w:rPr>
                <w:rFonts w:eastAsia="Times New Roman"/>
                <w:noProof/>
                <w:spacing w:val="-6"/>
                <w:lang w:val="sk-SK"/>
              </w:rPr>
            </w:pPr>
            <w:bookmarkStart w:id="8" w:name="_Hlk150347477"/>
            <w:r w:rsidRPr="00AB26B3">
              <w:rPr>
                <w:noProof/>
                <w:spacing w:val="-6"/>
                <w:lang w:val="sk-SK"/>
              </w:rPr>
              <w:t xml:space="preserve">A nasl. </w:t>
            </w:r>
            <w:r w:rsidRPr="00AB26B3">
              <w:rPr>
                <w:noProof/>
                <w:spacing w:val="-6"/>
                <w:lang w:val="sk-SK"/>
              </w:rPr>
              <w:br/>
              <w:t>Nie.</w:t>
            </w:r>
          </w:p>
        </w:tc>
        <w:tc>
          <w:tcPr>
            <w:tcW w:w="53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3E25622" w14:textId="52FF8C91" w:rsidR="00302FC1" w:rsidRPr="00AB26B3" w:rsidRDefault="00D64F26">
            <w:pPr>
              <w:pStyle w:val="P68B1DB1-Normal10"/>
              <w:keepNext/>
              <w:spacing w:before="40" w:after="0" w:line="259" w:lineRule="auto"/>
              <w:jc w:val="center"/>
              <w:rPr>
                <w:rFonts w:eastAsia="Times New Roman" w:cs="Times New Roman"/>
                <w:noProof/>
                <w:spacing w:val="-6"/>
                <w:szCs w:val="18"/>
                <w:lang w:val="sk-SK"/>
              </w:rPr>
            </w:pPr>
            <w:r w:rsidRPr="00AB26B3">
              <w:rPr>
                <w:noProof/>
                <w:spacing w:val="-6"/>
                <w:lang w:val="sk-SK"/>
              </w:rPr>
              <w:t>Súvisiace opatrenie (reforma alebo investícia)</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D0F1585" w14:textId="61EE4685" w:rsidR="00302FC1" w:rsidRPr="00AB26B3" w:rsidRDefault="00D64F26">
            <w:pPr>
              <w:pStyle w:val="P68B1DB1-Normal10"/>
              <w:keepNext/>
              <w:spacing w:before="40" w:after="0" w:line="259" w:lineRule="auto"/>
              <w:jc w:val="center"/>
              <w:rPr>
                <w:rFonts w:eastAsia="Times New Roman" w:cs="Times New Roman"/>
                <w:noProof/>
                <w:spacing w:val="-6"/>
                <w:szCs w:val="18"/>
                <w:lang w:val="sk-SK"/>
              </w:rPr>
            </w:pPr>
            <w:r w:rsidRPr="00AB26B3">
              <w:rPr>
                <w:noProof/>
                <w:spacing w:val="-6"/>
                <w:lang w:val="sk-SK"/>
              </w:rPr>
              <w:t>Míľnik/cieľ</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14:paraId="16B94784" w14:textId="5DCA130B" w:rsidR="00302FC1" w:rsidRPr="00AB26B3" w:rsidRDefault="00D64F26">
            <w:pPr>
              <w:pStyle w:val="P68B1DB1-Normal10"/>
              <w:keepNext/>
              <w:spacing w:before="40" w:after="0" w:line="259" w:lineRule="auto"/>
              <w:jc w:val="center"/>
              <w:rPr>
                <w:rFonts w:eastAsia="Times New Roman" w:cs="Times New Roman"/>
                <w:noProof/>
                <w:spacing w:val="-6"/>
                <w:szCs w:val="18"/>
                <w:lang w:val="sk-SK"/>
              </w:rPr>
            </w:pPr>
            <w:r w:rsidRPr="00AB26B3">
              <w:rPr>
                <w:noProof/>
                <w:spacing w:val="-6"/>
                <w:lang w:val="sk-SK"/>
              </w:rPr>
              <w:t>Názov</w:t>
            </w:r>
          </w:p>
        </w:tc>
      </w:tr>
      <w:tr w:rsidR="00302FC1" w:rsidRPr="00AB26B3" w14:paraId="2BC1C7CD" w14:textId="77777777">
        <w:trPr>
          <w:trHeight w:val="276"/>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362EC5F"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383" w:type="dxa"/>
            <w:vMerge/>
            <w:tcBorders>
              <w:top w:val="single" w:sz="4" w:space="0" w:color="auto"/>
              <w:left w:val="single" w:sz="4" w:space="0" w:color="auto"/>
              <w:bottom w:val="single" w:sz="4" w:space="0" w:color="000000"/>
              <w:right w:val="single" w:sz="4" w:space="0" w:color="auto"/>
            </w:tcBorders>
            <w:vAlign w:val="center"/>
            <w:hideMark/>
          </w:tcPr>
          <w:p w14:paraId="6512DE56"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1FE883AD"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756" w:type="dxa"/>
            <w:vMerge/>
            <w:tcBorders>
              <w:top w:val="single" w:sz="4" w:space="0" w:color="auto"/>
              <w:left w:val="nil"/>
              <w:bottom w:val="single" w:sz="4" w:space="0" w:color="000000"/>
              <w:right w:val="single" w:sz="4" w:space="0" w:color="auto"/>
            </w:tcBorders>
            <w:vAlign w:val="center"/>
            <w:hideMark/>
          </w:tcPr>
          <w:p w14:paraId="3610560C"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21B69EAE" w14:textId="77777777">
        <w:trPr>
          <w:trHeight w:val="302"/>
        </w:trPr>
        <w:tc>
          <w:tcPr>
            <w:tcW w:w="7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41ADB3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325a</w:t>
            </w:r>
          </w:p>
        </w:tc>
        <w:tc>
          <w:tcPr>
            <w:tcW w:w="5383" w:type="dxa"/>
            <w:tcBorders>
              <w:top w:val="single" w:sz="4" w:space="0" w:color="auto"/>
              <w:left w:val="nil"/>
              <w:bottom w:val="single" w:sz="4" w:space="0" w:color="auto"/>
              <w:right w:val="single" w:sz="4" w:space="0" w:color="auto"/>
            </w:tcBorders>
            <w:shd w:val="clear" w:color="000000" w:fill="C6EFCE"/>
            <w:noWrap/>
            <w:vAlign w:val="center"/>
            <w:hideMark/>
          </w:tcPr>
          <w:p w14:paraId="55589B5B" w14:textId="7D610DF1"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434CCBB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14:paraId="7431487B" w14:textId="0FA7C9A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4518.4 mil.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r>
      <w:tr w:rsidR="00302FC1" w:rsidRPr="00AB26B3" w14:paraId="283732BB" w14:textId="77777777">
        <w:trPr>
          <w:trHeight w:val="302"/>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5F246C2"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383" w:type="dxa"/>
            <w:tcBorders>
              <w:top w:val="single" w:sz="4" w:space="0" w:color="auto"/>
              <w:left w:val="nil"/>
              <w:bottom w:val="single" w:sz="4" w:space="0" w:color="auto"/>
              <w:right w:val="single" w:sz="4" w:space="0" w:color="auto"/>
            </w:tcBorders>
            <w:shd w:val="clear" w:color="auto" w:fill="C6EFCE"/>
            <w:noWrap/>
            <w:vAlign w:val="bottom"/>
          </w:tcPr>
          <w:p w14:paraId="6A91809A" w14:textId="77777777" w:rsidR="00302FC1" w:rsidRPr="00AB26B3" w:rsidRDefault="00302FC1">
            <w:pPr>
              <w:keepNext/>
              <w:spacing w:before="40" w:after="0" w:line="240" w:lineRule="auto"/>
              <w:jc w:val="both"/>
              <w:rPr>
                <w:rFonts w:ascii="Times New Roman" w:eastAsia="Times New Roman" w:hAnsi="Times New Roman" w:cs="Times New Roman"/>
                <w:bCs/>
                <w:noProof/>
                <w:spacing w:val="-6"/>
                <w:sz w:val="18"/>
                <w:szCs w:val="18"/>
                <w:lang w:val="sk-SK"/>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6AFF852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Suma splátky</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14:paraId="67A46157"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2 534 514 342 EUR</w:t>
            </w:r>
          </w:p>
        </w:tc>
      </w:tr>
      <w:bookmarkEnd w:id="8"/>
    </w:tbl>
    <w:p w14:paraId="68A1E787"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p w14:paraId="263C1DB5" w14:textId="1C6BD472" w:rsidR="00302FC1" w:rsidRPr="00AB26B3" w:rsidRDefault="00D64F26">
      <w:pPr>
        <w:pStyle w:val="P68B1DB1-Normal5"/>
        <w:keepNext/>
        <w:numPr>
          <w:ilvl w:val="1"/>
          <w:numId w:val="85"/>
        </w:numPr>
        <w:spacing w:before="40" w:after="160" w:line="259" w:lineRule="auto"/>
        <w:ind w:left="0"/>
        <w:contextualSpacing/>
        <w:jc w:val="both"/>
        <w:rPr>
          <w:rFonts w:eastAsia="Times New Roman" w:cs="Times New Roman"/>
          <w:noProof/>
          <w:spacing w:val="-6"/>
          <w:lang w:val="sk-SK"/>
        </w:rPr>
      </w:pPr>
      <w:r w:rsidRPr="00AB26B3">
        <w:rPr>
          <w:noProof/>
          <w:spacing w:val="-6"/>
          <w:lang w:val="sk-SK"/>
        </w:rPr>
        <w:t xml:space="preserve"> Piata žiadosť</w:t>
      </w:r>
      <w:r w:rsidR="00AB26B3" w:rsidRPr="00AB26B3">
        <w:rPr>
          <w:noProof/>
          <w:spacing w:val="-6"/>
          <w:lang w:val="sk-SK"/>
        </w:rPr>
        <w:t xml:space="preserve"> o </w:t>
      </w:r>
      <w:r w:rsidRPr="00AB26B3">
        <w:rPr>
          <w:noProof/>
          <w:spacing w:val="-6"/>
          <w:lang w:val="sk-SK"/>
        </w:rPr>
        <w:t xml:space="preserve">platbu (úverová podpora): </w:t>
      </w:r>
    </w:p>
    <w:tbl>
      <w:tblPr>
        <w:tblpPr w:leftFromText="180" w:rightFromText="180" w:vertAnchor="text" w:tblpX="113" w:tblpY="1"/>
        <w:tblOverlap w:val="never"/>
        <w:tblW w:w="9519" w:type="dxa"/>
        <w:tblLayout w:type="fixed"/>
        <w:tblLook w:val="04A0" w:firstRow="1" w:lastRow="0" w:firstColumn="1" w:lastColumn="0" w:noHBand="0" w:noVBand="1"/>
      </w:tblPr>
      <w:tblGrid>
        <w:gridCol w:w="675"/>
        <w:gridCol w:w="5412"/>
        <w:gridCol w:w="1692"/>
        <w:gridCol w:w="1740"/>
      </w:tblGrid>
      <w:tr w:rsidR="00302FC1" w:rsidRPr="00AB26B3" w14:paraId="1DB31FC2" w14:textId="77777777">
        <w:trPr>
          <w:trHeight w:val="906"/>
          <w:tblHeader/>
        </w:trPr>
        <w:tc>
          <w:tcPr>
            <w:tcW w:w="6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B4C5F4D" w14:textId="65AD10D4" w:rsidR="00302FC1" w:rsidRPr="00AB26B3" w:rsidRDefault="00D64F26">
            <w:pPr>
              <w:pStyle w:val="P68B1DB1-Normal14"/>
              <w:keepNext/>
              <w:spacing w:before="40" w:after="0" w:line="240"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41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BF0EFCD" w14:textId="2712107F" w:rsidR="00302FC1" w:rsidRPr="00AB26B3" w:rsidRDefault="00D64F26">
            <w:pPr>
              <w:pStyle w:val="P68B1DB1-Normal10"/>
              <w:keepNext/>
              <w:spacing w:before="40" w:after="0" w:line="240"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52C7BCB" w14:textId="1F492DC0" w:rsidR="00302FC1" w:rsidRPr="00AB26B3" w:rsidRDefault="00D64F26">
            <w:pPr>
              <w:pStyle w:val="P68B1DB1-Normal10"/>
              <w:keepNext/>
              <w:spacing w:before="40" w:after="0" w:line="240" w:lineRule="auto"/>
              <w:jc w:val="center"/>
              <w:rPr>
                <w:rFonts w:eastAsia="Times New Roman" w:cs="Times New Roman"/>
                <w:bCs/>
                <w:noProof/>
                <w:spacing w:val="-6"/>
                <w:szCs w:val="18"/>
                <w:lang w:val="sk-SK"/>
              </w:rPr>
            </w:pPr>
            <w:r w:rsidRPr="00AB26B3">
              <w:rPr>
                <w:noProof/>
                <w:spacing w:val="-6"/>
                <w:lang w:val="sk-SK"/>
              </w:rPr>
              <w:t>Míľnik/cieľ</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14:paraId="6695D902" w14:textId="4EEB9D26" w:rsidR="00302FC1" w:rsidRPr="00AB26B3" w:rsidRDefault="00D64F26">
            <w:pPr>
              <w:pStyle w:val="P68B1DB1-Normal10"/>
              <w:keepNext/>
              <w:spacing w:before="40" w:after="0" w:line="240"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334B920E" w14:textId="77777777">
        <w:trPr>
          <w:trHeight w:val="348"/>
          <w:tblHeader/>
        </w:trPr>
        <w:tc>
          <w:tcPr>
            <w:tcW w:w="675" w:type="dxa"/>
            <w:vMerge/>
            <w:tcBorders>
              <w:top w:val="single" w:sz="4" w:space="0" w:color="auto"/>
              <w:left w:val="single" w:sz="4" w:space="0" w:color="auto"/>
              <w:bottom w:val="single" w:sz="4" w:space="0" w:color="000000"/>
              <w:right w:val="single" w:sz="4" w:space="0" w:color="auto"/>
            </w:tcBorders>
            <w:vAlign w:val="center"/>
            <w:hideMark/>
          </w:tcPr>
          <w:p w14:paraId="7BD61CE1"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412" w:type="dxa"/>
            <w:vMerge/>
            <w:tcBorders>
              <w:top w:val="single" w:sz="4" w:space="0" w:color="auto"/>
              <w:left w:val="single" w:sz="4" w:space="0" w:color="auto"/>
              <w:bottom w:val="single" w:sz="4" w:space="0" w:color="000000"/>
              <w:right w:val="single" w:sz="4" w:space="0" w:color="auto"/>
            </w:tcBorders>
            <w:vAlign w:val="center"/>
            <w:hideMark/>
          </w:tcPr>
          <w:p w14:paraId="601EE7E9"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1CB3BF5F"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740" w:type="dxa"/>
            <w:vMerge/>
            <w:tcBorders>
              <w:top w:val="single" w:sz="4" w:space="0" w:color="auto"/>
              <w:left w:val="nil"/>
              <w:bottom w:val="single" w:sz="4" w:space="0" w:color="000000"/>
              <w:right w:val="single" w:sz="4" w:space="0" w:color="auto"/>
            </w:tcBorders>
            <w:vAlign w:val="center"/>
            <w:hideMark/>
          </w:tcPr>
          <w:p w14:paraId="36C15E4D"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5916742A"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752EF401"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374</w:t>
            </w:r>
          </w:p>
        </w:tc>
        <w:tc>
          <w:tcPr>
            <w:tcW w:w="5412" w:type="dxa"/>
            <w:tcBorders>
              <w:top w:val="single" w:sz="4" w:space="0" w:color="auto"/>
              <w:left w:val="nil"/>
              <w:bottom w:val="single" w:sz="4" w:space="0" w:color="auto"/>
              <w:right w:val="single" w:sz="4" w:space="0" w:color="auto"/>
            </w:tcBorders>
            <w:shd w:val="clear" w:color="000000" w:fill="C6EFCE"/>
            <w:noWrap/>
            <w:vAlign w:val="center"/>
          </w:tcPr>
          <w:p w14:paraId="2553D129"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16401_Program modernizácie energetiky „Môj domov“</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1B8BE30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6091EBF8" w14:textId="2F49871B"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Modernizácia môjho domova – vykonávacia dohoda medzi Helénskou rozvojovou bankou</w:t>
            </w:r>
            <w:r w:rsidR="00AB26B3" w:rsidRPr="00AB26B3">
              <w:rPr>
                <w:noProof/>
                <w:spacing w:val="-6"/>
                <w:lang w:val="sk-SK"/>
              </w:rPr>
              <w:t xml:space="preserve"> a </w:t>
            </w:r>
            <w:r w:rsidRPr="00AB26B3">
              <w:rPr>
                <w:noProof/>
                <w:spacing w:val="-6"/>
                <w:lang w:val="sk-SK"/>
              </w:rPr>
              <w:t>ministerstvom financií</w:t>
            </w:r>
          </w:p>
        </w:tc>
      </w:tr>
      <w:tr w:rsidR="00302FC1" w:rsidRPr="00AB26B3" w14:paraId="410F2CBF"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D735EC0"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378</w:t>
            </w:r>
          </w:p>
        </w:tc>
        <w:tc>
          <w:tcPr>
            <w:tcW w:w="5412" w:type="dxa"/>
            <w:tcBorders>
              <w:top w:val="single" w:sz="4" w:space="0" w:color="auto"/>
              <w:left w:val="nil"/>
              <w:bottom w:val="single" w:sz="4" w:space="0" w:color="auto"/>
              <w:right w:val="single" w:sz="4" w:space="0" w:color="auto"/>
            </w:tcBorders>
            <w:shd w:val="clear" w:color="000000" w:fill="C6EFCE"/>
            <w:noWrap/>
            <w:vAlign w:val="center"/>
          </w:tcPr>
          <w:p w14:paraId="5E06D061" w14:textId="11C7435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16400_Program cenovo dostupného bývania „Môj domov II“</w:t>
            </w:r>
            <w:r w:rsidRPr="00AB26B3">
              <w:rPr>
                <w:noProof/>
                <w:spacing w:val="-6"/>
                <w:lang w:val="sk-SK"/>
              </w:rPr>
              <w:tab/>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4674F0E8"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0F4ABBB1" w14:textId="5E2CCA8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Môj domov II – vykonávacia dohoda medzi Helénskou rozvojovou bankou</w:t>
            </w:r>
            <w:r w:rsidR="00AB26B3" w:rsidRPr="00AB26B3">
              <w:rPr>
                <w:noProof/>
                <w:spacing w:val="-6"/>
                <w:lang w:val="sk-SK"/>
              </w:rPr>
              <w:t xml:space="preserve"> a </w:t>
            </w:r>
            <w:r w:rsidRPr="00AB26B3">
              <w:rPr>
                <w:noProof/>
                <w:spacing w:val="-6"/>
                <w:lang w:val="sk-SK"/>
              </w:rPr>
              <w:t>ministerstvom financií</w:t>
            </w:r>
          </w:p>
        </w:tc>
      </w:tr>
      <w:tr w:rsidR="00302FC1" w:rsidRPr="00AB26B3" w14:paraId="5251870F"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7E34851B"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326</w:t>
            </w:r>
          </w:p>
        </w:tc>
        <w:tc>
          <w:tcPr>
            <w:tcW w:w="5412" w:type="dxa"/>
            <w:tcBorders>
              <w:top w:val="single" w:sz="4" w:space="0" w:color="auto"/>
              <w:left w:val="nil"/>
              <w:bottom w:val="single" w:sz="4" w:space="0" w:color="auto"/>
              <w:right w:val="single" w:sz="4" w:space="0" w:color="auto"/>
            </w:tcBorders>
            <w:shd w:val="clear" w:color="000000" w:fill="C6EFCE"/>
            <w:noWrap/>
            <w:vAlign w:val="center"/>
          </w:tcPr>
          <w:p w14:paraId="3FE36853" w14:textId="428ADEDD"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12261A63"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5ACF0076" w14:textId="4B9F0F46"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7064 mil.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r>
      <w:tr w:rsidR="00302FC1" w:rsidRPr="00AB26B3" w14:paraId="1A78B0A2" w14:textId="77777777">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CB71C46"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412" w:type="dxa"/>
            <w:tcBorders>
              <w:top w:val="single" w:sz="4" w:space="0" w:color="auto"/>
              <w:left w:val="nil"/>
              <w:bottom w:val="single" w:sz="4" w:space="0" w:color="auto"/>
              <w:right w:val="single" w:sz="4" w:space="0" w:color="auto"/>
            </w:tcBorders>
            <w:shd w:val="clear" w:color="auto" w:fill="C6EFCE"/>
            <w:noWrap/>
            <w:vAlign w:val="bottom"/>
          </w:tcPr>
          <w:p w14:paraId="37C46A65" w14:textId="77777777" w:rsidR="00302FC1" w:rsidRPr="00AB26B3" w:rsidRDefault="00302FC1">
            <w:pPr>
              <w:keepNext/>
              <w:spacing w:before="40" w:after="0" w:line="240" w:lineRule="auto"/>
              <w:jc w:val="both"/>
              <w:rPr>
                <w:rFonts w:ascii="Times New Roman" w:eastAsia="Times New Roman" w:hAnsi="Times New Roman" w:cs="Times New Roman"/>
                <w:bCs/>
                <w:noProof/>
                <w:spacing w:val="-6"/>
                <w:sz w:val="18"/>
                <w:szCs w:val="18"/>
                <w:lang w:val="sk-SK"/>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05326AA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Suma splátky</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14:paraId="7A333B59"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1 940 000 000 EUR</w:t>
            </w:r>
          </w:p>
        </w:tc>
      </w:tr>
    </w:tbl>
    <w:p w14:paraId="589BB6B4" w14:textId="79C40E27" w:rsidR="00302FC1" w:rsidRPr="00AB26B3" w:rsidRDefault="00D64F26">
      <w:pPr>
        <w:pStyle w:val="P68B1DB1-Normal5"/>
        <w:keepNext/>
        <w:numPr>
          <w:ilvl w:val="1"/>
          <w:numId w:val="85"/>
        </w:numPr>
        <w:spacing w:before="40" w:after="160" w:line="259" w:lineRule="auto"/>
        <w:ind w:left="0"/>
        <w:contextualSpacing/>
        <w:jc w:val="both"/>
        <w:rPr>
          <w:rFonts w:eastAsia="Times New Roman" w:cs="Times New Roman"/>
          <w:noProof/>
          <w:spacing w:val="-6"/>
          <w:lang w:val="sk-SK"/>
        </w:rPr>
      </w:pPr>
      <w:r w:rsidRPr="00AB26B3">
        <w:rPr>
          <w:noProof/>
          <w:spacing w:val="-6"/>
          <w:lang w:val="sk-SK"/>
        </w:rPr>
        <w:t xml:space="preserve"> Šiesta žiadosť</w:t>
      </w:r>
      <w:r w:rsidR="00AB26B3" w:rsidRPr="00AB26B3">
        <w:rPr>
          <w:noProof/>
          <w:spacing w:val="-6"/>
          <w:lang w:val="sk-SK"/>
        </w:rPr>
        <w:t xml:space="preserve"> o </w:t>
      </w:r>
      <w:r w:rsidRPr="00AB26B3">
        <w:rPr>
          <w:noProof/>
          <w:spacing w:val="-6"/>
          <w:lang w:val="sk-SK"/>
        </w:rPr>
        <w:t xml:space="preserve">platbu (úverová podpora): </w:t>
      </w:r>
    </w:p>
    <w:tbl>
      <w:tblPr>
        <w:tblW w:w="9951" w:type="dxa"/>
        <w:tblInd w:w="113" w:type="dxa"/>
        <w:tblLook w:val="04A0" w:firstRow="1" w:lastRow="0" w:firstColumn="1" w:lastColumn="0" w:noHBand="0" w:noVBand="1"/>
      </w:tblPr>
      <w:tblGrid>
        <w:gridCol w:w="846"/>
        <w:gridCol w:w="5241"/>
        <w:gridCol w:w="1692"/>
        <w:gridCol w:w="2172"/>
      </w:tblGrid>
      <w:tr w:rsidR="00302FC1" w:rsidRPr="00AB26B3" w14:paraId="310D25FE" w14:textId="77777777">
        <w:trPr>
          <w:trHeight w:val="906"/>
        </w:trPr>
        <w:tc>
          <w:tcPr>
            <w:tcW w:w="84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8BCFA98" w14:textId="14E75B92"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24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4E685F1" w14:textId="37ED9490"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AAD3789" w14:textId="4CDB892E"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2172" w:type="dxa"/>
            <w:vMerge w:val="restart"/>
            <w:tcBorders>
              <w:top w:val="single" w:sz="4" w:space="0" w:color="auto"/>
              <w:left w:val="nil"/>
              <w:bottom w:val="single" w:sz="4" w:space="0" w:color="000000"/>
              <w:right w:val="single" w:sz="4" w:space="0" w:color="auto"/>
            </w:tcBorders>
            <w:shd w:val="clear" w:color="auto" w:fill="BDD7EE"/>
            <w:vAlign w:val="center"/>
            <w:hideMark/>
          </w:tcPr>
          <w:p w14:paraId="32383319" w14:textId="015EFCE9"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70B6FDE8" w14:textId="77777777">
        <w:trPr>
          <w:trHeight w:val="308"/>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07747EE"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241" w:type="dxa"/>
            <w:vMerge/>
            <w:tcBorders>
              <w:top w:val="single" w:sz="4" w:space="0" w:color="auto"/>
              <w:left w:val="single" w:sz="4" w:space="0" w:color="auto"/>
              <w:bottom w:val="single" w:sz="4" w:space="0" w:color="000000"/>
              <w:right w:val="single" w:sz="4" w:space="0" w:color="auto"/>
            </w:tcBorders>
            <w:vAlign w:val="center"/>
            <w:hideMark/>
          </w:tcPr>
          <w:p w14:paraId="5B0F5A50"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77089BA1"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2172" w:type="dxa"/>
            <w:vMerge/>
            <w:tcBorders>
              <w:top w:val="single" w:sz="4" w:space="0" w:color="auto"/>
              <w:left w:val="nil"/>
              <w:bottom w:val="single" w:sz="4" w:space="0" w:color="000000"/>
              <w:right w:val="single" w:sz="4" w:space="0" w:color="auto"/>
            </w:tcBorders>
            <w:vAlign w:val="center"/>
            <w:hideMark/>
          </w:tcPr>
          <w:p w14:paraId="20477743"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064FF048" w14:textId="77777777">
        <w:trPr>
          <w:trHeight w:val="302"/>
        </w:trPr>
        <w:tc>
          <w:tcPr>
            <w:tcW w:w="84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3737B2C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379</w:t>
            </w:r>
          </w:p>
        </w:tc>
        <w:tc>
          <w:tcPr>
            <w:tcW w:w="5241" w:type="dxa"/>
            <w:tcBorders>
              <w:top w:val="single" w:sz="4" w:space="0" w:color="auto"/>
              <w:left w:val="nil"/>
              <w:bottom w:val="single" w:sz="4" w:space="0" w:color="auto"/>
              <w:right w:val="single" w:sz="4" w:space="0" w:color="auto"/>
            </w:tcBorders>
            <w:shd w:val="clear" w:color="000000" w:fill="C6EFCE"/>
            <w:noWrap/>
            <w:vAlign w:val="center"/>
          </w:tcPr>
          <w:p w14:paraId="6ED356AF" w14:textId="33245313"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16400_Program cenovo dostupného bývania „Môj domov II“</w:t>
            </w:r>
            <w:r w:rsidRPr="00AB26B3">
              <w:rPr>
                <w:noProof/>
                <w:spacing w:val="-6"/>
                <w:lang w:val="sk-SK"/>
              </w:rPr>
              <w:tab/>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3CB16D36"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2172" w:type="dxa"/>
            <w:tcBorders>
              <w:top w:val="single" w:sz="4" w:space="0" w:color="auto"/>
              <w:left w:val="nil"/>
              <w:bottom w:val="single" w:sz="4" w:space="0" w:color="auto"/>
              <w:right w:val="single" w:sz="4" w:space="0" w:color="auto"/>
            </w:tcBorders>
            <w:shd w:val="clear" w:color="000000" w:fill="C6EFCE"/>
            <w:noWrap/>
            <w:vAlign w:val="center"/>
          </w:tcPr>
          <w:p w14:paraId="7DB79159" w14:textId="0AD54D7E" w:rsidR="00302FC1" w:rsidRPr="00AB26B3" w:rsidRDefault="00D64F26">
            <w:pPr>
              <w:pStyle w:val="P68B1DB1-Normal54"/>
              <w:keepNext/>
              <w:spacing w:before="40" w:after="0" w:line="240" w:lineRule="auto"/>
              <w:jc w:val="both"/>
              <w:rPr>
                <w:bCs/>
                <w:noProof/>
                <w:spacing w:val="-6"/>
                <w:lang w:val="sk-SK"/>
              </w:rPr>
            </w:pPr>
            <w:r w:rsidRPr="00AB26B3">
              <w:rPr>
                <w:noProof/>
                <w:spacing w:val="-6"/>
                <w:lang w:val="sk-SK"/>
              </w:rPr>
              <w:t>Môj domov II – Právne dohody podpísané</w:t>
            </w:r>
            <w:r w:rsidR="00AB26B3" w:rsidRPr="00AB26B3">
              <w:rPr>
                <w:noProof/>
                <w:spacing w:val="-6"/>
                <w:lang w:val="sk-SK"/>
              </w:rPr>
              <w:t xml:space="preserve"> s </w:t>
            </w:r>
            <w:r w:rsidRPr="00AB26B3">
              <w:rPr>
                <w:noProof/>
                <w:spacing w:val="-6"/>
                <w:lang w:val="sk-SK"/>
              </w:rPr>
              <w:t>konečnými príjemcami – 50</w:t>
            </w:r>
            <w:r w:rsidR="00AB26B3" w:rsidRPr="00AB26B3">
              <w:rPr>
                <w:noProof/>
                <w:spacing w:val="-6"/>
                <w:lang w:val="sk-SK"/>
              </w:rPr>
              <w:t> %</w:t>
            </w:r>
          </w:p>
        </w:tc>
      </w:tr>
      <w:tr w:rsidR="00302FC1" w:rsidRPr="00AB26B3" w14:paraId="06C13A7E" w14:textId="77777777">
        <w:trPr>
          <w:trHeight w:val="302"/>
        </w:trPr>
        <w:tc>
          <w:tcPr>
            <w:tcW w:w="84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3C1B1D4"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327</w:t>
            </w:r>
          </w:p>
        </w:tc>
        <w:tc>
          <w:tcPr>
            <w:tcW w:w="5241" w:type="dxa"/>
            <w:tcBorders>
              <w:top w:val="single" w:sz="4" w:space="0" w:color="auto"/>
              <w:left w:val="nil"/>
              <w:bottom w:val="single" w:sz="4" w:space="0" w:color="auto"/>
              <w:right w:val="single" w:sz="4" w:space="0" w:color="auto"/>
            </w:tcBorders>
            <w:shd w:val="clear" w:color="000000" w:fill="C6EFCE"/>
            <w:noWrap/>
            <w:vAlign w:val="center"/>
          </w:tcPr>
          <w:p w14:paraId="78CFEA47" w14:textId="3815F60B"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5B5BA4F2"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2172" w:type="dxa"/>
            <w:tcBorders>
              <w:top w:val="single" w:sz="4" w:space="0" w:color="auto"/>
              <w:left w:val="nil"/>
              <w:bottom w:val="single" w:sz="4" w:space="0" w:color="auto"/>
              <w:right w:val="single" w:sz="4" w:space="0" w:color="auto"/>
            </w:tcBorders>
            <w:shd w:val="clear" w:color="000000" w:fill="C6EFCE"/>
            <w:noWrap/>
            <w:vAlign w:val="center"/>
          </w:tcPr>
          <w:p w14:paraId="65D3BB31" w14:textId="68F8A4A8"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9800 miliónov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r>
      <w:tr w:rsidR="00302FC1" w:rsidRPr="00AB26B3" w14:paraId="5767C78E" w14:textId="77777777">
        <w:trPr>
          <w:trHeight w:val="302"/>
        </w:trPr>
        <w:tc>
          <w:tcPr>
            <w:tcW w:w="84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3DEDB8A2"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329</w:t>
            </w:r>
          </w:p>
        </w:tc>
        <w:tc>
          <w:tcPr>
            <w:tcW w:w="5241" w:type="dxa"/>
            <w:tcBorders>
              <w:top w:val="single" w:sz="4" w:space="0" w:color="auto"/>
              <w:left w:val="nil"/>
              <w:bottom w:val="single" w:sz="4" w:space="0" w:color="auto"/>
              <w:right w:val="single" w:sz="4" w:space="0" w:color="auto"/>
            </w:tcBorders>
            <w:shd w:val="clear" w:color="000000" w:fill="C6EFCE"/>
            <w:noWrap/>
            <w:vAlign w:val="center"/>
          </w:tcPr>
          <w:p w14:paraId="63D0F5EB" w14:textId="7533184C"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627714C2"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2172" w:type="dxa"/>
            <w:tcBorders>
              <w:top w:val="single" w:sz="4" w:space="0" w:color="auto"/>
              <w:left w:val="nil"/>
              <w:bottom w:val="single" w:sz="4" w:space="0" w:color="auto"/>
              <w:right w:val="single" w:sz="4" w:space="0" w:color="auto"/>
            </w:tcBorders>
            <w:shd w:val="clear" w:color="000000" w:fill="C6EFCE"/>
            <w:noWrap/>
            <w:vAlign w:val="center"/>
          </w:tcPr>
          <w:p w14:paraId="0D642EE5" w14:textId="6C518BCD"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Právne dohody podpísané</w:t>
            </w:r>
            <w:r w:rsidR="00AB26B3" w:rsidRPr="00AB26B3">
              <w:rPr>
                <w:noProof/>
                <w:spacing w:val="-6"/>
                <w:lang w:val="sk-SK"/>
              </w:rPr>
              <w:t xml:space="preserve"> s </w:t>
            </w:r>
            <w:r w:rsidRPr="00AB26B3">
              <w:rPr>
                <w:noProof/>
                <w:spacing w:val="-6"/>
                <w:lang w:val="sk-SK"/>
              </w:rPr>
              <w:t>finančnými prostriedkami – 500 miliónov EUR</w:t>
            </w:r>
          </w:p>
        </w:tc>
      </w:tr>
      <w:tr w:rsidR="00302FC1" w:rsidRPr="00AB26B3" w14:paraId="65684D38" w14:textId="77777777">
        <w:trPr>
          <w:trHeight w:val="302"/>
        </w:trPr>
        <w:tc>
          <w:tcPr>
            <w:tcW w:w="84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35F6D8D"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330</w:t>
            </w:r>
          </w:p>
        </w:tc>
        <w:tc>
          <w:tcPr>
            <w:tcW w:w="5241" w:type="dxa"/>
            <w:tcBorders>
              <w:top w:val="single" w:sz="4" w:space="0" w:color="auto"/>
              <w:left w:val="nil"/>
              <w:bottom w:val="single" w:sz="4" w:space="0" w:color="auto"/>
              <w:right w:val="single" w:sz="4" w:space="0" w:color="auto"/>
            </w:tcBorders>
            <w:shd w:val="clear" w:color="000000" w:fill="C6EFCE"/>
            <w:noWrap/>
            <w:vAlign w:val="center"/>
          </w:tcPr>
          <w:p w14:paraId="3EFA8154" w14:textId="01542EEF"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2B405BD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2172" w:type="dxa"/>
            <w:tcBorders>
              <w:top w:val="single" w:sz="4" w:space="0" w:color="auto"/>
              <w:left w:val="nil"/>
              <w:bottom w:val="single" w:sz="4" w:space="0" w:color="auto"/>
              <w:right w:val="single" w:sz="4" w:space="0" w:color="auto"/>
            </w:tcBorders>
            <w:shd w:val="clear" w:color="000000" w:fill="C6EFCE"/>
            <w:noWrap/>
            <w:vAlign w:val="center"/>
          </w:tcPr>
          <w:p w14:paraId="5F0F34C5" w14:textId="0F7E65FA"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Schválenie operácií</w:t>
            </w:r>
            <w:r w:rsidR="00AB26B3" w:rsidRPr="00AB26B3">
              <w:rPr>
                <w:noProof/>
                <w:spacing w:val="-6"/>
                <w:lang w:val="sk-SK"/>
              </w:rPr>
              <w:t xml:space="preserve"> v </w:t>
            </w:r>
            <w:r w:rsidRPr="00AB26B3">
              <w:rPr>
                <w:noProof/>
                <w:spacing w:val="-6"/>
                <w:lang w:val="sk-SK"/>
              </w:rPr>
              <w:t>rámci Programu InvestEU vo výške 500 miliónov EUR</w:t>
            </w:r>
          </w:p>
        </w:tc>
      </w:tr>
      <w:tr w:rsidR="00302FC1" w:rsidRPr="00AB26B3" w14:paraId="1566F908" w14:textId="77777777">
        <w:trPr>
          <w:trHeight w:val="302"/>
        </w:trPr>
        <w:tc>
          <w:tcPr>
            <w:tcW w:w="846"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D674D82"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241" w:type="dxa"/>
            <w:tcBorders>
              <w:top w:val="single" w:sz="4" w:space="0" w:color="auto"/>
              <w:left w:val="nil"/>
              <w:bottom w:val="single" w:sz="4" w:space="0" w:color="auto"/>
              <w:right w:val="single" w:sz="4" w:space="0" w:color="auto"/>
            </w:tcBorders>
            <w:shd w:val="clear" w:color="auto" w:fill="C6EFCE"/>
            <w:noWrap/>
            <w:vAlign w:val="bottom"/>
          </w:tcPr>
          <w:p w14:paraId="2F157135"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64A4D731" w14:textId="77777777" w:rsidR="00302FC1" w:rsidRPr="00AB26B3" w:rsidRDefault="00D64F26">
            <w:pPr>
              <w:pStyle w:val="P68B1DB1-Normal52"/>
              <w:keepNext/>
              <w:spacing w:before="40" w:after="0" w:line="259" w:lineRule="auto"/>
              <w:jc w:val="both"/>
              <w:rPr>
                <w:rFonts w:eastAsia="Times New Roman" w:cs="Times New Roman"/>
                <w:noProof/>
                <w:spacing w:val="-6"/>
                <w:szCs w:val="18"/>
                <w:lang w:val="sk-SK"/>
              </w:rPr>
            </w:pPr>
            <w:r w:rsidRPr="00AB26B3">
              <w:rPr>
                <w:noProof/>
                <w:spacing w:val="-6"/>
                <w:lang w:val="sk-SK"/>
              </w:rPr>
              <w:t>Suma splátky</w:t>
            </w:r>
          </w:p>
        </w:tc>
        <w:tc>
          <w:tcPr>
            <w:tcW w:w="2172" w:type="dxa"/>
            <w:tcBorders>
              <w:top w:val="single" w:sz="4" w:space="0" w:color="auto"/>
              <w:left w:val="nil"/>
              <w:bottom w:val="single" w:sz="4" w:space="0" w:color="auto"/>
              <w:right w:val="single" w:sz="4" w:space="0" w:color="auto"/>
            </w:tcBorders>
            <w:shd w:val="clear" w:color="auto" w:fill="C6EFCE"/>
            <w:noWrap/>
            <w:vAlign w:val="bottom"/>
          </w:tcPr>
          <w:p w14:paraId="22E063F2" w14:textId="261381B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320 000 000 EUR</w:t>
            </w:r>
          </w:p>
        </w:tc>
      </w:tr>
    </w:tbl>
    <w:p w14:paraId="2AEEAA6F" w14:textId="77777777" w:rsidR="00302FC1" w:rsidRPr="00AB26B3" w:rsidRDefault="00302FC1">
      <w:pPr>
        <w:keepNext/>
        <w:spacing w:before="40" w:after="0" w:line="259" w:lineRule="auto"/>
        <w:jc w:val="both"/>
        <w:rPr>
          <w:rFonts w:ascii="Times New Roman" w:hAnsi="Times New Roman"/>
          <w:noProof/>
          <w:spacing w:val="-6"/>
          <w:sz w:val="24"/>
          <w:lang w:val="sk-SK"/>
        </w:rPr>
      </w:pPr>
    </w:p>
    <w:p w14:paraId="6C6E9DA2" w14:textId="04D32C18" w:rsidR="00302FC1" w:rsidRPr="00AB26B3" w:rsidRDefault="00D64F26">
      <w:pPr>
        <w:pStyle w:val="P68B1DB1-ListParagraph32"/>
        <w:keepNext/>
        <w:numPr>
          <w:ilvl w:val="1"/>
          <w:numId w:val="22"/>
        </w:numPr>
        <w:spacing w:before="40" w:after="0" w:line="259" w:lineRule="auto"/>
        <w:ind w:left="284" w:hanging="284"/>
        <w:jc w:val="both"/>
        <w:rPr>
          <w:rFonts w:eastAsia="Times New Roman" w:cs="Times New Roman"/>
          <w:bCs/>
          <w:noProof/>
          <w:spacing w:val="-6"/>
          <w:szCs w:val="26"/>
          <w:lang w:val="sk-SK"/>
        </w:rPr>
      </w:pPr>
      <w:r w:rsidRPr="00AB26B3">
        <w:rPr>
          <w:noProof/>
          <w:spacing w:val="-6"/>
          <w:lang w:val="sk-SK"/>
        </w:rPr>
        <w:t>Siedma žiadosť</w:t>
      </w:r>
      <w:r w:rsidR="00AB26B3" w:rsidRPr="00AB26B3">
        <w:rPr>
          <w:noProof/>
          <w:spacing w:val="-6"/>
          <w:lang w:val="sk-SK"/>
        </w:rPr>
        <w:t xml:space="preserve"> o </w:t>
      </w:r>
      <w:r w:rsidRPr="00AB26B3">
        <w:rPr>
          <w:noProof/>
          <w:spacing w:val="-6"/>
          <w:lang w:val="sk-SK"/>
        </w:rPr>
        <w:t>platbu (úverová podpora):</w:t>
      </w:r>
    </w:p>
    <w:tbl>
      <w:tblPr>
        <w:tblpPr w:leftFromText="180" w:rightFromText="180" w:vertAnchor="text" w:tblpX="113" w:tblpY="1"/>
        <w:tblOverlap w:val="never"/>
        <w:tblW w:w="9979" w:type="dxa"/>
        <w:tblLook w:val="04A0" w:firstRow="1" w:lastRow="0" w:firstColumn="1" w:lastColumn="0" w:noHBand="0" w:noVBand="1"/>
      </w:tblPr>
      <w:tblGrid>
        <w:gridCol w:w="879"/>
        <w:gridCol w:w="5553"/>
        <w:gridCol w:w="1692"/>
        <w:gridCol w:w="1855"/>
      </w:tblGrid>
      <w:tr w:rsidR="00302FC1" w:rsidRPr="00AB26B3" w14:paraId="5308157A" w14:textId="77777777">
        <w:trPr>
          <w:trHeight w:val="906"/>
        </w:trPr>
        <w:tc>
          <w:tcPr>
            <w:tcW w:w="87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AA24EB5" w14:textId="43B4A783" w:rsidR="00302FC1" w:rsidRPr="00AB26B3" w:rsidRDefault="00D64F26">
            <w:pPr>
              <w:pStyle w:val="P68B1DB1-Normal14"/>
              <w:keepNext/>
              <w:spacing w:before="40" w:after="0" w:line="259" w:lineRule="auto"/>
              <w:ind w:right="313"/>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55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FB25416" w14:textId="6AE08986"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2750C422" w14:textId="4550C836"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1855" w:type="dxa"/>
            <w:vMerge w:val="restart"/>
            <w:tcBorders>
              <w:top w:val="single" w:sz="4" w:space="0" w:color="auto"/>
              <w:left w:val="nil"/>
              <w:bottom w:val="single" w:sz="4" w:space="0" w:color="000000"/>
              <w:right w:val="single" w:sz="4" w:space="0" w:color="auto"/>
            </w:tcBorders>
            <w:shd w:val="clear" w:color="auto" w:fill="BDD7EE"/>
            <w:vAlign w:val="center"/>
            <w:hideMark/>
          </w:tcPr>
          <w:p w14:paraId="608114CE" w14:textId="555E51A2"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601E6F32" w14:textId="77777777">
        <w:trPr>
          <w:trHeight w:val="489"/>
        </w:trPr>
        <w:tc>
          <w:tcPr>
            <w:tcW w:w="879" w:type="dxa"/>
            <w:vMerge/>
            <w:tcBorders>
              <w:top w:val="single" w:sz="4" w:space="0" w:color="auto"/>
              <w:left w:val="single" w:sz="4" w:space="0" w:color="auto"/>
              <w:bottom w:val="single" w:sz="4" w:space="0" w:color="000000"/>
              <w:right w:val="single" w:sz="4" w:space="0" w:color="auto"/>
            </w:tcBorders>
            <w:vAlign w:val="center"/>
            <w:hideMark/>
          </w:tcPr>
          <w:p w14:paraId="782CBFB6" w14:textId="77777777" w:rsidR="00302FC1" w:rsidRPr="00AB26B3" w:rsidRDefault="00302FC1">
            <w:pPr>
              <w:keepNext/>
              <w:spacing w:before="40" w:after="0" w:line="259" w:lineRule="auto"/>
              <w:ind w:right="313"/>
              <w:jc w:val="both"/>
              <w:rPr>
                <w:rFonts w:ascii="Times New Roman" w:eastAsia="Times New Roman" w:hAnsi="Times New Roman" w:cs="Times New Roman"/>
                <w:bCs/>
                <w:noProof/>
                <w:spacing w:val="-6"/>
                <w:sz w:val="18"/>
                <w:szCs w:val="18"/>
                <w:lang w:val="sk-SK"/>
              </w:rPr>
            </w:pPr>
          </w:p>
        </w:tc>
        <w:tc>
          <w:tcPr>
            <w:tcW w:w="5553" w:type="dxa"/>
            <w:vMerge/>
            <w:tcBorders>
              <w:top w:val="single" w:sz="4" w:space="0" w:color="auto"/>
              <w:left w:val="single" w:sz="4" w:space="0" w:color="auto"/>
              <w:bottom w:val="single" w:sz="4" w:space="0" w:color="000000"/>
              <w:right w:val="single" w:sz="4" w:space="0" w:color="auto"/>
            </w:tcBorders>
            <w:vAlign w:val="center"/>
            <w:hideMark/>
          </w:tcPr>
          <w:p w14:paraId="67C39383"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54FF0618"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855" w:type="dxa"/>
            <w:vMerge/>
            <w:tcBorders>
              <w:top w:val="single" w:sz="4" w:space="0" w:color="auto"/>
              <w:left w:val="nil"/>
              <w:bottom w:val="single" w:sz="4" w:space="0" w:color="000000"/>
              <w:right w:val="single" w:sz="4" w:space="0" w:color="auto"/>
            </w:tcBorders>
            <w:vAlign w:val="center"/>
            <w:hideMark/>
          </w:tcPr>
          <w:p w14:paraId="5699AA13"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60DE39D3" w14:textId="77777777">
        <w:trPr>
          <w:trHeight w:val="302"/>
        </w:trPr>
        <w:tc>
          <w:tcPr>
            <w:tcW w:w="879"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A9CB845" w14:textId="77777777" w:rsidR="00302FC1" w:rsidRPr="00AB26B3" w:rsidRDefault="00D64F26">
            <w:pPr>
              <w:pStyle w:val="P68B1DB1-Normal52"/>
              <w:keepNext/>
              <w:spacing w:before="40" w:after="0" w:line="240" w:lineRule="auto"/>
              <w:ind w:right="313"/>
              <w:jc w:val="both"/>
              <w:rPr>
                <w:rFonts w:eastAsia="Times New Roman" w:cs="Times New Roman"/>
                <w:noProof/>
                <w:spacing w:val="-6"/>
                <w:szCs w:val="18"/>
                <w:lang w:val="sk-SK"/>
              </w:rPr>
            </w:pPr>
            <w:r w:rsidRPr="00AB26B3">
              <w:rPr>
                <w:noProof/>
                <w:spacing w:val="-6"/>
                <w:lang w:val="sk-SK"/>
              </w:rPr>
              <w:t>327a</w:t>
            </w:r>
          </w:p>
        </w:tc>
        <w:tc>
          <w:tcPr>
            <w:tcW w:w="5553" w:type="dxa"/>
            <w:tcBorders>
              <w:top w:val="single" w:sz="4" w:space="0" w:color="auto"/>
              <w:left w:val="nil"/>
              <w:bottom w:val="single" w:sz="4" w:space="0" w:color="auto"/>
              <w:right w:val="single" w:sz="4" w:space="0" w:color="auto"/>
            </w:tcBorders>
            <w:shd w:val="clear" w:color="000000" w:fill="C6EFCE"/>
            <w:noWrap/>
            <w:vAlign w:val="center"/>
            <w:hideMark/>
          </w:tcPr>
          <w:p w14:paraId="3955E025" w14:textId="1F703A64"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2E84C44F"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1855" w:type="dxa"/>
            <w:tcBorders>
              <w:top w:val="single" w:sz="4" w:space="0" w:color="auto"/>
              <w:left w:val="nil"/>
              <w:bottom w:val="single" w:sz="4" w:space="0" w:color="auto"/>
              <w:right w:val="single" w:sz="4" w:space="0" w:color="auto"/>
            </w:tcBorders>
            <w:shd w:val="clear" w:color="000000" w:fill="C6EFCE"/>
            <w:noWrap/>
            <w:vAlign w:val="center"/>
            <w:hideMark/>
          </w:tcPr>
          <w:p w14:paraId="366BCE83" w14:textId="7A95D079"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11500 mil.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r>
      <w:tr w:rsidR="00302FC1" w:rsidRPr="00AB26B3" w14:paraId="7FE9CC4F" w14:textId="77777777">
        <w:trPr>
          <w:trHeight w:val="302"/>
        </w:trPr>
        <w:tc>
          <w:tcPr>
            <w:tcW w:w="879"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85D435F" w14:textId="77777777" w:rsidR="00302FC1" w:rsidRPr="00AB26B3" w:rsidRDefault="00D64F26">
            <w:pPr>
              <w:pStyle w:val="P68B1DB1-Normal52"/>
              <w:keepNext/>
              <w:spacing w:before="40" w:after="0" w:line="240" w:lineRule="auto"/>
              <w:ind w:right="313"/>
              <w:jc w:val="both"/>
              <w:rPr>
                <w:noProof/>
                <w:spacing w:val="-6"/>
                <w:lang w:val="sk-SK"/>
              </w:rPr>
            </w:pPr>
            <w:r w:rsidRPr="00AB26B3">
              <w:rPr>
                <w:noProof/>
                <w:spacing w:val="-6"/>
                <w:lang w:val="sk-SK"/>
              </w:rPr>
              <w:t>329a</w:t>
            </w:r>
          </w:p>
        </w:tc>
        <w:tc>
          <w:tcPr>
            <w:tcW w:w="5553" w:type="dxa"/>
            <w:tcBorders>
              <w:top w:val="single" w:sz="4" w:space="0" w:color="auto"/>
              <w:left w:val="nil"/>
              <w:bottom w:val="single" w:sz="4" w:space="0" w:color="auto"/>
              <w:right w:val="single" w:sz="4" w:space="0" w:color="auto"/>
            </w:tcBorders>
            <w:shd w:val="clear" w:color="000000" w:fill="C6EFCE"/>
            <w:noWrap/>
            <w:vAlign w:val="center"/>
          </w:tcPr>
          <w:p w14:paraId="3CEE66AF" w14:textId="642234FB"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20E612E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1855" w:type="dxa"/>
            <w:tcBorders>
              <w:top w:val="single" w:sz="4" w:space="0" w:color="auto"/>
              <w:left w:val="nil"/>
              <w:bottom w:val="single" w:sz="4" w:space="0" w:color="auto"/>
              <w:right w:val="single" w:sz="4" w:space="0" w:color="auto"/>
            </w:tcBorders>
            <w:shd w:val="clear" w:color="000000" w:fill="C6EFCE"/>
            <w:noWrap/>
            <w:vAlign w:val="center"/>
          </w:tcPr>
          <w:p w14:paraId="356F0A45" w14:textId="4104A9B3"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Podpísané právne dohody</w:t>
            </w:r>
            <w:r w:rsidR="00AB26B3" w:rsidRPr="00AB26B3">
              <w:rPr>
                <w:noProof/>
                <w:spacing w:val="-6"/>
                <w:lang w:val="sk-SK"/>
              </w:rPr>
              <w:t xml:space="preserve"> s </w:t>
            </w:r>
            <w:r w:rsidRPr="00AB26B3">
              <w:rPr>
                <w:noProof/>
                <w:spacing w:val="-6"/>
                <w:lang w:val="sk-SK"/>
              </w:rPr>
              <w:t>finančnými prostriedkami – 600 miliónov EUR</w:t>
            </w:r>
          </w:p>
        </w:tc>
      </w:tr>
      <w:tr w:rsidR="00302FC1" w:rsidRPr="00AB26B3" w14:paraId="64D8366C" w14:textId="77777777">
        <w:trPr>
          <w:trHeight w:val="302"/>
        </w:trPr>
        <w:tc>
          <w:tcPr>
            <w:tcW w:w="879"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74FEB55" w14:textId="77777777" w:rsidR="00302FC1" w:rsidRPr="00AB26B3" w:rsidRDefault="00302FC1">
            <w:pPr>
              <w:keepNext/>
              <w:spacing w:before="40" w:after="0" w:line="240" w:lineRule="auto"/>
              <w:ind w:right="313"/>
              <w:jc w:val="both"/>
              <w:rPr>
                <w:rFonts w:ascii="Times New Roman" w:hAnsi="Times New Roman"/>
                <w:noProof/>
                <w:spacing w:val="-6"/>
                <w:sz w:val="18"/>
                <w:lang w:val="sk-SK"/>
              </w:rPr>
            </w:pPr>
          </w:p>
        </w:tc>
        <w:tc>
          <w:tcPr>
            <w:tcW w:w="5553" w:type="dxa"/>
            <w:tcBorders>
              <w:top w:val="single" w:sz="4" w:space="0" w:color="auto"/>
              <w:left w:val="nil"/>
              <w:bottom w:val="single" w:sz="4" w:space="0" w:color="auto"/>
              <w:right w:val="single" w:sz="4" w:space="0" w:color="auto"/>
            </w:tcBorders>
            <w:shd w:val="clear" w:color="000000" w:fill="C6EFCE"/>
            <w:noWrap/>
            <w:vAlign w:val="center"/>
          </w:tcPr>
          <w:p w14:paraId="600406CD" w14:textId="77777777" w:rsidR="00302FC1" w:rsidRPr="00AB26B3" w:rsidRDefault="00302FC1">
            <w:pPr>
              <w:keepNext/>
              <w:spacing w:before="40" w:after="0" w:line="240" w:lineRule="auto"/>
              <w:jc w:val="both"/>
              <w:rPr>
                <w:rFonts w:ascii="Times New Roman" w:hAnsi="Times New Roman"/>
                <w:noProof/>
                <w:spacing w:val="-6"/>
                <w:sz w:val="18"/>
                <w:lang w:val="sk-SK"/>
              </w:rPr>
            </w:pPr>
          </w:p>
        </w:tc>
        <w:tc>
          <w:tcPr>
            <w:tcW w:w="1692" w:type="dxa"/>
            <w:tcBorders>
              <w:top w:val="single" w:sz="4" w:space="0" w:color="auto"/>
              <w:left w:val="nil"/>
              <w:bottom w:val="single" w:sz="4" w:space="0" w:color="auto"/>
              <w:right w:val="single" w:sz="4" w:space="0" w:color="auto"/>
            </w:tcBorders>
            <w:shd w:val="clear" w:color="000000" w:fill="C6EFCE"/>
            <w:noWrap/>
            <w:vAlign w:val="bottom"/>
          </w:tcPr>
          <w:p w14:paraId="1585C80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Suma splátky</w:t>
            </w:r>
          </w:p>
        </w:tc>
        <w:tc>
          <w:tcPr>
            <w:tcW w:w="1855" w:type="dxa"/>
            <w:tcBorders>
              <w:top w:val="single" w:sz="4" w:space="0" w:color="auto"/>
              <w:left w:val="nil"/>
              <w:bottom w:val="single" w:sz="4" w:space="0" w:color="auto"/>
              <w:right w:val="single" w:sz="4" w:space="0" w:color="auto"/>
            </w:tcBorders>
            <w:shd w:val="clear" w:color="000000" w:fill="C6EFCE"/>
            <w:noWrap/>
            <w:vAlign w:val="bottom"/>
          </w:tcPr>
          <w:p w14:paraId="4857A16A" w14:textId="55640160"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1 300 000 000 EUR</w:t>
            </w:r>
          </w:p>
        </w:tc>
      </w:tr>
    </w:tbl>
    <w:p w14:paraId="1D5049DE" w14:textId="77777777" w:rsidR="00302FC1" w:rsidRPr="00AB26B3" w:rsidRDefault="00D64F26">
      <w:pPr>
        <w:pStyle w:val="P68B1DB1-Normal55"/>
        <w:rPr>
          <w:bCs/>
          <w:noProof/>
          <w:spacing w:val="-6"/>
          <w:lang w:val="sk-SK"/>
        </w:rPr>
      </w:pPr>
      <w:r w:rsidRPr="00AB26B3">
        <w:rPr>
          <w:noProof/>
          <w:spacing w:val="-6"/>
          <w:lang w:val="sk-SK"/>
        </w:rPr>
        <w:br w:type="page"/>
      </w:r>
    </w:p>
    <w:p w14:paraId="2C2E8059"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24"/>
          <w:szCs w:val="26"/>
          <w:lang w:val="sk-SK"/>
        </w:rPr>
      </w:pPr>
    </w:p>
    <w:p w14:paraId="110E9774" w14:textId="620CE6C3" w:rsidR="00302FC1" w:rsidRPr="00AB26B3" w:rsidRDefault="00D64F26">
      <w:pPr>
        <w:pStyle w:val="P68B1DB1-ListParagraph32"/>
        <w:keepNext/>
        <w:numPr>
          <w:ilvl w:val="1"/>
          <w:numId w:val="22"/>
        </w:numPr>
        <w:spacing w:before="40" w:after="160" w:line="259" w:lineRule="auto"/>
        <w:ind w:left="426"/>
        <w:jc w:val="both"/>
        <w:rPr>
          <w:rFonts w:cs="Times New Roman"/>
          <w:noProof/>
          <w:spacing w:val="-6"/>
          <w:lang w:val="sk-SK"/>
        </w:rPr>
      </w:pPr>
      <w:r w:rsidRPr="00AB26B3">
        <w:rPr>
          <w:noProof/>
          <w:spacing w:val="-6"/>
          <w:lang w:val="sk-SK"/>
        </w:rPr>
        <w:t>Ôsma žiadosť</w:t>
      </w:r>
      <w:r w:rsidR="00AB26B3" w:rsidRPr="00AB26B3">
        <w:rPr>
          <w:noProof/>
          <w:spacing w:val="-6"/>
          <w:lang w:val="sk-SK"/>
        </w:rPr>
        <w:t xml:space="preserve"> o </w:t>
      </w:r>
      <w:r w:rsidRPr="00AB26B3">
        <w:rPr>
          <w:noProof/>
          <w:spacing w:val="-6"/>
          <w:lang w:val="sk-SK"/>
        </w:rPr>
        <w:t xml:space="preserve">platbu (úverová podpora): </w:t>
      </w:r>
    </w:p>
    <w:tbl>
      <w:tblPr>
        <w:tblW w:w="9923" w:type="dxa"/>
        <w:tblInd w:w="137" w:type="dxa"/>
        <w:tblLook w:val="04A0" w:firstRow="1" w:lastRow="0" w:firstColumn="1" w:lastColumn="0" w:noHBand="0" w:noVBand="1"/>
      </w:tblPr>
      <w:tblGrid>
        <w:gridCol w:w="964"/>
        <w:gridCol w:w="5131"/>
        <w:gridCol w:w="1701"/>
        <w:gridCol w:w="2127"/>
      </w:tblGrid>
      <w:tr w:rsidR="00302FC1" w:rsidRPr="00AB26B3" w14:paraId="5D2E39D0" w14:textId="77777777">
        <w:trPr>
          <w:trHeight w:val="964"/>
        </w:trPr>
        <w:tc>
          <w:tcPr>
            <w:tcW w:w="96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7D4EE37" w14:textId="4A317045" w:rsidR="00302FC1" w:rsidRPr="00AB26B3" w:rsidRDefault="00D64F26">
            <w:pPr>
              <w:pStyle w:val="P68B1DB1-Normal14"/>
              <w:keepNext/>
              <w:spacing w:before="40" w:after="0" w:line="259" w:lineRule="auto"/>
              <w:jc w:val="center"/>
              <w:rPr>
                <w:rFonts w:eastAsia="Times New Roman"/>
                <w:bCs/>
                <w:noProof/>
                <w:spacing w:val="-6"/>
                <w:lang w:val="sk-SK"/>
              </w:rPr>
            </w:pPr>
            <w:r w:rsidRPr="00AB26B3">
              <w:rPr>
                <w:noProof/>
                <w:spacing w:val="-6"/>
                <w:lang w:val="sk-SK"/>
              </w:rPr>
              <w:t xml:space="preserve">A nasl. </w:t>
            </w:r>
            <w:r w:rsidRPr="00AB26B3">
              <w:rPr>
                <w:noProof/>
                <w:spacing w:val="-6"/>
                <w:lang w:val="sk-SK"/>
              </w:rPr>
              <w:br/>
              <w:t>Nie.</w:t>
            </w:r>
          </w:p>
        </w:tc>
        <w:tc>
          <w:tcPr>
            <w:tcW w:w="513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EC3B336" w14:textId="369E5A89"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Súvisiace opatrenie (reforma alebo investícia)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4BEE293" w14:textId="5CAD4B1E"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Míľnik/cieľ</w:t>
            </w:r>
          </w:p>
        </w:tc>
        <w:tc>
          <w:tcPr>
            <w:tcW w:w="2127" w:type="dxa"/>
            <w:vMerge w:val="restart"/>
            <w:tcBorders>
              <w:top w:val="single" w:sz="4" w:space="0" w:color="auto"/>
              <w:left w:val="nil"/>
              <w:bottom w:val="single" w:sz="4" w:space="0" w:color="000000"/>
              <w:right w:val="single" w:sz="4" w:space="0" w:color="auto"/>
            </w:tcBorders>
            <w:shd w:val="clear" w:color="auto" w:fill="BDD7EE"/>
            <w:vAlign w:val="center"/>
            <w:hideMark/>
          </w:tcPr>
          <w:p w14:paraId="5A0717F0" w14:textId="2DF1F3F4" w:rsidR="00302FC1" w:rsidRPr="00AB26B3" w:rsidRDefault="00D64F26">
            <w:pPr>
              <w:pStyle w:val="P68B1DB1-Normal10"/>
              <w:keepNext/>
              <w:spacing w:before="40" w:after="0" w:line="259" w:lineRule="auto"/>
              <w:jc w:val="center"/>
              <w:rPr>
                <w:rFonts w:eastAsia="Times New Roman" w:cs="Times New Roman"/>
                <w:bCs/>
                <w:noProof/>
                <w:spacing w:val="-6"/>
                <w:szCs w:val="18"/>
                <w:lang w:val="sk-SK"/>
              </w:rPr>
            </w:pPr>
            <w:r w:rsidRPr="00AB26B3">
              <w:rPr>
                <w:noProof/>
                <w:spacing w:val="-6"/>
                <w:lang w:val="sk-SK"/>
              </w:rPr>
              <w:t>Názov</w:t>
            </w:r>
          </w:p>
        </w:tc>
      </w:tr>
      <w:tr w:rsidR="00302FC1" w:rsidRPr="00AB26B3" w14:paraId="46B1F245" w14:textId="77777777">
        <w:trPr>
          <w:trHeight w:val="418"/>
        </w:trPr>
        <w:tc>
          <w:tcPr>
            <w:tcW w:w="964" w:type="dxa"/>
            <w:vMerge/>
            <w:tcBorders>
              <w:top w:val="single" w:sz="4" w:space="0" w:color="auto"/>
              <w:left w:val="single" w:sz="4" w:space="0" w:color="auto"/>
              <w:bottom w:val="single" w:sz="4" w:space="0" w:color="000000"/>
              <w:right w:val="single" w:sz="4" w:space="0" w:color="auto"/>
            </w:tcBorders>
            <w:vAlign w:val="center"/>
            <w:hideMark/>
          </w:tcPr>
          <w:p w14:paraId="516CC26B"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5131" w:type="dxa"/>
            <w:vMerge/>
            <w:tcBorders>
              <w:top w:val="single" w:sz="4" w:space="0" w:color="auto"/>
              <w:left w:val="single" w:sz="4" w:space="0" w:color="auto"/>
              <w:bottom w:val="single" w:sz="4" w:space="0" w:color="000000"/>
              <w:right w:val="single" w:sz="4" w:space="0" w:color="auto"/>
            </w:tcBorders>
            <w:vAlign w:val="center"/>
            <w:hideMark/>
          </w:tcPr>
          <w:p w14:paraId="546B6540"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718350C"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c>
          <w:tcPr>
            <w:tcW w:w="2127" w:type="dxa"/>
            <w:vMerge/>
            <w:tcBorders>
              <w:top w:val="single" w:sz="4" w:space="0" w:color="auto"/>
              <w:left w:val="nil"/>
              <w:bottom w:val="single" w:sz="4" w:space="0" w:color="000000"/>
              <w:right w:val="single" w:sz="4" w:space="0" w:color="auto"/>
            </w:tcBorders>
            <w:vAlign w:val="center"/>
            <w:hideMark/>
          </w:tcPr>
          <w:p w14:paraId="36B7DD4F" w14:textId="77777777" w:rsidR="00302FC1" w:rsidRPr="00AB26B3" w:rsidRDefault="00302FC1">
            <w:pPr>
              <w:keepNext/>
              <w:spacing w:before="40" w:after="0" w:line="259" w:lineRule="auto"/>
              <w:jc w:val="both"/>
              <w:rPr>
                <w:rFonts w:ascii="Times New Roman" w:eastAsia="Times New Roman" w:hAnsi="Times New Roman" w:cs="Times New Roman"/>
                <w:bCs/>
                <w:noProof/>
                <w:spacing w:val="-6"/>
                <w:sz w:val="18"/>
                <w:szCs w:val="18"/>
                <w:lang w:val="sk-SK"/>
              </w:rPr>
            </w:pPr>
          </w:p>
        </w:tc>
      </w:tr>
      <w:tr w:rsidR="00302FC1" w:rsidRPr="00AB26B3" w14:paraId="3A6DF7D7"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3A8215A"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376</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54143CD5"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16401_Program modernizácie energetiky „Môj domov“</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276E87A1"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5655F391" w14:textId="13CF2120" w:rsidR="00302FC1" w:rsidRPr="00AB26B3" w:rsidRDefault="00D64F26">
            <w:pPr>
              <w:pStyle w:val="P68B1DB1-Normal54"/>
              <w:keepNext/>
              <w:spacing w:before="40" w:after="0" w:line="240" w:lineRule="auto"/>
              <w:jc w:val="both"/>
              <w:rPr>
                <w:bCs/>
                <w:noProof/>
                <w:spacing w:val="-6"/>
                <w:lang w:val="sk-SK"/>
              </w:rPr>
            </w:pPr>
            <w:r w:rsidRPr="00AB26B3">
              <w:rPr>
                <w:noProof/>
                <w:spacing w:val="-6"/>
                <w:lang w:val="sk-SK"/>
              </w:rPr>
              <w:t>Modernizácia môjho domova – právne dohody podpísané</w:t>
            </w:r>
            <w:r w:rsidR="00AB26B3" w:rsidRPr="00AB26B3">
              <w:rPr>
                <w:noProof/>
                <w:spacing w:val="-6"/>
                <w:lang w:val="sk-SK"/>
              </w:rPr>
              <w:t xml:space="preserve"> s </w:t>
            </w:r>
            <w:r w:rsidRPr="00AB26B3">
              <w:rPr>
                <w:noProof/>
                <w:spacing w:val="-6"/>
                <w:lang w:val="sk-SK"/>
              </w:rPr>
              <w:t>konečnými príjemcami – 100</w:t>
            </w:r>
            <w:r w:rsidR="00AB26B3" w:rsidRPr="00AB26B3">
              <w:rPr>
                <w:noProof/>
                <w:spacing w:val="-6"/>
                <w:lang w:val="sk-SK"/>
              </w:rPr>
              <w:t> %</w:t>
            </w:r>
          </w:p>
        </w:tc>
      </w:tr>
      <w:tr w:rsidR="00302FC1" w:rsidRPr="00AB26B3" w14:paraId="40FBF44F"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27C9B7B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377</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009AB630"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2 – 1.2. Renovujme – 16401_Program modernizácie energetiky „Môj domov“</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4A4C11D3"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6354A2F1" w14:textId="7895AD0B" w:rsidR="00302FC1" w:rsidRPr="00AB26B3" w:rsidRDefault="00D64F26">
            <w:pPr>
              <w:pStyle w:val="P68B1DB1-Normal54"/>
              <w:keepNext/>
              <w:spacing w:before="40" w:after="0" w:line="240" w:lineRule="auto"/>
              <w:jc w:val="both"/>
              <w:rPr>
                <w:bCs/>
                <w:noProof/>
                <w:spacing w:val="-6"/>
                <w:lang w:val="sk-SK"/>
              </w:rPr>
            </w:pPr>
            <w:r w:rsidRPr="00AB26B3">
              <w:rPr>
                <w:noProof/>
                <w:spacing w:val="-6"/>
                <w:lang w:val="sk-SK"/>
              </w:rPr>
              <w:t>Modernizácia môjho domova – ministerstvo financií dokončilo investíciu</w:t>
            </w:r>
          </w:p>
        </w:tc>
      </w:tr>
      <w:tr w:rsidR="00302FC1" w:rsidRPr="00AB26B3" w14:paraId="746008FB"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CD83EBD"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380</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2EEB8971" w14:textId="2814A6C8"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16400_Program cenovo dostupného bývania „Môj domov II“</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1D04710B"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Cieľ</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4E71874A" w14:textId="2032AF68" w:rsidR="00302FC1" w:rsidRPr="00AB26B3" w:rsidRDefault="00D64F26">
            <w:pPr>
              <w:pStyle w:val="P68B1DB1-Normal54"/>
              <w:keepNext/>
              <w:spacing w:before="40" w:after="0" w:line="240" w:lineRule="auto"/>
              <w:jc w:val="both"/>
              <w:rPr>
                <w:bCs/>
                <w:noProof/>
                <w:spacing w:val="-6"/>
                <w:lang w:val="sk-SK"/>
              </w:rPr>
            </w:pPr>
            <w:r w:rsidRPr="00AB26B3">
              <w:rPr>
                <w:noProof/>
                <w:spacing w:val="-6"/>
                <w:lang w:val="sk-SK"/>
              </w:rPr>
              <w:t>Môj domov II – Právne dohody podpísané</w:t>
            </w:r>
            <w:r w:rsidR="00AB26B3" w:rsidRPr="00AB26B3">
              <w:rPr>
                <w:noProof/>
                <w:spacing w:val="-6"/>
                <w:lang w:val="sk-SK"/>
              </w:rPr>
              <w:t xml:space="preserve"> s </w:t>
            </w:r>
            <w:r w:rsidRPr="00AB26B3">
              <w:rPr>
                <w:noProof/>
                <w:spacing w:val="-6"/>
                <w:lang w:val="sk-SK"/>
              </w:rPr>
              <w:t>konečnými príjemcami – 100</w:t>
            </w:r>
            <w:r w:rsidR="00AB26B3" w:rsidRPr="00AB26B3">
              <w:rPr>
                <w:noProof/>
                <w:spacing w:val="-6"/>
                <w:lang w:val="sk-SK"/>
              </w:rPr>
              <w:t> %</w:t>
            </w:r>
          </w:p>
        </w:tc>
      </w:tr>
      <w:tr w:rsidR="00302FC1" w:rsidRPr="00AB26B3" w14:paraId="39D26DEB"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234582FE" w14:textId="77777777" w:rsidR="00302FC1" w:rsidRPr="00AB26B3" w:rsidRDefault="00D64F26">
            <w:pPr>
              <w:pStyle w:val="P68B1DB1-Normal52"/>
              <w:keepNext/>
              <w:spacing w:before="40" w:after="0" w:line="240" w:lineRule="auto"/>
              <w:jc w:val="both"/>
              <w:rPr>
                <w:rFonts w:eastAsia="Times New Roman" w:cs="Times New Roman"/>
                <w:noProof/>
                <w:spacing w:val="-6"/>
                <w:szCs w:val="18"/>
                <w:lang w:val="sk-SK"/>
              </w:rPr>
            </w:pPr>
            <w:r w:rsidRPr="00AB26B3">
              <w:rPr>
                <w:noProof/>
                <w:spacing w:val="-6"/>
                <w:lang w:val="sk-SK"/>
              </w:rPr>
              <w:t>381</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3CBEFCDA" w14:textId="61DE6500"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11 – 3.4. Zlepšiť prístup</w:t>
            </w:r>
            <w:r w:rsidR="00AB26B3" w:rsidRPr="00AB26B3">
              <w:rPr>
                <w:noProof/>
                <w:spacing w:val="-6"/>
                <w:lang w:val="sk-SK"/>
              </w:rPr>
              <w:t xml:space="preserve"> k </w:t>
            </w:r>
            <w:r w:rsidRPr="00AB26B3">
              <w:rPr>
                <w:noProof/>
                <w:spacing w:val="-6"/>
                <w:lang w:val="sk-SK"/>
              </w:rPr>
              <w:t>účinným</w:t>
            </w:r>
            <w:r w:rsidR="00AB26B3" w:rsidRPr="00AB26B3">
              <w:rPr>
                <w:noProof/>
                <w:spacing w:val="-6"/>
                <w:lang w:val="sk-SK"/>
              </w:rPr>
              <w:t xml:space="preserve"> a </w:t>
            </w:r>
            <w:r w:rsidRPr="00AB26B3">
              <w:rPr>
                <w:noProof/>
                <w:spacing w:val="-6"/>
                <w:lang w:val="sk-SK"/>
              </w:rPr>
              <w:t>inkluzívnym sociálnym politikám – 16400_Program cenovo dostupného bývania „Môj domov II“</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05F701FA" w14:textId="77777777" w:rsidR="00302FC1" w:rsidRPr="00AB26B3" w:rsidRDefault="00D64F26">
            <w:pPr>
              <w:pStyle w:val="P68B1DB1-Normal52"/>
              <w:keepNext/>
              <w:spacing w:before="40" w:after="0" w:line="240" w:lineRule="auto"/>
              <w:jc w:val="both"/>
              <w:rPr>
                <w:rFonts w:eastAsia="Times New Roman" w:cs="Times New Roman"/>
                <w:bCs/>
                <w:noProof/>
                <w:spacing w:val="-6"/>
                <w:szCs w:val="18"/>
                <w:lang w:val="sk-SK"/>
              </w:rPr>
            </w:pPr>
            <w:r w:rsidRPr="00AB26B3">
              <w:rPr>
                <w:noProof/>
                <w:spacing w:val="-6"/>
                <w:lang w:val="sk-SK"/>
              </w:rPr>
              <w:t>Míľnik</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701391EF" w14:textId="77777777" w:rsidR="00302FC1" w:rsidRPr="00AB26B3" w:rsidRDefault="00D64F26">
            <w:pPr>
              <w:pStyle w:val="P68B1DB1-Normal54"/>
              <w:keepNext/>
              <w:spacing w:before="40" w:after="0" w:line="240" w:lineRule="auto"/>
              <w:jc w:val="both"/>
              <w:rPr>
                <w:bCs/>
                <w:noProof/>
                <w:spacing w:val="-6"/>
                <w:lang w:val="sk-SK"/>
              </w:rPr>
            </w:pPr>
            <w:r w:rsidRPr="00AB26B3">
              <w:rPr>
                <w:noProof/>
                <w:spacing w:val="-6"/>
                <w:lang w:val="sk-SK"/>
              </w:rPr>
              <w:t>Môj domov II – Ministerstvo financií dokončilo investíciu</w:t>
            </w:r>
          </w:p>
        </w:tc>
      </w:tr>
      <w:tr w:rsidR="00302FC1" w:rsidRPr="00AB26B3" w14:paraId="1BA7949A"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58CFA005"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328</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303ABCE1" w14:textId="416103D4"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586CCE24"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612D2314" w14:textId="20732BA3"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13268 mil. EUR</w:t>
            </w:r>
            <w:r w:rsidR="00AB26B3" w:rsidRPr="00AB26B3">
              <w:rPr>
                <w:noProof/>
                <w:spacing w:val="-6"/>
                <w:lang w:val="sk-SK"/>
              </w:rPr>
              <w:t xml:space="preserve"> z </w:t>
            </w:r>
            <w:r w:rsidRPr="00AB26B3">
              <w:rPr>
                <w:noProof/>
                <w:spacing w:val="-6"/>
                <w:lang w:val="sk-SK"/>
              </w:rPr>
              <w:t>finančných prostriedkov finančných inštitúcií podpísaných</w:t>
            </w:r>
            <w:r w:rsidR="00AB26B3" w:rsidRPr="00AB26B3">
              <w:rPr>
                <w:noProof/>
                <w:spacing w:val="-6"/>
                <w:lang w:val="sk-SK"/>
              </w:rPr>
              <w:t xml:space="preserve"> s </w:t>
            </w:r>
            <w:r w:rsidRPr="00AB26B3">
              <w:rPr>
                <w:noProof/>
                <w:spacing w:val="-6"/>
                <w:lang w:val="sk-SK"/>
              </w:rPr>
              <w:t>konečnými príjemcami</w:t>
            </w:r>
          </w:p>
        </w:tc>
      </w:tr>
      <w:tr w:rsidR="00302FC1" w:rsidRPr="00AB26B3" w14:paraId="4AA1E063"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06FCA5BA"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328a</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256E7284" w14:textId="61FCD3E6"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192BF04C"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Míľnik</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45AE4BE1"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Úverový nástroj – Ministerstvo financií dokončilo investíciu</w:t>
            </w:r>
          </w:p>
        </w:tc>
      </w:tr>
      <w:tr w:rsidR="00302FC1" w:rsidRPr="00AB26B3" w14:paraId="4F37E347"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3F2A1426"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330a</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4C53DC02" w14:textId="19BE724B"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úverový nástroj 16980_RRP</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482C0946"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Cieľ</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5C6CA662" w14:textId="46E2872F"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Schválenie operácií</w:t>
            </w:r>
            <w:r w:rsidR="00AB26B3" w:rsidRPr="00AB26B3">
              <w:rPr>
                <w:noProof/>
                <w:spacing w:val="-6"/>
                <w:lang w:val="sk-SK"/>
              </w:rPr>
              <w:t xml:space="preserve"> v </w:t>
            </w:r>
            <w:r w:rsidRPr="00AB26B3">
              <w:rPr>
                <w:noProof/>
                <w:spacing w:val="-6"/>
                <w:lang w:val="sk-SK"/>
              </w:rPr>
              <w:t>rámci Programu InvestEU vo výške 800 EUR</w:t>
            </w:r>
          </w:p>
        </w:tc>
      </w:tr>
      <w:tr w:rsidR="00302FC1" w:rsidRPr="00AB26B3" w14:paraId="0530AFD7"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2E17074A" w14:textId="18C66584"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382</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447F7C52" w14:textId="176458B3"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Zlepšiť konkurencieschopnosť</w:t>
            </w:r>
            <w:r w:rsidR="00AB26B3" w:rsidRPr="00AB26B3">
              <w:rPr>
                <w:noProof/>
                <w:spacing w:val="-6"/>
                <w:lang w:val="sk-SK"/>
              </w:rPr>
              <w:t xml:space="preserve"> a </w:t>
            </w:r>
            <w:r w:rsidRPr="00AB26B3">
              <w:rPr>
                <w:noProof/>
                <w:spacing w:val="-6"/>
                <w:lang w:val="sk-SK"/>
              </w:rPr>
              <w:t>podporiť súkromné investície</w:t>
            </w:r>
            <w:r w:rsidR="00AB26B3" w:rsidRPr="00AB26B3">
              <w:rPr>
                <w:noProof/>
                <w:spacing w:val="-6"/>
                <w:lang w:val="sk-SK"/>
              </w:rPr>
              <w:t xml:space="preserve"> a </w:t>
            </w:r>
            <w:r w:rsidRPr="00AB26B3">
              <w:rPr>
                <w:noProof/>
                <w:spacing w:val="-6"/>
                <w:lang w:val="sk-SK"/>
              </w:rPr>
              <w:t>vývoz – 16403 Kapitálová injekcia do Helénskej rozvojovej banky</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69D138D8"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1A7E9541"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Investičná politika</w:t>
            </w:r>
          </w:p>
        </w:tc>
      </w:tr>
      <w:tr w:rsidR="00302FC1" w:rsidRPr="00AB26B3" w14:paraId="3FD3DA28"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37D67AB0" w14:textId="7A2E11BC"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383</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3A2D7287" w14:textId="66AC3F41"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Zlepšiť konkurencieschopnosť</w:t>
            </w:r>
            <w:r w:rsidR="00AB26B3" w:rsidRPr="00AB26B3">
              <w:rPr>
                <w:noProof/>
                <w:spacing w:val="-6"/>
                <w:lang w:val="sk-SK"/>
              </w:rPr>
              <w:t xml:space="preserve"> a </w:t>
            </w:r>
            <w:r w:rsidRPr="00AB26B3">
              <w:rPr>
                <w:noProof/>
                <w:spacing w:val="-6"/>
                <w:lang w:val="sk-SK"/>
              </w:rPr>
              <w:t>podporiť súkromné investície</w:t>
            </w:r>
            <w:r w:rsidR="00AB26B3" w:rsidRPr="00AB26B3">
              <w:rPr>
                <w:noProof/>
                <w:spacing w:val="-6"/>
                <w:lang w:val="sk-SK"/>
              </w:rPr>
              <w:t xml:space="preserve"> a </w:t>
            </w:r>
            <w:r w:rsidRPr="00AB26B3">
              <w:rPr>
                <w:noProof/>
                <w:spacing w:val="-6"/>
                <w:lang w:val="sk-SK"/>
              </w:rPr>
              <w:t>vývoz – 16403 Kapitálová injekcia do Helénskej rozvojovej banky</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7C8F6E8B"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2590D1F8" w14:textId="60DBFCA1"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Kapitálová dotácia</w:t>
            </w:r>
          </w:p>
        </w:tc>
      </w:tr>
      <w:tr w:rsidR="00302FC1" w:rsidRPr="00AB26B3" w14:paraId="118412B6"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3D64F9D0" w14:textId="21028C1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384</w:t>
            </w:r>
          </w:p>
        </w:tc>
        <w:tc>
          <w:tcPr>
            <w:tcW w:w="5131" w:type="dxa"/>
            <w:tcBorders>
              <w:top w:val="single" w:sz="4" w:space="0" w:color="auto"/>
              <w:left w:val="nil"/>
              <w:bottom w:val="single" w:sz="4" w:space="0" w:color="auto"/>
              <w:right w:val="single" w:sz="4" w:space="0" w:color="auto"/>
            </w:tcBorders>
            <w:shd w:val="clear" w:color="000000" w:fill="C6EFCE"/>
            <w:noWrap/>
            <w:vAlign w:val="center"/>
          </w:tcPr>
          <w:p w14:paraId="65D06CC3" w14:textId="184FDC83"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4.7. Zlepšenie konkurencieschopnosti</w:t>
            </w:r>
            <w:r w:rsidR="00AB26B3" w:rsidRPr="00AB26B3">
              <w:rPr>
                <w:noProof/>
                <w:spacing w:val="-6"/>
                <w:lang w:val="sk-SK"/>
              </w:rPr>
              <w:t xml:space="preserve"> a </w:t>
            </w:r>
            <w:r w:rsidRPr="00AB26B3">
              <w:rPr>
                <w:noProof/>
                <w:spacing w:val="-6"/>
                <w:lang w:val="sk-SK"/>
              </w:rPr>
              <w:t>podpora súkromných investícií</w:t>
            </w:r>
            <w:r w:rsidR="00AB26B3" w:rsidRPr="00AB26B3">
              <w:rPr>
                <w:noProof/>
                <w:spacing w:val="-6"/>
                <w:lang w:val="sk-SK"/>
              </w:rPr>
              <w:t xml:space="preserve"> a </w:t>
            </w:r>
            <w:r w:rsidRPr="00AB26B3">
              <w:rPr>
                <w:noProof/>
                <w:spacing w:val="-6"/>
                <w:lang w:val="sk-SK"/>
              </w:rPr>
              <w:t>vývozu – posúdenie Helénskej rozvojovej banky</w:t>
            </w:r>
            <w:r w:rsidR="00AB26B3" w:rsidRPr="00AB26B3">
              <w:rPr>
                <w:noProof/>
                <w:spacing w:val="-6"/>
                <w:lang w:val="sk-SK"/>
              </w:rPr>
              <w:t xml:space="preserve"> v </w:t>
            </w:r>
            <w:r w:rsidRPr="00AB26B3">
              <w:rPr>
                <w:noProof/>
                <w:spacing w:val="-6"/>
                <w:lang w:val="sk-SK"/>
              </w:rPr>
              <w:t>rámci piliera 16405</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07E96AA2" w14:textId="77777777"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Míľnik</w:t>
            </w:r>
          </w:p>
        </w:tc>
        <w:tc>
          <w:tcPr>
            <w:tcW w:w="2127" w:type="dxa"/>
            <w:tcBorders>
              <w:top w:val="single" w:sz="4" w:space="0" w:color="auto"/>
              <w:left w:val="nil"/>
              <w:bottom w:val="single" w:sz="4" w:space="0" w:color="auto"/>
              <w:right w:val="single" w:sz="4" w:space="0" w:color="auto"/>
            </w:tcBorders>
            <w:shd w:val="clear" w:color="000000" w:fill="C6EFCE"/>
            <w:noWrap/>
            <w:vAlign w:val="center"/>
          </w:tcPr>
          <w:p w14:paraId="20AC6AA5" w14:textId="1566A33C"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Helénska rozvojová banka je hodnotená</w:t>
            </w:r>
            <w:r w:rsidR="00AB26B3" w:rsidRPr="00AB26B3">
              <w:rPr>
                <w:noProof/>
                <w:spacing w:val="-6"/>
                <w:lang w:val="sk-SK"/>
              </w:rPr>
              <w:t xml:space="preserve"> z </w:t>
            </w:r>
            <w:r w:rsidRPr="00AB26B3">
              <w:rPr>
                <w:noProof/>
                <w:spacing w:val="-6"/>
                <w:lang w:val="sk-SK"/>
              </w:rPr>
              <w:t>hľadiska pilierov</w:t>
            </w:r>
          </w:p>
        </w:tc>
      </w:tr>
      <w:tr w:rsidR="00302FC1" w:rsidRPr="00AB26B3" w14:paraId="12324800" w14:textId="77777777">
        <w:trPr>
          <w:trHeight w:val="320"/>
        </w:trPr>
        <w:tc>
          <w:tcPr>
            <w:tcW w:w="96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2CE90A2" w14:textId="77777777" w:rsidR="00302FC1" w:rsidRPr="00AB26B3" w:rsidRDefault="00302FC1">
            <w:pPr>
              <w:keepNext/>
              <w:spacing w:before="40" w:after="0" w:line="240" w:lineRule="auto"/>
              <w:jc w:val="both"/>
              <w:rPr>
                <w:rFonts w:ascii="Times New Roman" w:eastAsia="Times New Roman" w:hAnsi="Times New Roman" w:cs="Times New Roman"/>
                <w:noProof/>
                <w:spacing w:val="-6"/>
                <w:sz w:val="18"/>
                <w:szCs w:val="18"/>
                <w:lang w:val="sk-SK"/>
              </w:rPr>
            </w:pPr>
          </w:p>
        </w:tc>
        <w:tc>
          <w:tcPr>
            <w:tcW w:w="5131" w:type="dxa"/>
            <w:tcBorders>
              <w:top w:val="single" w:sz="4" w:space="0" w:color="auto"/>
              <w:left w:val="nil"/>
              <w:bottom w:val="single" w:sz="4" w:space="0" w:color="auto"/>
              <w:right w:val="single" w:sz="4" w:space="0" w:color="auto"/>
            </w:tcBorders>
            <w:shd w:val="clear" w:color="auto" w:fill="C6EFCE"/>
            <w:noWrap/>
            <w:vAlign w:val="bottom"/>
          </w:tcPr>
          <w:p w14:paraId="198F5964" w14:textId="77777777" w:rsidR="00302FC1" w:rsidRPr="00AB26B3" w:rsidRDefault="00302FC1">
            <w:pPr>
              <w:keepNext/>
              <w:spacing w:before="40" w:after="0" w:line="240" w:lineRule="auto"/>
              <w:jc w:val="both"/>
              <w:rPr>
                <w:rFonts w:ascii="Times New Roman" w:hAnsi="Times New Roman" w:cs="Times New Roman"/>
                <w:noProof/>
                <w:spacing w:val="-6"/>
                <w:sz w:val="18"/>
                <w:szCs w:val="18"/>
                <w:lang w:val="sk-SK"/>
              </w:rPr>
            </w:pPr>
          </w:p>
        </w:tc>
        <w:tc>
          <w:tcPr>
            <w:tcW w:w="1701" w:type="dxa"/>
            <w:tcBorders>
              <w:top w:val="single" w:sz="4" w:space="0" w:color="auto"/>
              <w:left w:val="nil"/>
              <w:bottom w:val="single" w:sz="4" w:space="0" w:color="auto"/>
              <w:right w:val="single" w:sz="4" w:space="0" w:color="auto"/>
            </w:tcBorders>
            <w:shd w:val="clear" w:color="auto" w:fill="C6EFCE"/>
            <w:noWrap/>
            <w:vAlign w:val="bottom"/>
          </w:tcPr>
          <w:p w14:paraId="2B651032" w14:textId="77777777" w:rsidR="00302FC1" w:rsidRPr="00AB26B3" w:rsidRDefault="00D64F26">
            <w:pPr>
              <w:pStyle w:val="P68B1DB1-Normal52"/>
              <w:keepNext/>
              <w:spacing w:before="40" w:after="0" w:line="240" w:lineRule="auto"/>
              <w:jc w:val="both"/>
              <w:rPr>
                <w:rFonts w:cs="Times New Roman"/>
                <w:noProof/>
                <w:spacing w:val="-6"/>
                <w:szCs w:val="18"/>
                <w:lang w:val="sk-SK"/>
              </w:rPr>
            </w:pPr>
            <w:r w:rsidRPr="00AB26B3">
              <w:rPr>
                <w:noProof/>
                <w:spacing w:val="-6"/>
                <w:lang w:val="sk-SK"/>
              </w:rPr>
              <w:t>Suma splátky</w:t>
            </w:r>
          </w:p>
        </w:tc>
        <w:tc>
          <w:tcPr>
            <w:tcW w:w="2127" w:type="dxa"/>
            <w:tcBorders>
              <w:top w:val="single" w:sz="4" w:space="0" w:color="auto"/>
              <w:left w:val="nil"/>
              <w:bottom w:val="single" w:sz="4" w:space="0" w:color="auto"/>
              <w:right w:val="single" w:sz="4" w:space="0" w:color="auto"/>
            </w:tcBorders>
            <w:shd w:val="clear" w:color="auto" w:fill="C6EFCE"/>
            <w:noWrap/>
            <w:vAlign w:val="bottom"/>
          </w:tcPr>
          <w:p w14:paraId="5F2B10D9" w14:textId="16FC986E" w:rsidR="00302FC1" w:rsidRPr="00AB26B3" w:rsidRDefault="00D64F26">
            <w:pPr>
              <w:pStyle w:val="P68B1DB1-Normal52"/>
              <w:keepNext/>
              <w:spacing w:before="40" w:after="0" w:line="240" w:lineRule="auto"/>
              <w:jc w:val="both"/>
              <w:rPr>
                <w:noProof/>
                <w:spacing w:val="-6"/>
                <w:lang w:val="sk-SK"/>
              </w:rPr>
            </w:pPr>
            <w:r w:rsidRPr="00AB26B3">
              <w:rPr>
                <w:noProof/>
                <w:spacing w:val="-6"/>
                <w:lang w:val="sk-SK"/>
              </w:rPr>
              <w:t>5 269 255 117 EUR</w:t>
            </w:r>
          </w:p>
        </w:tc>
      </w:tr>
    </w:tbl>
    <w:p w14:paraId="2E00E272" w14:textId="77777777" w:rsidR="00302FC1" w:rsidRPr="00AB26B3" w:rsidRDefault="00D64F26">
      <w:pPr>
        <w:rPr>
          <w:rFonts w:ascii="Times New Roman" w:hAnsi="Times New Roman" w:cs="Times New Roman"/>
          <w:b/>
          <w:bCs/>
          <w:noProof/>
          <w:spacing w:val="-6"/>
          <w:sz w:val="24"/>
          <w:lang w:val="sk-SK"/>
        </w:rPr>
      </w:pPr>
      <w:r w:rsidRPr="00AB26B3">
        <w:rPr>
          <w:rFonts w:ascii="Times New Roman" w:hAnsi="Times New Roman"/>
          <w:noProof/>
          <w:spacing w:val="-6"/>
          <w:lang w:val="sk-SK"/>
        </w:rPr>
        <w:br w:type="page"/>
      </w:r>
    </w:p>
    <w:p w14:paraId="798DACBC" w14:textId="77777777" w:rsidR="00AB26B3" w:rsidRPr="00AB26B3" w:rsidRDefault="00D64F26">
      <w:pPr>
        <w:pStyle w:val="P68B1DB1-Normal2"/>
        <w:keepNext/>
        <w:tabs>
          <w:tab w:val="num" w:pos="850"/>
        </w:tabs>
        <w:spacing w:before="120" w:after="120" w:line="259" w:lineRule="auto"/>
        <w:ind w:left="360"/>
        <w:jc w:val="both"/>
        <w:outlineLvl w:val="0"/>
        <w:rPr>
          <w:noProof/>
          <w:spacing w:val="-6"/>
          <w:lang w:val="sk-SK"/>
        </w:rPr>
      </w:pPr>
      <w:r w:rsidRPr="00AB26B3">
        <w:rPr>
          <w:noProof/>
          <w:spacing w:val="-6"/>
          <w:lang w:val="sk-SK"/>
        </w:rPr>
        <w:t>ODDIEL 3: DODATOČNÉ OPATRENIA</w:t>
      </w:r>
    </w:p>
    <w:p w14:paraId="4824697F" w14:textId="0BA5FAA8" w:rsidR="00302FC1" w:rsidRPr="00AB26B3" w:rsidRDefault="00D64F26">
      <w:pPr>
        <w:pStyle w:val="P68B1DB1-Normal16"/>
        <w:numPr>
          <w:ilvl w:val="6"/>
          <w:numId w:val="0"/>
        </w:numPr>
        <w:spacing w:before="120" w:after="120" w:line="240" w:lineRule="auto"/>
        <w:jc w:val="both"/>
        <w:rPr>
          <w:rFonts w:eastAsia="Times New Roman" w:cs="Times New Roman"/>
          <w:noProof/>
          <w:spacing w:val="-6"/>
          <w:lang w:val="sk-SK"/>
        </w:rPr>
      </w:pPr>
      <w:r w:rsidRPr="00AB26B3">
        <w:rPr>
          <w:noProof/>
          <w:spacing w:val="-6"/>
          <w:lang w:val="sk-SK"/>
        </w:rPr>
        <w:t>Opatrenia na monitorovanie</w:t>
      </w:r>
      <w:r w:rsidR="00AB26B3" w:rsidRPr="00AB26B3">
        <w:rPr>
          <w:noProof/>
          <w:spacing w:val="-6"/>
          <w:lang w:val="sk-SK"/>
        </w:rPr>
        <w:t xml:space="preserve"> a </w:t>
      </w:r>
      <w:r w:rsidRPr="00AB26B3">
        <w:rPr>
          <w:noProof/>
          <w:spacing w:val="-6"/>
          <w:lang w:val="sk-SK"/>
        </w:rPr>
        <w:t>realizáciu plánu podpory obnovy</w:t>
      </w:r>
      <w:r w:rsidR="00AB26B3" w:rsidRPr="00AB26B3">
        <w:rPr>
          <w:noProof/>
          <w:spacing w:val="-6"/>
          <w:lang w:val="sk-SK"/>
        </w:rPr>
        <w:t xml:space="preserve"> a </w:t>
      </w:r>
      <w:r w:rsidRPr="00AB26B3">
        <w:rPr>
          <w:noProof/>
          <w:spacing w:val="-6"/>
          <w:lang w:val="sk-SK"/>
        </w:rPr>
        <w:t>odolnosti</w:t>
      </w:r>
    </w:p>
    <w:p w14:paraId="76C9BE03" w14:textId="691648F2" w:rsidR="00AB26B3" w:rsidRPr="00AB26B3" w:rsidRDefault="00D64F26">
      <w:pPr>
        <w:pStyle w:val="P68B1DB1-Normal5"/>
        <w:spacing w:before="120" w:after="120" w:line="240" w:lineRule="auto"/>
        <w:jc w:val="both"/>
        <w:rPr>
          <w:noProof/>
          <w:spacing w:val="-6"/>
          <w:lang w:val="sk-SK"/>
        </w:rPr>
      </w:pPr>
      <w:r w:rsidRPr="00AB26B3">
        <w:rPr>
          <w:noProof/>
          <w:spacing w:val="-6"/>
          <w:lang w:val="sk-SK"/>
        </w:rPr>
        <w:t>Monitorovanie</w:t>
      </w:r>
      <w:r w:rsidR="00AB26B3" w:rsidRPr="00AB26B3">
        <w:rPr>
          <w:noProof/>
          <w:spacing w:val="-6"/>
          <w:lang w:val="sk-SK"/>
        </w:rPr>
        <w:t xml:space="preserve"> a </w:t>
      </w:r>
      <w:r w:rsidRPr="00AB26B3">
        <w:rPr>
          <w:noProof/>
          <w:spacing w:val="-6"/>
          <w:lang w:val="sk-SK"/>
        </w:rPr>
        <w:t>realizácia plánu obnovy</w:t>
      </w:r>
      <w:r w:rsidR="00AB26B3" w:rsidRPr="00AB26B3">
        <w:rPr>
          <w:noProof/>
          <w:spacing w:val="-6"/>
          <w:lang w:val="sk-SK"/>
        </w:rPr>
        <w:t xml:space="preserve"> a </w:t>
      </w:r>
      <w:r w:rsidRPr="00AB26B3">
        <w:rPr>
          <w:noProof/>
          <w:spacing w:val="-6"/>
          <w:lang w:val="sk-SK"/>
        </w:rPr>
        <w:t>odolnosti Grécka sa uskutočňujú</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týmito opatreniami</w:t>
      </w:r>
      <w:r w:rsidR="00AB26B3" w:rsidRPr="00AB26B3">
        <w:rPr>
          <w:noProof/>
          <w:spacing w:val="-6"/>
          <w:lang w:val="sk-SK"/>
        </w:rPr>
        <w:t>.</w:t>
      </w:r>
    </w:p>
    <w:p w14:paraId="0C09905C" w14:textId="7637A695"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Hlavným orgánom zodpovedným za koordináciu vykonávania</w:t>
      </w:r>
      <w:r w:rsidR="00AB26B3" w:rsidRPr="00AB26B3">
        <w:rPr>
          <w:noProof/>
          <w:spacing w:val="-6"/>
          <w:lang w:val="sk-SK"/>
        </w:rPr>
        <w:t xml:space="preserve"> a </w:t>
      </w:r>
      <w:r w:rsidRPr="00AB26B3">
        <w:rPr>
          <w:noProof/>
          <w:spacing w:val="-6"/>
          <w:lang w:val="sk-SK"/>
        </w:rPr>
        <w:t>monitorovania plánu obnovy</w:t>
      </w:r>
      <w:r w:rsidR="00AB26B3" w:rsidRPr="00AB26B3">
        <w:rPr>
          <w:noProof/>
          <w:spacing w:val="-6"/>
          <w:lang w:val="sk-SK"/>
        </w:rPr>
        <w:t xml:space="preserve"> a </w:t>
      </w:r>
      <w:r w:rsidRPr="00AB26B3">
        <w:rPr>
          <w:noProof/>
          <w:spacing w:val="-6"/>
          <w:lang w:val="sk-SK"/>
        </w:rPr>
        <w:t>odolnosti bude Koordinačná agentúra pre Mechanizmus na podporu obnovy</w:t>
      </w:r>
      <w:r w:rsidR="00AB26B3" w:rsidRPr="00AB26B3">
        <w:rPr>
          <w:noProof/>
          <w:spacing w:val="-6"/>
          <w:lang w:val="sk-SK"/>
        </w:rPr>
        <w:t xml:space="preserve"> a </w:t>
      </w:r>
      <w:r w:rsidRPr="00AB26B3">
        <w:rPr>
          <w:noProof/>
          <w:spacing w:val="-6"/>
          <w:lang w:val="sk-SK"/>
        </w:rPr>
        <w:t xml:space="preserve">odolnosti, nezávislá osobitná verejná služba ministerstva financií zriadená zákonom </w:t>
      </w:r>
      <w:r w:rsidR="00AB26B3" w:rsidRPr="00AB26B3">
        <w:rPr>
          <w:noProof/>
          <w:spacing w:val="-6"/>
          <w:lang w:val="sk-SK"/>
        </w:rPr>
        <w:t>č. </w:t>
      </w:r>
      <w:r w:rsidRPr="00AB26B3">
        <w:rPr>
          <w:noProof/>
          <w:spacing w:val="-6"/>
          <w:lang w:val="sk-SK"/>
        </w:rPr>
        <w:t>4738/2020. Koordinačná agentúra pre Mechanizmus na podporu obnovy</w:t>
      </w:r>
      <w:r w:rsidR="00AB26B3" w:rsidRPr="00AB26B3">
        <w:rPr>
          <w:noProof/>
          <w:spacing w:val="-6"/>
          <w:lang w:val="sk-SK"/>
        </w:rPr>
        <w:t xml:space="preserve"> a </w:t>
      </w:r>
      <w:r w:rsidRPr="00AB26B3">
        <w:rPr>
          <w:noProof/>
          <w:spacing w:val="-6"/>
          <w:lang w:val="sk-SK"/>
        </w:rPr>
        <w:t>odolnosti je takisto zodpovedným orgánom, ktorý overuje, či boli dosiahnuté stanovené míľniky</w:t>
      </w:r>
      <w:r w:rsidR="00AB26B3" w:rsidRPr="00AB26B3">
        <w:rPr>
          <w:noProof/>
          <w:spacing w:val="-6"/>
          <w:lang w:val="sk-SK"/>
        </w:rPr>
        <w:t xml:space="preserve"> a </w:t>
      </w:r>
      <w:r w:rsidRPr="00AB26B3">
        <w:rPr>
          <w:noProof/>
          <w:spacing w:val="-6"/>
          <w:lang w:val="sk-SK"/>
        </w:rPr>
        <w:t>ciele plánu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 xml:space="preserve"> a </w:t>
      </w:r>
      <w:r w:rsidRPr="00AB26B3">
        <w:rPr>
          <w:noProof/>
          <w:spacing w:val="-6"/>
          <w:lang w:val="sk-SK"/>
        </w:rPr>
        <w:t>pôsobí aj ako (jediný) kontakt medzi Európskou komisiou</w:t>
      </w:r>
      <w:r w:rsidR="00AB26B3" w:rsidRPr="00AB26B3">
        <w:rPr>
          <w:noProof/>
          <w:spacing w:val="-6"/>
          <w:lang w:val="sk-SK"/>
        </w:rPr>
        <w:t xml:space="preserve"> a </w:t>
      </w:r>
      <w:r w:rsidRPr="00AB26B3">
        <w:rPr>
          <w:noProof/>
          <w:spacing w:val="-6"/>
          <w:lang w:val="sk-SK"/>
        </w:rPr>
        <w:t>gréckymi orgánmi. Konkrétne jeho úlohy zahŕňajú aktívne monitorovanie pokroku projektov na základe dohodnutých míľnikov</w:t>
      </w:r>
      <w:r w:rsidR="00AB26B3" w:rsidRPr="00AB26B3">
        <w:rPr>
          <w:noProof/>
          <w:spacing w:val="-6"/>
          <w:lang w:val="sk-SK"/>
        </w:rPr>
        <w:t xml:space="preserve"> a </w:t>
      </w:r>
      <w:r w:rsidRPr="00AB26B3">
        <w:rPr>
          <w:noProof/>
          <w:spacing w:val="-6"/>
          <w:lang w:val="sk-SK"/>
        </w:rPr>
        <w:t>cieľov</w:t>
      </w:r>
      <w:r w:rsidR="00AB26B3" w:rsidRPr="00AB26B3">
        <w:rPr>
          <w:noProof/>
          <w:spacing w:val="-6"/>
          <w:lang w:val="sk-SK"/>
        </w:rPr>
        <w:t xml:space="preserve"> a </w:t>
      </w:r>
      <w:r w:rsidRPr="00AB26B3">
        <w:rPr>
          <w:noProof/>
          <w:spacing w:val="-6"/>
          <w:lang w:val="sk-SK"/>
        </w:rPr>
        <w:t>predkladanie žiadostí</w:t>
      </w:r>
      <w:r w:rsidR="00AB26B3" w:rsidRPr="00AB26B3">
        <w:rPr>
          <w:noProof/>
          <w:spacing w:val="-6"/>
          <w:lang w:val="sk-SK"/>
        </w:rPr>
        <w:t xml:space="preserve"> o </w:t>
      </w:r>
      <w:r w:rsidRPr="00AB26B3">
        <w:rPr>
          <w:noProof/>
          <w:spacing w:val="-6"/>
          <w:lang w:val="sk-SK"/>
        </w:rPr>
        <w:t>platbu Európskej komisii po overení ich dokončenia.</w:t>
      </w:r>
      <w:r w:rsidR="00AB26B3" w:rsidRPr="00AB26B3">
        <w:rPr>
          <w:noProof/>
          <w:spacing w:val="-6"/>
          <w:lang w:val="sk-SK"/>
        </w:rPr>
        <w:t xml:space="preserve"> K </w:t>
      </w:r>
      <w:r w:rsidRPr="00AB26B3">
        <w:rPr>
          <w:noProof/>
          <w:spacing w:val="-6"/>
          <w:lang w:val="sk-SK"/>
        </w:rPr>
        <w:t>správe sa pripojí vyhlásenie riadiaceho subjektu</w:t>
      </w:r>
      <w:r w:rsidR="00AB26B3" w:rsidRPr="00AB26B3">
        <w:rPr>
          <w:noProof/>
          <w:spacing w:val="-6"/>
          <w:lang w:val="sk-SK"/>
        </w:rPr>
        <w:t xml:space="preserve"> o </w:t>
      </w:r>
      <w:r w:rsidRPr="00AB26B3">
        <w:rPr>
          <w:noProof/>
          <w:spacing w:val="-6"/>
          <w:lang w:val="sk-SK"/>
        </w:rPr>
        <w:t>tom, že finančné prostriedky boli použité na plánované účely</w:t>
      </w:r>
      <w:r w:rsidR="00AB26B3" w:rsidRPr="00AB26B3">
        <w:rPr>
          <w:noProof/>
          <w:spacing w:val="-6"/>
          <w:lang w:val="sk-SK"/>
        </w:rPr>
        <w:t xml:space="preserve"> a v </w:t>
      </w:r>
      <w:r w:rsidRPr="00AB26B3">
        <w:rPr>
          <w:noProof/>
          <w:spacing w:val="-6"/>
          <w:lang w:val="sk-SK"/>
        </w:rPr>
        <w:t>súlade so zásadou správneho finančného riadenia, ako aj zhrnutie vykonaných auditov vrátane zistených nedostatkov</w:t>
      </w:r>
      <w:r w:rsidR="00AB26B3" w:rsidRPr="00AB26B3">
        <w:rPr>
          <w:noProof/>
          <w:spacing w:val="-6"/>
          <w:lang w:val="sk-SK"/>
        </w:rPr>
        <w:t xml:space="preserve"> a </w:t>
      </w:r>
      <w:r w:rsidRPr="00AB26B3">
        <w:rPr>
          <w:noProof/>
          <w:spacing w:val="-6"/>
          <w:lang w:val="sk-SK"/>
        </w:rPr>
        <w:t>akýchkoľvek prijatých nápravných opatrení.</w:t>
      </w:r>
    </w:p>
    <w:p w14:paraId="64DBAE06" w14:textId="3945E761" w:rsidR="00AB26B3" w:rsidRPr="00AB26B3" w:rsidRDefault="00D64F26">
      <w:pPr>
        <w:pStyle w:val="P68B1DB1-Normal5"/>
        <w:spacing w:before="120" w:after="120" w:line="240" w:lineRule="auto"/>
        <w:jc w:val="both"/>
        <w:rPr>
          <w:noProof/>
          <w:spacing w:val="-6"/>
          <w:lang w:val="sk-SK"/>
        </w:rPr>
      </w:pPr>
      <w:r w:rsidRPr="00AB26B3">
        <w:rPr>
          <w:noProof/>
          <w:spacing w:val="-6"/>
          <w:lang w:val="sk-SK"/>
        </w:rPr>
        <w:t>Celková zodpovednosť za vykonávanie každého konkrétneho opatrenia patrí do právomoci príslušného ministerstva, ktorého útvary budú podporovať monitorovanie pokroku projektov</w:t>
      </w:r>
      <w:r w:rsidR="00AB26B3" w:rsidRPr="00AB26B3">
        <w:rPr>
          <w:noProof/>
          <w:spacing w:val="-6"/>
          <w:lang w:val="sk-SK"/>
        </w:rPr>
        <w:t xml:space="preserve"> a </w:t>
      </w:r>
      <w:r w:rsidRPr="00AB26B3">
        <w:rPr>
          <w:noProof/>
          <w:spacing w:val="-6"/>
          <w:lang w:val="sk-SK"/>
        </w:rPr>
        <w:t>udržiavať úzku spoluprácu</w:t>
      </w:r>
      <w:r w:rsidR="00AB26B3" w:rsidRPr="00AB26B3">
        <w:rPr>
          <w:noProof/>
          <w:spacing w:val="-6"/>
          <w:lang w:val="sk-SK"/>
        </w:rPr>
        <w:t xml:space="preserve"> s </w:t>
      </w:r>
      <w:r w:rsidRPr="00AB26B3">
        <w:rPr>
          <w:noProof/>
          <w:spacing w:val="-6"/>
          <w:lang w:val="sk-SK"/>
        </w:rPr>
        <w:t>koordinačnou agentúrou Mechanizmu na podporu obnovy</w:t>
      </w:r>
      <w:r w:rsidR="00AB26B3" w:rsidRPr="00AB26B3">
        <w:rPr>
          <w:noProof/>
          <w:spacing w:val="-6"/>
          <w:lang w:val="sk-SK"/>
        </w:rPr>
        <w:t xml:space="preserve"> a </w:t>
      </w:r>
      <w:r w:rsidRPr="00AB26B3">
        <w:rPr>
          <w:noProof/>
          <w:spacing w:val="-6"/>
          <w:lang w:val="sk-SK"/>
        </w:rPr>
        <w:t>odolnosti</w:t>
      </w:r>
      <w:r w:rsidR="00AB26B3" w:rsidRPr="00AB26B3">
        <w:rPr>
          <w:noProof/>
          <w:spacing w:val="-6"/>
          <w:lang w:val="sk-SK"/>
        </w:rPr>
        <w:t>.</w:t>
      </w:r>
    </w:p>
    <w:p w14:paraId="2F12E63C" w14:textId="7F519108" w:rsidR="00AB26B3" w:rsidRPr="00AB26B3" w:rsidRDefault="00D64F26">
      <w:pPr>
        <w:pStyle w:val="P68B1DB1-Normal5"/>
        <w:spacing w:before="120" w:after="120" w:line="240" w:lineRule="auto"/>
        <w:jc w:val="both"/>
        <w:rPr>
          <w:noProof/>
          <w:spacing w:val="-6"/>
          <w:lang w:val="sk-SK"/>
        </w:rPr>
      </w:pPr>
      <w:r w:rsidRPr="00AB26B3">
        <w:rPr>
          <w:noProof/>
          <w:spacing w:val="-6"/>
          <w:lang w:val="sk-SK"/>
        </w:rPr>
        <w:t>Všetky opatrenia</w:t>
      </w:r>
      <w:r w:rsidR="00AB26B3" w:rsidRPr="00AB26B3">
        <w:rPr>
          <w:noProof/>
          <w:spacing w:val="-6"/>
          <w:lang w:val="sk-SK"/>
        </w:rPr>
        <w:t xml:space="preserve"> v </w:t>
      </w:r>
      <w:r w:rsidRPr="00AB26B3">
        <w:rPr>
          <w:noProof/>
          <w:spacing w:val="-6"/>
          <w:lang w:val="sk-SK"/>
        </w:rPr>
        <w:t>pláne vykonávajú vnútroštátne orgány (ďalej len „vykonávacie orgány“) vymenované príslušným ministerstvom</w:t>
      </w:r>
      <w:r w:rsidR="00AB26B3" w:rsidRPr="00AB26B3">
        <w:rPr>
          <w:noProof/>
          <w:spacing w:val="-6"/>
          <w:lang w:val="sk-SK"/>
        </w:rPr>
        <w:t xml:space="preserve"> a </w:t>
      </w:r>
      <w:r w:rsidRPr="00AB26B3">
        <w:rPr>
          <w:noProof/>
          <w:spacing w:val="-6"/>
          <w:lang w:val="sk-SK"/>
        </w:rPr>
        <w:t>sú zodpovedné za dosiahnutie dohodnutých míľnikov</w:t>
      </w:r>
      <w:r w:rsidR="00AB26B3" w:rsidRPr="00AB26B3">
        <w:rPr>
          <w:noProof/>
          <w:spacing w:val="-6"/>
          <w:lang w:val="sk-SK"/>
        </w:rPr>
        <w:t xml:space="preserve"> a </w:t>
      </w:r>
      <w:r w:rsidRPr="00AB26B3">
        <w:rPr>
          <w:noProof/>
          <w:spacing w:val="-6"/>
          <w:lang w:val="sk-SK"/>
        </w:rPr>
        <w:t>cieľov, ako aj za nahlasovanie všetkých údajov</w:t>
      </w:r>
      <w:r w:rsidR="00AB26B3" w:rsidRPr="00AB26B3">
        <w:rPr>
          <w:noProof/>
          <w:spacing w:val="-6"/>
          <w:lang w:val="sk-SK"/>
        </w:rPr>
        <w:t xml:space="preserve"> a </w:t>
      </w:r>
      <w:r w:rsidRPr="00AB26B3">
        <w:rPr>
          <w:noProof/>
          <w:spacing w:val="-6"/>
          <w:lang w:val="sk-SK"/>
        </w:rPr>
        <w:t>dokumentácie Koordinačnej agentúre pre Mechanizmus na podporu obnovy</w:t>
      </w:r>
      <w:r w:rsidR="00AB26B3" w:rsidRPr="00AB26B3">
        <w:rPr>
          <w:noProof/>
          <w:spacing w:val="-6"/>
          <w:lang w:val="sk-SK"/>
        </w:rPr>
        <w:t xml:space="preserve"> a </w:t>
      </w:r>
      <w:r w:rsidRPr="00AB26B3">
        <w:rPr>
          <w:noProof/>
          <w:spacing w:val="-6"/>
          <w:lang w:val="sk-SK"/>
        </w:rPr>
        <w:t>odolnosti prostredníctvom informačného systému riadenia, ktorý sa zriadi</w:t>
      </w:r>
      <w:r w:rsidR="00AB26B3" w:rsidRPr="00AB26B3">
        <w:rPr>
          <w:noProof/>
          <w:spacing w:val="-6"/>
          <w:lang w:val="sk-SK"/>
        </w:rPr>
        <w:t>.</w:t>
      </w:r>
    </w:p>
    <w:p w14:paraId="7CB054FF" w14:textId="5AB00DEB"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Výbor pre finančný audit (EDEL, ktorý je súčasťou generálneho sekretariátu pre fiškálnu politiku (štátny hlavný účtovný úrad) ministerstva financií) zabezpečuje dodržiavanie zásad riadneho finančného hospodárenia.</w:t>
      </w:r>
    </w:p>
    <w:p w14:paraId="13B9BD2A" w14:textId="77777777" w:rsidR="00302FC1" w:rsidRPr="00AB26B3" w:rsidRDefault="00302FC1">
      <w:pPr>
        <w:spacing w:before="120" w:after="120" w:line="240" w:lineRule="auto"/>
        <w:jc w:val="both"/>
        <w:rPr>
          <w:rFonts w:ascii="Times New Roman" w:hAnsi="Times New Roman" w:cs="Times New Roman"/>
          <w:noProof/>
          <w:spacing w:val="-6"/>
          <w:sz w:val="24"/>
          <w:lang w:val="sk-SK"/>
        </w:rPr>
      </w:pPr>
    </w:p>
    <w:p w14:paraId="579AB7EB" w14:textId="6D7AF7F6" w:rsidR="00302FC1" w:rsidRPr="00AB26B3" w:rsidRDefault="00D64F26">
      <w:pPr>
        <w:pStyle w:val="P68B1DB1-Normal16"/>
        <w:numPr>
          <w:ilvl w:val="6"/>
          <w:numId w:val="0"/>
        </w:numPr>
        <w:spacing w:before="120" w:after="120" w:line="240" w:lineRule="auto"/>
        <w:jc w:val="both"/>
        <w:rPr>
          <w:rFonts w:cs="Times New Roman"/>
          <w:noProof/>
          <w:spacing w:val="-6"/>
          <w:lang w:val="sk-SK"/>
        </w:rPr>
      </w:pPr>
      <w:r w:rsidRPr="00AB26B3">
        <w:rPr>
          <w:noProof/>
          <w:spacing w:val="-6"/>
          <w:lang w:val="sk-SK"/>
        </w:rPr>
        <w:t>Opatrenia na poskytnutie plného prístupu</w:t>
      </w:r>
      <w:r w:rsidR="00AB26B3" w:rsidRPr="00AB26B3">
        <w:rPr>
          <w:noProof/>
          <w:spacing w:val="-6"/>
          <w:lang w:val="sk-SK"/>
        </w:rPr>
        <w:t xml:space="preserve"> k </w:t>
      </w:r>
      <w:r w:rsidRPr="00AB26B3">
        <w:rPr>
          <w:noProof/>
          <w:spacing w:val="-6"/>
          <w:lang w:val="sk-SK"/>
        </w:rPr>
        <w:t>podkladovým údajom Komisii</w:t>
      </w:r>
    </w:p>
    <w:p w14:paraId="658E8D08" w14:textId="68935A9E"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S cieľom poskytnúť Komisii úplný prístup</w:t>
      </w:r>
      <w:r w:rsidR="00AB26B3" w:rsidRPr="00AB26B3">
        <w:rPr>
          <w:noProof/>
          <w:spacing w:val="-6"/>
          <w:lang w:val="sk-SK"/>
        </w:rPr>
        <w:t xml:space="preserve"> k </w:t>
      </w:r>
      <w:r w:rsidRPr="00AB26B3">
        <w:rPr>
          <w:noProof/>
          <w:spacing w:val="-6"/>
          <w:lang w:val="sk-SK"/>
        </w:rPr>
        <w:t>príslušným podkladovým údajom Grécko zavedie tieto opatrenia:</w:t>
      </w:r>
    </w:p>
    <w:p w14:paraId="28C563DE" w14:textId="62DEFF76" w:rsidR="00302FC1" w:rsidRPr="00AB26B3" w:rsidRDefault="00D64F26">
      <w:pPr>
        <w:pStyle w:val="P68B1DB1-Normal5"/>
        <w:spacing w:before="120" w:after="120" w:line="240" w:lineRule="auto"/>
        <w:jc w:val="both"/>
        <w:rPr>
          <w:rFonts w:cs="Times New Roman"/>
          <w:noProof/>
          <w:spacing w:val="-6"/>
          <w:lang w:val="sk-SK"/>
        </w:rPr>
      </w:pPr>
      <w:r w:rsidRPr="00AB26B3">
        <w:rPr>
          <w:noProof/>
          <w:spacing w:val="-6"/>
          <w:lang w:val="sk-SK"/>
        </w:rPr>
        <w:t>Koordinačná agentúra pre Mechanizmus na podporu obnovy</w:t>
      </w:r>
      <w:r w:rsidR="00AB26B3" w:rsidRPr="00AB26B3">
        <w:rPr>
          <w:noProof/>
          <w:spacing w:val="-6"/>
          <w:lang w:val="sk-SK"/>
        </w:rPr>
        <w:t xml:space="preserve"> a </w:t>
      </w:r>
      <w:r w:rsidRPr="00AB26B3">
        <w:rPr>
          <w:noProof/>
          <w:spacing w:val="-6"/>
          <w:lang w:val="sk-SK"/>
        </w:rPr>
        <w:t>odolnosti ako ústredný koordinačný orgán pre plán obnovy</w:t>
      </w:r>
      <w:r w:rsidR="00AB26B3" w:rsidRPr="00AB26B3">
        <w:rPr>
          <w:noProof/>
          <w:spacing w:val="-6"/>
          <w:lang w:val="sk-SK"/>
        </w:rPr>
        <w:t xml:space="preserve"> a </w:t>
      </w:r>
      <w:r w:rsidRPr="00AB26B3">
        <w:rPr>
          <w:noProof/>
          <w:spacing w:val="-6"/>
          <w:lang w:val="sk-SK"/>
        </w:rPr>
        <w:t>odolnosti Grécka</w:t>
      </w:r>
      <w:r w:rsidR="00AB26B3" w:rsidRPr="00AB26B3">
        <w:rPr>
          <w:noProof/>
          <w:spacing w:val="-6"/>
          <w:lang w:val="sk-SK"/>
        </w:rPr>
        <w:t xml:space="preserve"> a </w:t>
      </w:r>
      <w:r w:rsidRPr="00AB26B3">
        <w:rPr>
          <w:noProof/>
          <w:spacing w:val="-6"/>
          <w:lang w:val="sk-SK"/>
        </w:rPr>
        <w:t>jeho vykonávanie je zodpovedná za celkovú koordináciu</w:t>
      </w:r>
      <w:r w:rsidR="00AB26B3" w:rsidRPr="00AB26B3">
        <w:rPr>
          <w:noProof/>
          <w:spacing w:val="-6"/>
          <w:lang w:val="sk-SK"/>
        </w:rPr>
        <w:t xml:space="preserve"> a </w:t>
      </w:r>
      <w:r w:rsidRPr="00AB26B3">
        <w:rPr>
          <w:noProof/>
          <w:spacing w:val="-6"/>
          <w:lang w:val="sk-SK"/>
        </w:rPr>
        <w:t>monitorovanie plánu. Pôsobí najmä ako koordinačný orgán na monitorovanie pokroku pri dosahovaní míľnikov</w:t>
      </w:r>
      <w:r w:rsidR="00AB26B3" w:rsidRPr="00AB26B3">
        <w:rPr>
          <w:noProof/>
          <w:spacing w:val="-6"/>
          <w:lang w:val="sk-SK"/>
        </w:rPr>
        <w:t xml:space="preserve"> a </w:t>
      </w:r>
      <w:r w:rsidRPr="00AB26B3">
        <w:rPr>
          <w:noProof/>
          <w:spacing w:val="-6"/>
          <w:lang w:val="sk-SK"/>
        </w:rPr>
        <w:t>cieľov, na monitorovanie</w:t>
      </w:r>
      <w:r w:rsidR="00AB26B3" w:rsidRPr="00AB26B3">
        <w:rPr>
          <w:noProof/>
          <w:spacing w:val="-6"/>
          <w:lang w:val="sk-SK"/>
        </w:rPr>
        <w:t xml:space="preserve"> a v </w:t>
      </w:r>
      <w:r w:rsidRPr="00AB26B3">
        <w:rPr>
          <w:noProof/>
          <w:spacing w:val="-6"/>
          <w:lang w:val="sk-SK"/>
        </w:rPr>
        <w:t>prípade potreby na vykonávanie kontrolných</w:t>
      </w:r>
      <w:r w:rsidR="00AB26B3" w:rsidRPr="00AB26B3">
        <w:rPr>
          <w:noProof/>
          <w:spacing w:val="-6"/>
          <w:lang w:val="sk-SK"/>
        </w:rPr>
        <w:t xml:space="preserve"> a </w:t>
      </w:r>
      <w:r w:rsidRPr="00AB26B3">
        <w:rPr>
          <w:noProof/>
          <w:spacing w:val="-6"/>
          <w:lang w:val="sk-SK"/>
        </w:rPr>
        <w:t>audítorských činností</w:t>
      </w:r>
      <w:r w:rsidR="00AB26B3" w:rsidRPr="00AB26B3">
        <w:rPr>
          <w:noProof/>
          <w:spacing w:val="-6"/>
          <w:lang w:val="sk-SK"/>
        </w:rPr>
        <w:t xml:space="preserve"> a </w:t>
      </w:r>
      <w:r w:rsidRPr="00AB26B3">
        <w:rPr>
          <w:noProof/>
          <w:spacing w:val="-6"/>
          <w:lang w:val="sk-SK"/>
        </w:rPr>
        <w:t>na poskytovanie správ</w:t>
      </w:r>
      <w:r w:rsidR="00AB26B3" w:rsidRPr="00AB26B3">
        <w:rPr>
          <w:noProof/>
          <w:spacing w:val="-6"/>
          <w:lang w:val="sk-SK"/>
        </w:rPr>
        <w:t xml:space="preserve"> a </w:t>
      </w:r>
      <w:r w:rsidRPr="00AB26B3">
        <w:rPr>
          <w:noProof/>
          <w:spacing w:val="-6"/>
          <w:lang w:val="sk-SK"/>
        </w:rPr>
        <w:t>žiadostí</w:t>
      </w:r>
      <w:r w:rsidR="00AB26B3" w:rsidRPr="00AB26B3">
        <w:rPr>
          <w:noProof/>
          <w:spacing w:val="-6"/>
          <w:lang w:val="sk-SK"/>
        </w:rPr>
        <w:t xml:space="preserve"> o </w:t>
      </w:r>
      <w:r w:rsidRPr="00AB26B3">
        <w:rPr>
          <w:noProof/>
          <w:spacing w:val="-6"/>
          <w:lang w:val="sk-SK"/>
        </w:rPr>
        <w:t>platby. Koordinuje podávanie správ</w:t>
      </w:r>
      <w:r w:rsidR="00AB26B3" w:rsidRPr="00AB26B3">
        <w:rPr>
          <w:noProof/>
          <w:spacing w:val="-6"/>
          <w:lang w:val="sk-SK"/>
        </w:rPr>
        <w:t xml:space="preserve"> o </w:t>
      </w:r>
      <w:r w:rsidRPr="00AB26B3">
        <w:rPr>
          <w:noProof/>
          <w:spacing w:val="-6"/>
          <w:lang w:val="sk-SK"/>
        </w:rPr>
        <w:t>míľnikoch</w:t>
      </w:r>
      <w:r w:rsidR="00AB26B3" w:rsidRPr="00AB26B3">
        <w:rPr>
          <w:noProof/>
          <w:spacing w:val="-6"/>
          <w:lang w:val="sk-SK"/>
        </w:rPr>
        <w:t xml:space="preserve"> a </w:t>
      </w:r>
      <w:r w:rsidRPr="00AB26B3">
        <w:rPr>
          <w:noProof/>
          <w:spacing w:val="-6"/>
          <w:lang w:val="sk-SK"/>
        </w:rPr>
        <w:t>cieľoch, príslušných ukazovateľoch, ale aj kvalitatívnych finančných informáciách</w:t>
      </w:r>
      <w:r w:rsidR="00AB26B3" w:rsidRPr="00AB26B3">
        <w:rPr>
          <w:noProof/>
          <w:spacing w:val="-6"/>
          <w:lang w:val="sk-SK"/>
        </w:rPr>
        <w:t xml:space="preserve"> a </w:t>
      </w:r>
      <w:r w:rsidRPr="00AB26B3">
        <w:rPr>
          <w:noProof/>
          <w:spacing w:val="-6"/>
          <w:lang w:val="sk-SK"/>
        </w:rPr>
        <w:t>iných údajoch, napríklad</w:t>
      </w:r>
      <w:r w:rsidR="00AB26B3" w:rsidRPr="00AB26B3">
        <w:rPr>
          <w:noProof/>
          <w:spacing w:val="-6"/>
          <w:lang w:val="sk-SK"/>
        </w:rPr>
        <w:t xml:space="preserve"> o </w:t>
      </w:r>
      <w:r w:rsidRPr="00AB26B3">
        <w:rPr>
          <w:noProof/>
          <w:spacing w:val="-6"/>
          <w:lang w:val="sk-SK"/>
        </w:rPr>
        <w:t>konečných príjemcoch. Kódovanie údajov sa uskutočňuje vo všetkých vykonávacích orgánoch, ktoré sú povinné oznamovať požadované údaje Koordinačnej agentúre pre Mechanizmus na podporu obnovy</w:t>
      </w:r>
      <w:r w:rsidR="00AB26B3" w:rsidRPr="00AB26B3">
        <w:rPr>
          <w:noProof/>
          <w:spacing w:val="-6"/>
          <w:lang w:val="sk-SK"/>
        </w:rPr>
        <w:t xml:space="preserve"> a </w:t>
      </w:r>
      <w:r w:rsidRPr="00AB26B3">
        <w:rPr>
          <w:noProof/>
          <w:spacing w:val="-6"/>
          <w:lang w:val="sk-SK"/>
        </w:rPr>
        <w:t>odolnosti prostredníctvom informačného systému riadenia.</w:t>
      </w:r>
    </w:p>
    <w:p w14:paraId="3207E262" w14:textId="2A3A20BA" w:rsidR="00AB26B3" w:rsidRPr="00AB26B3" w:rsidRDefault="00D64F26">
      <w:pPr>
        <w:pStyle w:val="P68B1DB1-Normal5"/>
        <w:spacing w:before="120" w:after="120" w:line="240" w:lineRule="auto"/>
        <w:jc w:val="both"/>
        <w:rPr>
          <w:noProof/>
          <w:spacing w:val="-6"/>
          <w:lang w:val="sk-SK"/>
        </w:rPr>
      </w:pPr>
      <w:r w:rsidRPr="00AB26B3">
        <w:rPr>
          <w:noProof/>
          <w:spacing w:val="-6"/>
          <w:lang w:val="sk-SK"/>
        </w:rPr>
        <w:t>V súlade</w:t>
      </w:r>
      <w:r w:rsidR="00AB26B3" w:rsidRPr="00AB26B3">
        <w:rPr>
          <w:noProof/>
          <w:spacing w:val="-6"/>
          <w:lang w:val="sk-SK"/>
        </w:rPr>
        <w:t xml:space="preserve"> s </w:t>
      </w:r>
      <w:r w:rsidRPr="00AB26B3">
        <w:rPr>
          <w:noProof/>
          <w:spacing w:val="-6"/>
          <w:lang w:val="sk-SK"/>
        </w:rPr>
        <w:t>článkom 24 ods. 2 nariadenia (EÚ) 2021/241 Grécko po splnení príslušných dohodnutých míľnikov</w:t>
      </w:r>
      <w:r w:rsidR="00AB26B3" w:rsidRPr="00AB26B3">
        <w:rPr>
          <w:noProof/>
          <w:spacing w:val="-6"/>
          <w:lang w:val="sk-SK"/>
        </w:rPr>
        <w:t xml:space="preserve"> a </w:t>
      </w:r>
      <w:r w:rsidRPr="00AB26B3">
        <w:rPr>
          <w:noProof/>
          <w:spacing w:val="-6"/>
          <w:lang w:val="sk-SK"/>
        </w:rPr>
        <w:t>cieľov uvedených</w:t>
      </w:r>
      <w:r w:rsidR="00AB26B3" w:rsidRPr="00AB26B3">
        <w:rPr>
          <w:noProof/>
          <w:spacing w:val="-6"/>
          <w:lang w:val="sk-SK"/>
        </w:rPr>
        <w:t xml:space="preserve"> v </w:t>
      </w:r>
      <w:r w:rsidRPr="00AB26B3">
        <w:rPr>
          <w:noProof/>
          <w:spacing w:val="-6"/>
          <w:lang w:val="sk-SK"/>
        </w:rPr>
        <w:t>oddiele 2.1 tejto prílohy predloží Komisii riadne odôvodnenú žiadosť</w:t>
      </w:r>
      <w:r w:rsidR="00AB26B3" w:rsidRPr="00AB26B3">
        <w:rPr>
          <w:noProof/>
          <w:spacing w:val="-6"/>
          <w:lang w:val="sk-SK"/>
        </w:rPr>
        <w:t xml:space="preserve"> o </w:t>
      </w:r>
      <w:r w:rsidRPr="00AB26B3">
        <w:rPr>
          <w:noProof/>
          <w:spacing w:val="-6"/>
          <w:lang w:val="sk-SK"/>
        </w:rPr>
        <w:t>platbu finančného príspevku</w:t>
      </w:r>
      <w:r w:rsidR="00AB26B3" w:rsidRPr="00AB26B3">
        <w:rPr>
          <w:noProof/>
          <w:spacing w:val="-6"/>
          <w:lang w:val="sk-SK"/>
        </w:rPr>
        <w:t xml:space="preserve"> a </w:t>
      </w:r>
      <w:r w:rsidRPr="00AB26B3">
        <w:rPr>
          <w:noProof/>
          <w:spacing w:val="-6"/>
          <w:lang w:val="sk-SK"/>
        </w:rPr>
        <w:t>prípadne úveru. Grécko zabezpečí, aby Komisia mala na požiadanie úplný prístup</w:t>
      </w:r>
      <w:r w:rsidR="00AB26B3" w:rsidRPr="00AB26B3">
        <w:rPr>
          <w:noProof/>
          <w:spacing w:val="-6"/>
          <w:lang w:val="sk-SK"/>
        </w:rPr>
        <w:t xml:space="preserve"> k </w:t>
      </w:r>
      <w:r w:rsidRPr="00AB26B3">
        <w:rPr>
          <w:noProof/>
          <w:spacing w:val="-6"/>
          <w:lang w:val="sk-SK"/>
        </w:rPr>
        <w:t>príslušným podkladovým údajom, ktoré podporujú riadne odôvodnenie žiadosti</w:t>
      </w:r>
      <w:r w:rsidR="00AB26B3" w:rsidRPr="00AB26B3">
        <w:rPr>
          <w:noProof/>
          <w:spacing w:val="-6"/>
          <w:lang w:val="sk-SK"/>
        </w:rPr>
        <w:t xml:space="preserve"> o </w:t>
      </w:r>
      <w:r w:rsidRPr="00AB26B3">
        <w:rPr>
          <w:noProof/>
          <w:spacing w:val="-6"/>
          <w:lang w:val="sk-SK"/>
        </w:rPr>
        <w:t>platbu,</w:t>
      </w:r>
      <w:r w:rsidR="00AB26B3" w:rsidRPr="00AB26B3">
        <w:rPr>
          <w:noProof/>
          <w:spacing w:val="-6"/>
          <w:lang w:val="sk-SK"/>
        </w:rPr>
        <w:t xml:space="preserve"> a </w:t>
      </w:r>
      <w:r w:rsidRPr="00AB26B3">
        <w:rPr>
          <w:noProof/>
          <w:spacing w:val="-6"/>
          <w:lang w:val="sk-SK"/>
        </w:rPr>
        <w:t>to na účely posúdenia žiadosti</w:t>
      </w:r>
      <w:r w:rsidR="00AB26B3" w:rsidRPr="00AB26B3">
        <w:rPr>
          <w:noProof/>
          <w:spacing w:val="-6"/>
          <w:lang w:val="sk-SK"/>
        </w:rPr>
        <w:t xml:space="preserve"> o </w:t>
      </w:r>
      <w:r w:rsidRPr="00AB26B3">
        <w:rPr>
          <w:noProof/>
          <w:spacing w:val="-6"/>
          <w:lang w:val="sk-SK"/>
        </w:rPr>
        <w:t>platbu</w:t>
      </w:r>
      <w:r w:rsidR="00AB26B3" w:rsidRPr="00AB26B3">
        <w:rPr>
          <w:noProof/>
          <w:spacing w:val="-6"/>
          <w:lang w:val="sk-SK"/>
        </w:rPr>
        <w:t xml:space="preserve"> v </w:t>
      </w:r>
      <w:r w:rsidRPr="00AB26B3">
        <w:rPr>
          <w:noProof/>
          <w:spacing w:val="-6"/>
          <w:lang w:val="sk-SK"/>
        </w:rPr>
        <w:t>súlade</w:t>
      </w:r>
      <w:r w:rsidR="00AB26B3" w:rsidRPr="00AB26B3">
        <w:rPr>
          <w:noProof/>
          <w:spacing w:val="-6"/>
          <w:lang w:val="sk-SK"/>
        </w:rPr>
        <w:t xml:space="preserve"> s </w:t>
      </w:r>
      <w:r w:rsidRPr="00AB26B3">
        <w:rPr>
          <w:noProof/>
          <w:spacing w:val="-6"/>
          <w:lang w:val="sk-SK"/>
        </w:rPr>
        <w:t>článkom 24 ods. 3 nariadenia (EÚ) 2021/241, ako aj na účely auditu</w:t>
      </w:r>
      <w:r w:rsidR="00AB26B3" w:rsidRPr="00AB26B3">
        <w:rPr>
          <w:noProof/>
          <w:spacing w:val="-6"/>
          <w:lang w:val="sk-SK"/>
        </w:rPr>
        <w:t xml:space="preserve"> a </w:t>
      </w:r>
      <w:r w:rsidRPr="00AB26B3">
        <w:rPr>
          <w:noProof/>
          <w:spacing w:val="-6"/>
          <w:lang w:val="sk-SK"/>
        </w:rPr>
        <w:t>kontroly</w:t>
      </w:r>
      <w:r w:rsidR="00AB26B3" w:rsidRPr="00AB26B3">
        <w:rPr>
          <w:noProof/>
          <w:spacing w:val="-6"/>
          <w:lang w:val="sk-SK"/>
        </w:rPr>
        <w:t>.</w:t>
      </w:r>
    </w:p>
    <w:p w14:paraId="6C499AE2" w14:textId="03175AED" w:rsidR="00302FC1" w:rsidRPr="00AB26B3" w:rsidRDefault="00302FC1">
      <w:pPr>
        <w:rPr>
          <w:rFonts w:ascii="Times New Roman" w:hAnsi="Times New Roman"/>
          <w:noProof/>
          <w:spacing w:val="-6"/>
          <w:lang w:val="sk-SK"/>
        </w:rPr>
      </w:pPr>
    </w:p>
    <w:p w14:paraId="50B2EAF8" w14:textId="77777777" w:rsidR="00302FC1" w:rsidRPr="00AB26B3" w:rsidRDefault="00302FC1">
      <w:pPr>
        <w:rPr>
          <w:rFonts w:ascii="Times New Roman" w:hAnsi="Times New Roman"/>
          <w:noProof/>
          <w:spacing w:val="-6"/>
          <w:lang w:val="sk-SK"/>
        </w:rPr>
      </w:pPr>
    </w:p>
    <w:sectPr w:rsidR="00302FC1" w:rsidRPr="00AB26B3">
      <w:headerReference w:type="default" r:id="rId390"/>
      <w:footerReference w:type="default" r:id="rId3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8B16" w14:textId="77777777" w:rsidR="00374ABD" w:rsidRDefault="00374ABD">
      <w:pPr>
        <w:spacing w:after="0" w:line="240" w:lineRule="auto"/>
      </w:pPr>
      <w:r>
        <w:separator/>
      </w:r>
    </w:p>
  </w:endnote>
  <w:endnote w:type="continuationSeparator" w:id="0">
    <w:p w14:paraId="76EFE539" w14:textId="77777777" w:rsidR="00374ABD" w:rsidRDefault="00374ABD">
      <w:pPr>
        <w:spacing w:after="0" w:line="240" w:lineRule="auto"/>
      </w:pPr>
      <w:r>
        <w:continuationSeparator/>
      </w:r>
    </w:p>
  </w:endnote>
  <w:endnote w:type="continuationNotice" w:id="1">
    <w:p w14:paraId="7C74FC33" w14:textId="77777777" w:rsidR="00374ABD" w:rsidRDefault="00374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EC Square Sans Pro">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04373" w14:textId="66E9D32A" w:rsidR="00842005" w:rsidRPr="00842005" w:rsidRDefault="00842005" w:rsidP="00842005">
    <w:pPr>
      <w:pStyle w:val="FooterCoverPage"/>
      <w:rPr>
        <w:rFonts w:ascii="Arial" w:hAnsi="Arial" w:cs="Arial"/>
        <w:b/>
        <w:sz w:val="48"/>
      </w:rPr>
    </w:pPr>
    <w:r w:rsidRPr="00842005">
      <w:rPr>
        <w:rFonts w:ascii="Arial" w:hAnsi="Arial" w:cs="Arial"/>
        <w:b/>
        <w:sz w:val="48"/>
      </w:rPr>
      <w:t>SK</w:t>
    </w:r>
    <w:r w:rsidRPr="00842005">
      <w:rPr>
        <w:rFonts w:ascii="Arial" w:hAnsi="Arial" w:cs="Arial"/>
        <w:b/>
        <w:sz w:val="48"/>
      </w:rPr>
      <w:tab/>
    </w:r>
    <w:r w:rsidRPr="00842005">
      <w:rPr>
        <w:rFonts w:ascii="Arial" w:hAnsi="Arial" w:cs="Arial"/>
        <w:b/>
        <w:sz w:val="48"/>
      </w:rPr>
      <w:tab/>
    </w:r>
    <w:r w:rsidRPr="00842005">
      <w:tab/>
    </w:r>
    <w:r w:rsidRPr="00842005">
      <w:rPr>
        <w:rFonts w:ascii="Arial" w:hAnsi="Arial" w:cs="Arial"/>
        <w:b/>
        <w:sz w:val="48"/>
      </w:rPr>
      <w:t>SK</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042298"/>
      <w:docPartObj>
        <w:docPartGallery w:val="Page Numbers (Bottom of Page)"/>
        <w:docPartUnique/>
      </w:docPartObj>
    </w:sdtPr>
    <w:sdtEndPr>
      <w:rPr>
        <w:noProof/>
      </w:rPr>
    </w:sdtEndPr>
    <w:sdtContent>
      <w:p w14:paraId="1E6AFCCB" w14:textId="4F739683" w:rsidR="00302FC1" w:rsidRDefault="00D64F26">
        <w:pPr>
          <w:pStyle w:val="Footer"/>
          <w:jc w:val="center"/>
        </w:pPr>
        <w:r>
          <w:fldChar w:fldCharType="begin"/>
        </w:r>
        <w:r>
          <w:instrText xml:space="preserve"> PAGE   \* MERGEFORMAT </w:instrText>
        </w:r>
        <w:r>
          <w:fldChar w:fldCharType="separate"/>
        </w:r>
        <w:r w:rsidR="00842005">
          <w:rPr>
            <w:noProof/>
          </w:rPr>
          <w:t>6</w:t>
        </w:r>
        <w:r>
          <w:fldChar w:fldCharType="end"/>
        </w:r>
      </w:p>
    </w:sdtContent>
  </w:sdt>
  <w:p w14:paraId="0970C9F2" w14:textId="77777777" w:rsidR="00302FC1" w:rsidRDefault="00302FC1">
    <w:pPr>
      <w:pStyle w:val="FooterCouncil"/>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177095"/>
      <w:docPartObj>
        <w:docPartGallery w:val="Page Numbers (Bottom of Page)"/>
        <w:docPartUnique/>
      </w:docPartObj>
    </w:sdtPr>
    <w:sdtEndPr>
      <w:rPr>
        <w:noProof/>
      </w:rPr>
    </w:sdtEndPr>
    <w:sdtContent>
      <w:p w14:paraId="5979F2B5"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660FAAC" w14:textId="77777777" w:rsidR="00302FC1" w:rsidRDefault="00302FC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6371" w14:textId="77777777" w:rsidR="00302FC1" w:rsidRDefault="00302FC1">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15B7" w14:textId="77777777" w:rsidR="00302FC1" w:rsidRDefault="00302FC1">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530411"/>
      <w:docPartObj>
        <w:docPartGallery w:val="Page Numbers (Bottom of Page)"/>
        <w:docPartUnique/>
      </w:docPartObj>
    </w:sdtPr>
    <w:sdtEndPr>
      <w:rPr>
        <w:noProof/>
      </w:rPr>
    </w:sdtEndPr>
    <w:sdtContent>
      <w:p w14:paraId="4AF7AD6E"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AC5200B" w14:textId="77777777" w:rsidR="00302FC1" w:rsidRDefault="00302FC1">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4372" w14:textId="77777777" w:rsidR="00302FC1" w:rsidRDefault="00302FC1">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01058"/>
      <w:docPartObj>
        <w:docPartGallery w:val="Page Numbers (Bottom of Page)"/>
        <w:docPartUnique/>
      </w:docPartObj>
    </w:sdtPr>
    <w:sdtEndPr>
      <w:rPr>
        <w:noProof/>
      </w:rPr>
    </w:sdtEndPr>
    <w:sdtContent>
      <w:p w14:paraId="77218E75"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5D632094" w14:textId="77777777" w:rsidR="00AB26B3" w:rsidRDefault="00AB26B3">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D7A12" w14:textId="77777777" w:rsidR="00302FC1" w:rsidRDefault="00302FC1">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349528"/>
      <w:docPartObj>
        <w:docPartGallery w:val="Page Numbers (Bottom of Page)"/>
        <w:docPartUnique/>
      </w:docPartObj>
    </w:sdtPr>
    <w:sdtEndPr>
      <w:rPr>
        <w:noProof/>
      </w:rPr>
    </w:sdtEndPr>
    <w:sdtContent>
      <w:p w14:paraId="1290FDFF"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F6CE744" w14:textId="77777777" w:rsidR="00302FC1" w:rsidRDefault="00302FC1">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5625F" w14:textId="77777777" w:rsidR="00302FC1" w:rsidRDefault="00302FC1">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70CD" w14:textId="77777777" w:rsidR="00302FC1" w:rsidRDefault="00302FC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A4C0" w14:textId="77777777" w:rsidR="00302FC1" w:rsidRDefault="00302FC1">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870871"/>
      <w:docPartObj>
        <w:docPartGallery w:val="Page Numbers (Bottom of Page)"/>
        <w:docPartUnique/>
      </w:docPartObj>
    </w:sdtPr>
    <w:sdtEndPr>
      <w:rPr>
        <w:noProof/>
      </w:rPr>
    </w:sdtEndPr>
    <w:sdtContent>
      <w:p w14:paraId="176002CA"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957B4A8" w14:textId="77777777" w:rsidR="00302FC1" w:rsidRDefault="00302FC1">
    <w:pPr>
      <w:pStyle w:val="Footer"/>
      <w:tabs>
        <w:tab w:val="clear" w:pos="4535"/>
        <w:tab w:val="clear" w:pos="9071"/>
        <w:tab w:val="clear" w:pos="9921"/>
        <w:tab w:val="left" w:pos="1675"/>
      </w:tabs>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0929" w14:textId="77777777" w:rsidR="00302FC1" w:rsidRDefault="00302FC1">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408942"/>
      <w:docPartObj>
        <w:docPartGallery w:val="Page Numbers (Bottom of Page)"/>
        <w:docPartUnique/>
      </w:docPartObj>
    </w:sdtPr>
    <w:sdtEndPr>
      <w:rPr>
        <w:noProof/>
      </w:rPr>
    </w:sdtEndPr>
    <w:sdtContent>
      <w:p w14:paraId="4C2FDF39"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63937E79" w14:textId="77777777" w:rsidR="00AB26B3" w:rsidRDefault="00AB26B3">
    <w:pPr>
      <w:pStyle w:val="Footer"/>
      <w:tabs>
        <w:tab w:val="clear" w:pos="4535"/>
        <w:tab w:val="clear" w:pos="9071"/>
        <w:tab w:val="clear" w:pos="9921"/>
        <w:tab w:val="left" w:pos="1675"/>
      </w:tabs>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905946"/>
      <w:docPartObj>
        <w:docPartGallery w:val="Page Numbers (Bottom of Page)"/>
        <w:docPartUnique/>
      </w:docPartObj>
    </w:sdtPr>
    <w:sdtEndPr>
      <w:rPr>
        <w:noProof/>
      </w:rPr>
    </w:sdtEndPr>
    <w:sdtContent>
      <w:p w14:paraId="77516D95"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09E5EB16" w14:textId="77777777" w:rsidR="00AB26B3" w:rsidRDefault="00AB26B3">
    <w:pPr>
      <w:pStyle w:val="Footer"/>
      <w:tabs>
        <w:tab w:val="clear" w:pos="4535"/>
        <w:tab w:val="clear" w:pos="9071"/>
        <w:tab w:val="clear" w:pos="9921"/>
        <w:tab w:val="left" w:pos="1675"/>
      </w:tabs>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AF31" w14:textId="77777777" w:rsidR="00302FC1" w:rsidRDefault="00302FC1">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318742"/>
      <w:docPartObj>
        <w:docPartGallery w:val="Page Numbers (Bottom of Page)"/>
        <w:docPartUnique/>
      </w:docPartObj>
    </w:sdtPr>
    <w:sdtEndPr>
      <w:rPr>
        <w:noProof/>
      </w:rPr>
    </w:sdtEndPr>
    <w:sdtContent>
      <w:p w14:paraId="7CAA57D7"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2DF8D28F" w14:textId="77777777" w:rsidR="00302FC1" w:rsidRDefault="00302FC1">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81B4" w14:textId="77777777" w:rsidR="00302FC1" w:rsidRDefault="00302FC1">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1D05" w14:textId="77777777" w:rsidR="00302FC1" w:rsidRDefault="00302FC1">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382215"/>
      <w:docPartObj>
        <w:docPartGallery w:val="Page Numbers (Bottom of Page)"/>
        <w:docPartUnique/>
      </w:docPartObj>
    </w:sdtPr>
    <w:sdtEndPr>
      <w:rPr>
        <w:noProof/>
      </w:rPr>
    </w:sdtEndPr>
    <w:sdtContent>
      <w:p w14:paraId="436A1142"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724F36E" w14:textId="77777777" w:rsidR="00302FC1" w:rsidRDefault="00302FC1">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2D9C2" w14:textId="77777777" w:rsidR="00302FC1" w:rsidRDefault="00302FC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458966"/>
      <w:docPartObj>
        <w:docPartGallery w:val="Page Numbers (Bottom of Page)"/>
        <w:docPartUnique/>
      </w:docPartObj>
    </w:sdtPr>
    <w:sdtEndPr>
      <w:rPr>
        <w:noProof/>
      </w:rPr>
    </w:sdtEndPr>
    <w:sdtContent>
      <w:p w14:paraId="4DCF4D55" w14:textId="199E116B" w:rsidR="00302FC1" w:rsidRDefault="00D64F26">
        <w:pPr>
          <w:pStyle w:val="Footer"/>
          <w:jc w:val="center"/>
        </w:pPr>
        <w:r>
          <w:fldChar w:fldCharType="begin"/>
        </w:r>
        <w:r>
          <w:instrText xml:space="preserve"> PAGE   \* MERGEFORMAT </w:instrText>
        </w:r>
        <w:r>
          <w:fldChar w:fldCharType="separate"/>
        </w:r>
        <w:r w:rsidR="000E23DE">
          <w:rPr>
            <w:noProof/>
          </w:rPr>
          <w:t>10</w:t>
        </w:r>
        <w:r>
          <w:fldChar w:fldCharType="end"/>
        </w:r>
      </w:p>
    </w:sdtContent>
  </w:sdt>
  <w:p w14:paraId="24D6975D" w14:textId="77777777" w:rsidR="00302FC1" w:rsidRDefault="00302FC1">
    <w:pPr>
      <w:pStyle w:val="FooterCouncil"/>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379C" w14:textId="77777777" w:rsidR="00302FC1" w:rsidRDefault="00302FC1">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508692"/>
      <w:docPartObj>
        <w:docPartGallery w:val="Page Numbers (Bottom of Page)"/>
        <w:docPartUnique/>
      </w:docPartObj>
    </w:sdtPr>
    <w:sdtEndPr>
      <w:rPr>
        <w:noProof/>
      </w:rPr>
    </w:sdtEndPr>
    <w:sdtContent>
      <w:p w14:paraId="2B197911"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0B4639E6" w14:textId="77777777" w:rsidR="00302FC1" w:rsidRDefault="00302FC1">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5FDD" w14:textId="77777777" w:rsidR="00302FC1" w:rsidRDefault="00302FC1">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BBEC2" w14:textId="77777777" w:rsidR="00302FC1" w:rsidRDefault="00302FC1">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767307"/>
      <w:docPartObj>
        <w:docPartGallery w:val="Page Numbers (Bottom of Page)"/>
        <w:docPartUnique/>
      </w:docPartObj>
    </w:sdtPr>
    <w:sdtEndPr>
      <w:rPr>
        <w:noProof/>
      </w:rPr>
    </w:sdtEndPr>
    <w:sdtContent>
      <w:p w14:paraId="4CDD2F32"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C68659B" w14:textId="77777777" w:rsidR="00302FC1" w:rsidRDefault="00302FC1">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7EF3" w14:textId="77777777" w:rsidR="00302FC1" w:rsidRDefault="00302FC1">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5C16" w14:textId="77777777" w:rsidR="00302FC1" w:rsidRDefault="00302FC1">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625519"/>
      <w:docPartObj>
        <w:docPartGallery w:val="Page Numbers (Bottom of Page)"/>
        <w:docPartUnique/>
      </w:docPartObj>
    </w:sdtPr>
    <w:sdtEndPr>
      <w:rPr>
        <w:noProof/>
      </w:rPr>
    </w:sdtEndPr>
    <w:sdtContent>
      <w:p w14:paraId="22B0D5E1"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509D534" w14:textId="77777777" w:rsidR="00302FC1" w:rsidRDefault="00302FC1">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F0A9" w14:textId="77777777" w:rsidR="00302FC1" w:rsidRDefault="00302FC1">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C6BA" w14:textId="77777777" w:rsidR="00302FC1" w:rsidRDefault="00302FC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7BB4" w14:textId="77777777" w:rsidR="00302FC1" w:rsidRDefault="00302FC1">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01151"/>
      <w:docPartObj>
        <w:docPartGallery w:val="Page Numbers (Bottom of Page)"/>
        <w:docPartUnique/>
      </w:docPartObj>
    </w:sdtPr>
    <w:sdtEndPr>
      <w:rPr>
        <w:noProof/>
      </w:rPr>
    </w:sdtEndPr>
    <w:sdtContent>
      <w:p w14:paraId="24BB4441"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F3647EE" w14:textId="77777777" w:rsidR="00302FC1" w:rsidRDefault="00302FC1">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0A0E" w14:textId="77777777" w:rsidR="00302FC1" w:rsidRDefault="00302FC1">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E539" w14:textId="77777777" w:rsidR="00302FC1" w:rsidRDefault="00302FC1">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911246"/>
      <w:docPartObj>
        <w:docPartGallery w:val="Page Numbers (Bottom of Page)"/>
        <w:docPartUnique/>
      </w:docPartObj>
    </w:sdtPr>
    <w:sdtEndPr>
      <w:rPr>
        <w:noProof/>
      </w:rPr>
    </w:sdtEndPr>
    <w:sdtContent>
      <w:p w14:paraId="74FDA2C2"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4159D4DA" w14:textId="77777777" w:rsidR="00302FC1" w:rsidRDefault="00302FC1">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9539E" w14:textId="77777777" w:rsidR="00302FC1" w:rsidRDefault="00302FC1">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4A89" w14:textId="77777777" w:rsidR="00302FC1" w:rsidRDefault="00302FC1">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077946"/>
      <w:docPartObj>
        <w:docPartGallery w:val="Page Numbers (Bottom of Page)"/>
        <w:docPartUnique/>
      </w:docPartObj>
    </w:sdtPr>
    <w:sdtEndPr>
      <w:rPr>
        <w:noProof/>
      </w:rPr>
    </w:sdtEndPr>
    <w:sdtContent>
      <w:p w14:paraId="0EEC1FF2"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3924435" w14:textId="77777777" w:rsidR="00302FC1" w:rsidRDefault="00302FC1">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6BAE" w14:textId="77777777" w:rsidR="00302FC1" w:rsidRDefault="00302FC1">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355068"/>
      <w:docPartObj>
        <w:docPartGallery w:val="Page Numbers (Bottom of Page)"/>
        <w:docPartUnique/>
      </w:docPartObj>
    </w:sdtPr>
    <w:sdtEndPr>
      <w:rPr>
        <w:noProof/>
      </w:rPr>
    </w:sdtEndPr>
    <w:sdtContent>
      <w:p w14:paraId="0C4F9EB8"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6588AFFD" w14:textId="77777777" w:rsidR="00AB26B3" w:rsidRDefault="00AB26B3">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5DBDF" w14:textId="77777777" w:rsidR="00302FC1" w:rsidRDefault="00302FC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DC3E" w14:textId="77777777" w:rsidR="00302FC1" w:rsidRDefault="00302FC1">
    <w:pPr>
      <w:pStyle w:val="Footer"/>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053473"/>
      <w:docPartObj>
        <w:docPartGallery w:val="Page Numbers (Bottom of Page)"/>
        <w:docPartUnique/>
      </w:docPartObj>
    </w:sdtPr>
    <w:sdtEndPr>
      <w:rPr>
        <w:noProof/>
      </w:rPr>
    </w:sdtEndPr>
    <w:sdtContent>
      <w:p w14:paraId="2ED9DFA9"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7661B2D" w14:textId="77777777" w:rsidR="00302FC1" w:rsidRDefault="00302FC1">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3D6E3" w14:textId="77777777" w:rsidR="00302FC1" w:rsidRDefault="00302FC1">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79DB" w14:textId="77777777" w:rsidR="00302FC1" w:rsidRDefault="00302FC1">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91891"/>
      <w:docPartObj>
        <w:docPartGallery w:val="Page Numbers (Bottom of Page)"/>
        <w:docPartUnique/>
      </w:docPartObj>
    </w:sdtPr>
    <w:sdtEndPr>
      <w:rPr>
        <w:noProof/>
      </w:rPr>
    </w:sdtEndPr>
    <w:sdtContent>
      <w:p w14:paraId="746470B1"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4C44396D" w14:textId="77777777" w:rsidR="00302FC1" w:rsidRDefault="00302FC1">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E48E" w14:textId="77777777" w:rsidR="00302FC1" w:rsidRDefault="00302FC1">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8A7C" w14:textId="77777777" w:rsidR="00302FC1" w:rsidRDefault="00302FC1">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654521"/>
      <w:docPartObj>
        <w:docPartGallery w:val="Page Numbers (Bottom of Page)"/>
        <w:docPartUnique/>
      </w:docPartObj>
    </w:sdtPr>
    <w:sdtEndPr>
      <w:rPr>
        <w:noProof/>
      </w:rPr>
    </w:sdtEndPr>
    <w:sdtContent>
      <w:p w14:paraId="73639D65"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4F9A31AA" w14:textId="77777777" w:rsidR="00302FC1" w:rsidRDefault="00302FC1">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C0F12" w14:textId="77777777" w:rsidR="00302FC1" w:rsidRDefault="00302FC1">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30A4" w14:textId="77777777" w:rsidR="00302FC1" w:rsidRDefault="00302FC1">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837362"/>
      <w:docPartObj>
        <w:docPartGallery w:val="Page Numbers (Bottom of Page)"/>
        <w:docPartUnique/>
      </w:docPartObj>
    </w:sdtPr>
    <w:sdtEndPr>
      <w:rPr>
        <w:noProof/>
      </w:rPr>
    </w:sdtEndPr>
    <w:sdtContent>
      <w:p w14:paraId="3C937029"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F42B09A" w14:textId="77777777" w:rsidR="00302FC1" w:rsidRDefault="00302FC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510226"/>
      <w:docPartObj>
        <w:docPartGallery w:val="Page Numbers (Bottom of Page)"/>
        <w:docPartUnique/>
      </w:docPartObj>
    </w:sdtPr>
    <w:sdtEndPr>
      <w:rPr>
        <w:noProof/>
      </w:rPr>
    </w:sdtEndPr>
    <w:sdtContent>
      <w:p w14:paraId="252D0BB6" w14:textId="76F74FDB" w:rsidR="00302FC1" w:rsidRDefault="00D64F26">
        <w:pPr>
          <w:pStyle w:val="Footer"/>
          <w:jc w:val="center"/>
        </w:pPr>
        <w:r>
          <w:fldChar w:fldCharType="begin"/>
        </w:r>
        <w:r>
          <w:instrText xml:space="preserve"> PAGE   \* MERGEFORMAT </w:instrText>
        </w:r>
        <w:r>
          <w:fldChar w:fldCharType="separate"/>
        </w:r>
        <w:r w:rsidR="000E23DE">
          <w:rPr>
            <w:noProof/>
          </w:rPr>
          <w:t>13</w:t>
        </w:r>
        <w:r>
          <w:fldChar w:fldCharType="end"/>
        </w:r>
      </w:p>
    </w:sdtContent>
  </w:sdt>
  <w:p w14:paraId="4C271717" w14:textId="77777777" w:rsidR="00302FC1" w:rsidRDefault="00302FC1">
    <w:pPr>
      <w:pStyle w:val="FooterCouncil"/>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0C4C" w14:textId="77777777" w:rsidR="00302FC1" w:rsidRDefault="00302FC1">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E0C4" w14:textId="77777777" w:rsidR="00302FC1" w:rsidRDefault="00302FC1">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45361"/>
      <w:docPartObj>
        <w:docPartGallery w:val="Page Numbers (Bottom of Page)"/>
        <w:docPartUnique/>
      </w:docPartObj>
    </w:sdtPr>
    <w:sdtEndPr>
      <w:rPr>
        <w:noProof/>
      </w:rPr>
    </w:sdtEndPr>
    <w:sdtContent>
      <w:p w14:paraId="5A10E56D"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53E7424" w14:textId="77777777" w:rsidR="00302FC1" w:rsidRDefault="00302FC1">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B5C2E" w14:textId="77777777" w:rsidR="00302FC1" w:rsidRDefault="00302FC1">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0349" w14:textId="77777777" w:rsidR="00302FC1" w:rsidRDefault="00302FC1">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964355"/>
      <w:docPartObj>
        <w:docPartGallery w:val="Page Numbers (Bottom of Page)"/>
        <w:docPartUnique/>
      </w:docPartObj>
    </w:sdtPr>
    <w:sdtEndPr>
      <w:rPr>
        <w:noProof/>
      </w:rPr>
    </w:sdtEndPr>
    <w:sdtContent>
      <w:p w14:paraId="5563106C"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479E6C9" w14:textId="77777777" w:rsidR="00302FC1" w:rsidRDefault="00302FC1">
    <w:pPr>
      <w:pStyle w:val="Footer"/>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20BC" w14:textId="77777777" w:rsidR="00302FC1" w:rsidRDefault="00302FC1">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FCC1" w14:textId="77777777" w:rsidR="00302FC1" w:rsidRDefault="00302FC1">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861585"/>
      <w:docPartObj>
        <w:docPartGallery w:val="Page Numbers (Bottom of Page)"/>
        <w:docPartUnique/>
      </w:docPartObj>
    </w:sdtPr>
    <w:sdtEndPr>
      <w:rPr>
        <w:noProof/>
      </w:rPr>
    </w:sdtEndPr>
    <w:sdtContent>
      <w:p w14:paraId="2C0BD797"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D5A9073" w14:textId="77777777" w:rsidR="00302FC1" w:rsidRDefault="00302FC1">
    <w:pPr>
      <w:pStyle w:val="Footer"/>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1F0F" w14:textId="77777777" w:rsidR="00302FC1" w:rsidRDefault="00302FC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D1FA" w14:textId="77777777" w:rsidR="00302FC1" w:rsidRDefault="00302FC1">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7FD56" w14:textId="77777777" w:rsidR="00302FC1" w:rsidRDefault="00302FC1">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549482"/>
      <w:docPartObj>
        <w:docPartGallery w:val="Page Numbers (Bottom of Page)"/>
        <w:docPartUnique/>
      </w:docPartObj>
    </w:sdtPr>
    <w:sdtEndPr>
      <w:rPr>
        <w:noProof/>
      </w:rPr>
    </w:sdtEndPr>
    <w:sdtContent>
      <w:p w14:paraId="74EC2A66"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23237D9F" w14:textId="77777777" w:rsidR="00302FC1" w:rsidRDefault="00302FC1">
    <w:pPr>
      <w:pStyle w:val="Footer"/>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C0B4" w14:textId="77777777" w:rsidR="00302FC1" w:rsidRDefault="00302FC1">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8A35" w14:textId="77777777" w:rsidR="00302FC1" w:rsidRDefault="00302FC1">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200008"/>
      <w:docPartObj>
        <w:docPartGallery w:val="Page Numbers (Bottom of Page)"/>
        <w:docPartUnique/>
      </w:docPartObj>
    </w:sdtPr>
    <w:sdtEndPr>
      <w:rPr>
        <w:noProof/>
      </w:rPr>
    </w:sdtEndPr>
    <w:sdtContent>
      <w:p w14:paraId="14F3B95D"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651ADB2E" w14:textId="77777777" w:rsidR="00302FC1" w:rsidRDefault="00302FC1">
    <w:pPr>
      <w:pStyle w:val="Footer"/>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2A1DC" w14:textId="77777777" w:rsidR="00302FC1" w:rsidRDefault="00302FC1">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E9574" w14:textId="77777777" w:rsidR="00302FC1" w:rsidRDefault="00302FC1">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611318"/>
      <w:docPartObj>
        <w:docPartGallery w:val="Page Numbers (Bottom of Page)"/>
        <w:docPartUnique/>
      </w:docPartObj>
    </w:sdtPr>
    <w:sdtEndPr>
      <w:rPr>
        <w:noProof/>
      </w:rPr>
    </w:sdtEndPr>
    <w:sdtContent>
      <w:p w14:paraId="5E954156"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EF86E9D" w14:textId="77777777" w:rsidR="00302FC1" w:rsidRDefault="00302FC1">
    <w:pPr>
      <w:pStyle w:val="Footer"/>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CFF3" w14:textId="77777777" w:rsidR="00302FC1" w:rsidRDefault="00302FC1">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C056" w14:textId="77777777" w:rsidR="00302FC1" w:rsidRDefault="00302FC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0AAE" w14:textId="77777777" w:rsidR="00302FC1" w:rsidRDefault="00302FC1">
    <w:pPr>
      <w:pStyle w:val="Footer"/>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785745"/>
      <w:docPartObj>
        <w:docPartGallery w:val="Page Numbers (Bottom of Page)"/>
        <w:docPartUnique/>
      </w:docPartObj>
    </w:sdtPr>
    <w:sdtEndPr>
      <w:rPr>
        <w:noProof/>
      </w:rPr>
    </w:sdtEndPr>
    <w:sdtContent>
      <w:p w14:paraId="61D2699C"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602A7B3C" w14:textId="77777777" w:rsidR="00302FC1" w:rsidRDefault="00302FC1">
    <w:pPr>
      <w:pStyle w:val="Footer"/>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442D" w14:textId="77777777" w:rsidR="00302FC1" w:rsidRDefault="00302FC1">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75900"/>
      <w:docPartObj>
        <w:docPartGallery w:val="Page Numbers (Bottom of Page)"/>
        <w:docPartUnique/>
      </w:docPartObj>
    </w:sdtPr>
    <w:sdtEndPr>
      <w:rPr>
        <w:noProof/>
      </w:rPr>
    </w:sdtEndPr>
    <w:sdtContent>
      <w:p w14:paraId="2C434C03"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2CC7D7C6" w14:textId="77777777" w:rsidR="00AB26B3" w:rsidRDefault="00AB26B3">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146722"/>
      <w:docPartObj>
        <w:docPartGallery w:val="Page Numbers (Bottom of Page)"/>
        <w:docPartUnique/>
      </w:docPartObj>
    </w:sdtPr>
    <w:sdtEndPr>
      <w:rPr>
        <w:noProof/>
      </w:rPr>
    </w:sdtEndPr>
    <w:sdtContent>
      <w:p w14:paraId="5D247804"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5B1D200C" w14:textId="77777777" w:rsidR="00AB26B3" w:rsidRDefault="00AB26B3">
    <w:pPr>
      <w:pStyle w:val="Footer"/>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070E2" w14:textId="77777777" w:rsidR="00302FC1" w:rsidRDefault="00302FC1">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465893"/>
      <w:docPartObj>
        <w:docPartGallery w:val="Page Numbers (Bottom of Page)"/>
        <w:docPartUnique/>
      </w:docPartObj>
    </w:sdtPr>
    <w:sdtEndPr>
      <w:rPr>
        <w:noProof/>
      </w:rPr>
    </w:sdtEndPr>
    <w:sdtContent>
      <w:p w14:paraId="7C61B14C"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4ADBA08D" w14:textId="77777777" w:rsidR="00302FC1" w:rsidRDefault="00302FC1">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69D9" w14:textId="77777777" w:rsidR="00302FC1" w:rsidRDefault="00302FC1">
    <w:pPr>
      <w:pStyle w:val="Footer"/>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66D7" w14:textId="77777777" w:rsidR="00302FC1" w:rsidRDefault="00302FC1">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577138"/>
      <w:docPartObj>
        <w:docPartGallery w:val="Page Numbers (Bottom of Page)"/>
        <w:docPartUnique/>
      </w:docPartObj>
    </w:sdtPr>
    <w:sdtEndPr>
      <w:rPr>
        <w:noProof/>
      </w:rPr>
    </w:sdtEndPr>
    <w:sdtContent>
      <w:p w14:paraId="1D1D3358"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04476C66" w14:textId="77777777" w:rsidR="00302FC1" w:rsidRDefault="00302FC1">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F35D" w14:textId="77777777" w:rsidR="00302FC1" w:rsidRDefault="00302FC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949093"/>
      <w:docPartObj>
        <w:docPartGallery w:val="Page Numbers (Bottom of Page)"/>
        <w:docPartUnique/>
      </w:docPartObj>
    </w:sdtPr>
    <w:sdtEndPr>
      <w:rPr>
        <w:noProof/>
      </w:rPr>
    </w:sdtEndPr>
    <w:sdtContent>
      <w:p w14:paraId="71F0B341" w14:textId="37DBED00" w:rsidR="00302FC1" w:rsidRDefault="00D64F26">
        <w:pPr>
          <w:pStyle w:val="Footer"/>
          <w:jc w:val="center"/>
        </w:pPr>
        <w:r>
          <w:fldChar w:fldCharType="begin"/>
        </w:r>
        <w:r>
          <w:instrText xml:space="preserve"> PAGE   \* MERGEFORMAT </w:instrText>
        </w:r>
        <w:r>
          <w:fldChar w:fldCharType="separate"/>
        </w:r>
        <w:r w:rsidR="000E23DE">
          <w:rPr>
            <w:noProof/>
          </w:rPr>
          <w:t>14</w:t>
        </w:r>
        <w:r>
          <w:fldChar w:fldCharType="end"/>
        </w:r>
      </w:p>
    </w:sdtContent>
  </w:sdt>
  <w:p w14:paraId="3A19B395" w14:textId="77777777" w:rsidR="00302FC1" w:rsidRDefault="00302FC1">
    <w:pPr>
      <w:pStyle w:val="FooterCouncil"/>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B5B0" w14:textId="77777777" w:rsidR="00302FC1" w:rsidRDefault="00302FC1">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61904"/>
      <w:docPartObj>
        <w:docPartGallery w:val="Page Numbers (Bottom of Page)"/>
        <w:docPartUnique/>
      </w:docPartObj>
    </w:sdtPr>
    <w:sdtEndPr>
      <w:rPr>
        <w:noProof/>
      </w:rPr>
    </w:sdtEndPr>
    <w:sdtContent>
      <w:p w14:paraId="390554BF"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C90EC25" w14:textId="77777777" w:rsidR="00302FC1" w:rsidRDefault="00302FC1">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70CB" w14:textId="77777777" w:rsidR="00302FC1" w:rsidRDefault="00302FC1">
    <w:pPr>
      <w:pStyle w:val="Footer"/>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618390"/>
      <w:docPartObj>
        <w:docPartGallery w:val="Page Numbers (Bottom of Page)"/>
        <w:docPartUnique/>
      </w:docPartObj>
    </w:sdtPr>
    <w:sdtEndPr>
      <w:rPr>
        <w:noProof/>
      </w:rPr>
    </w:sdtEndPr>
    <w:sdtContent>
      <w:p w14:paraId="5FB68EFA"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997EDA0" w14:textId="77777777" w:rsidR="00302FC1" w:rsidRDefault="00302FC1">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B0290" w14:textId="77777777" w:rsidR="00302FC1" w:rsidRDefault="00302FC1">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416010"/>
      <w:docPartObj>
        <w:docPartGallery w:val="Page Numbers (Bottom of Page)"/>
        <w:docPartUnique/>
      </w:docPartObj>
    </w:sdtPr>
    <w:sdtEndPr>
      <w:rPr>
        <w:noProof/>
      </w:rPr>
    </w:sdtEndPr>
    <w:sdtContent>
      <w:p w14:paraId="6D437EDE"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166F040" w14:textId="77777777" w:rsidR="00302FC1" w:rsidRDefault="00302FC1">
    <w:pPr>
      <w:pStyle w:val="Footer"/>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F86D" w14:textId="77777777" w:rsidR="00302FC1" w:rsidRDefault="00302FC1">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597224"/>
      <w:docPartObj>
        <w:docPartGallery w:val="Page Numbers (Bottom of Page)"/>
        <w:docPartUnique/>
      </w:docPartObj>
    </w:sdtPr>
    <w:sdtEndPr>
      <w:rPr>
        <w:noProof/>
      </w:rPr>
    </w:sdtEndPr>
    <w:sdtContent>
      <w:p w14:paraId="61A0AFEE"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6C8A1773" w14:textId="77777777" w:rsidR="00AB26B3" w:rsidRDefault="00AB26B3">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273003"/>
      <w:docPartObj>
        <w:docPartGallery w:val="Page Numbers (Bottom of Page)"/>
        <w:docPartUnique/>
      </w:docPartObj>
    </w:sdtPr>
    <w:sdtEndPr>
      <w:rPr>
        <w:noProof/>
      </w:rPr>
    </w:sdtEndPr>
    <w:sdtContent>
      <w:p w14:paraId="1228064D"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2486824E" w14:textId="77777777" w:rsidR="00AB26B3" w:rsidRDefault="00AB26B3">
    <w:pPr>
      <w:pStyle w:val="Footer"/>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437428"/>
      <w:docPartObj>
        <w:docPartGallery w:val="Page Numbers (Bottom of Page)"/>
        <w:docPartUnique/>
      </w:docPartObj>
    </w:sdtPr>
    <w:sdtEndPr>
      <w:rPr>
        <w:noProof/>
      </w:rPr>
    </w:sdtEndPr>
    <w:sdtContent>
      <w:p w14:paraId="5B9CB0D4"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253890E1" w14:textId="77777777" w:rsidR="00AB26B3" w:rsidRDefault="00AB26B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8E5AA" w14:textId="77777777" w:rsidR="00302FC1" w:rsidRDefault="00302FC1">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062328"/>
      <w:docPartObj>
        <w:docPartGallery w:val="Page Numbers (Bottom of Page)"/>
        <w:docPartUnique/>
      </w:docPartObj>
    </w:sdtPr>
    <w:sdtEndPr>
      <w:rPr>
        <w:noProof/>
      </w:rPr>
    </w:sdtEndPr>
    <w:sdtContent>
      <w:p w14:paraId="609CECEF"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F3A7772" w14:textId="77777777" w:rsidR="00302FC1" w:rsidRDefault="00302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E897" w14:textId="1ADB226F" w:rsidR="00842005" w:rsidRPr="00842005" w:rsidRDefault="00842005" w:rsidP="00842005">
    <w:pPr>
      <w:pStyle w:val="FooterCoverPage"/>
      <w:rPr>
        <w:rFonts w:ascii="Arial" w:hAnsi="Arial" w:cs="Arial"/>
        <w:b/>
        <w:sz w:val="48"/>
      </w:rPr>
    </w:pPr>
    <w:r w:rsidRPr="00842005">
      <w:rPr>
        <w:rFonts w:ascii="Arial" w:hAnsi="Arial" w:cs="Arial"/>
        <w:b/>
        <w:sz w:val="48"/>
      </w:rPr>
      <w:t>SK</w:t>
    </w:r>
    <w:r w:rsidRPr="00842005">
      <w:rPr>
        <w:rFonts w:ascii="Arial" w:hAnsi="Arial" w:cs="Arial"/>
        <w:b/>
        <w:sz w:val="48"/>
      </w:rPr>
      <w:tab/>
    </w:r>
    <w:r w:rsidRPr="00842005">
      <w:rPr>
        <w:rFonts w:ascii="Arial" w:hAnsi="Arial" w:cs="Arial"/>
        <w:b/>
        <w:sz w:val="48"/>
      </w:rPr>
      <w:tab/>
    </w:r>
    <w:r w:rsidRPr="00842005">
      <w:tab/>
    </w:r>
    <w:r w:rsidRPr="00842005">
      <w:rPr>
        <w:rFonts w:ascii="Arial" w:hAnsi="Arial" w:cs="Arial"/>
        <w:b/>
        <w:sz w:val="48"/>
      </w:rPr>
      <w:t>SK</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FC5D" w14:textId="77777777" w:rsidR="00302FC1" w:rsidRDefault="00302FC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31507"/>
      <w:docPartObj>
        <w:docPartGallery w:val="Page Numbers (Bottom of Page)"/>
        <w:docPartUnique/>
      </w:docPartObj>
    </w:sdtPr>
    <w:sdtEndPr>
      <w:rPr>
        <w:noProof/>
      </w:rPr>
    </w:sdtEndPr>
    <w:sdtContent>
      <w:p w14:paraId="7DF26B80" w14:textId="2386DC1A" w:rsidR="00302FC1" w:rsidRDefault="00D64F26">
        <w:pPr>
          <w:pStyle w:val="Footer"/>
          <w:jc w:val="center"/>
        </w:pPr>
        <w:r>
          <w:fldChar w:fldCharType="begin"/>
        </w:r>
        <w:r>
          <w:instrText xml:space="preserve"> PAGE   \* MERGEFORMAT </w:instrText>
        </w:r>
        <w:r>
          <w:fldChar w:fldCharType="separate"/>
        </w:r>
        <w:r w:rsidR="000E23DE">
          <w:rPr>
            <w:noProof/>
          </w:rPr>
          <w:t>15</w:t>
        </w:r>
        <w:r>
          <w:fldChar w:fldCharType="end"/>
        </w:r>
      </w:p>
    </w:sdtContent>
  </w:sdt>
  <w:p w14:paraId="58130A68" w14:textId="77777777" w:rsidR="00302FC1" w:rsidRDefault="00302FC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2F65D" w14:textId="77777777" w:rsidR="00302FC1" w:rsidRDefault="00302FC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732754"/>
      <w:docPartObj>
        <w:docPartGallery w:val="Page Numbers (Bottom of Page)"/>
        <w:docPartUnique/>
      </w:docPartObj>
    </w:sdtPr>
    <w:sdtEndPr>
      <w:rPr>
        <w:noProof/>
      </w:rPr>
    </w:sdtEndPr>
    <w:sdtContent>
      <w:p w14:paraId="1504426E"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F752CBB" w14:textId="77777777" w:rsidR="00302FC1" w:rsidRDefault="00302FC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A1BF" w14:textId="77777777" w:rsidR="00302FC1" w:rsidRDefault="00302FC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677880"/>
      <w:docPartObj>
        <w:docPartGallery w:val="Page Numbers (Bottom of Page)"/>
        <w:docPartUnique/>
      </w:docPartObj>
    </w:sdtPr>
    <w:sdtEndPr>
      <w:rPr>
        <w:noProof/>
      </w:rPr>
    </w:sdtEndPr>
    <w:sdtContent>
      <w:p w14:paraId="64C7B74D"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CCFE46E" w14:textId="77777777" w:rsidR="00302FC1" w:rsidRDefault="00302FC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DFF30" w14:textId="77777777" w:rsidR="00302FC1" w:rsidRDefault="00302FC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31AF" w14:textId="77777777" w:rsidR="00302FC1" w:rsidRDefault="00302FC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91082"/>
      <w:docPartObj>
        <w:docPartGallery w:val="Page Numbers (Bottom of Page)"/>
        <w:docPartUnique/>
      </w:docPartObj>
    </w:sdtPr>
    <w:sdtEndPr>
      <w:rPr>
        <w:noProof/>
      </w:rPr>
    </w:sdtEndPr>
    <w:sdtContent>
      <w:p w14:paraId="0359C35F"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25A8C7E3" w14:textId="77777777" w:rsidR="00302FC1" w:rsidRDefault="00302FC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A6AE" w14:textId="77777777" w:rsidR="00302FC1" w:rsidRDefault="00302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EC5B" w14:textId="77777777" w:rsidR="00842005" w:rsidRPr="00842005" w:rsidRDefault="00842005" w:rsidP="00842005">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56D07" w14:textId="77777777" w:rsidR="00302FC1" w:rsidRDefault="00302FC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436849"/>
      <w:docPartObj>
        <w:docPartGallery w:val="Page Numbers (Bottom of Page)"/>
        <w:docPartUnique/>
      </w:docPartObj>
    </w:sdtPr>
    <w:sdtEndPr>
      <w:rPr>
        <w:noProof/>
      </w:rPr>
    </w:sdtEndPr>
    <w:sdtContent>
      <w:p w14:paraId="47E45894"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E26F9FD" w14:textId="77777777" w:rsidR="00302FC1" w:rsidRDefault="00302FC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4091" w14:textId="77777777" w:rsidR="00302FC1" w:rsidRDefault="00302FC1">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2EF3" w14:textId="77777777" w:rsidR="00302FC1" w:rsidRDefault="00302FC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61688"/>
      <w:docPartObj>
        <w:docPartGallery w:val="Page Numbers (Bottom of Page)"/>
        <w:docPartUnique/>
      </w:docPartObj>
    </w:sdtPr>
    <w:sdtEndPr>
      <w:rPr>
        <w:noProof/>
      </w:rPr>
    </w:sdtEndPr>
    <w:sdtContent>
      <w:p w14:paraId="69F3534F"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6CFE387" w14:textId="77777777" w:rsidR="00302FC1" w:rsidRDefault="00302FC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6767" w14:textId="77777777" w:rsidR="00302FC1" w:rsidRDefault="00302FC1">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954418"/>
      <w:docPartObj>
        <w:docPartGallery w:val="Page Numbers (Bottom of Page)"/>
        <w:docPartUnique/>
      </w:docPartObj>
    </w:sdtPr>
    <w:sdtEndPr>
      <w:rPr>
        <w:noProof/>
      </w:rPr>
    </w:sdtEndPr>
    <w:sdtContent>
      <w:p w14:paraId="5CA28119"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613F95FD" w14:textId="77777777" w:rsidR="00AB26B3" w:rsidRDefault="00AB26B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F3D8" w14:textId="77777777" w:rsidR="00302FC1" w:rsidRDefault="00302FC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385061"/>
      <w:docPartObj>
        <w:docPartGallery w:val="Page Numbers (Bottom of Page)"/>
        <w:docPartUnique/>
      </w:docPartObj>
    </w:sdtPr>
    <w:sdtEndPr>
      <w:rPr>
        <w:noProof/>
      </w:rPr>
    </w:sdtEndPr>
    <w:sdtContent>
      <w:p w14:paraId="572DD7D7"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4BE4A65" w14:textId="77777777" w:rsidR="00302FC1" w:rsidRDefault="00302FC1">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FE4A" w14:textId="77777777" w:rsidR="00302FC1" w:rsidRDefault="00302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0604" w14:textId="77777777" w:rsidR="00302FC1" w:rsidRDefault="00302FC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11382" w14:textId="77777777" w:rsidR="00302FC1" w:rsidRDefault="00302FC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191281"/>
      <w:docPartObj>
        <w:docPartGallery w:val="Page Numbers (Bottom of Page)"/>
        <w:docPartUnique/>
      </w:docPartObj>
    </w:sdtPr>
    <w:sdtEndPr>
      <w:rPr>
        <w:noProof/>
      </w:rPr>
    </w:sdtEndPr>
    <w:sdtContent>
      <w:p w14:paraId="1CE5E67D"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AC80461" w14:textId="77777777" w:rsidR="00302FC1" w:rsidRDefault="00302FC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39ED" w14:textId="77777777" w:rsidR="00302FC1" w:rsidRDefault="00302FC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330359"/>
      <w:docPartObj>
        <w:docPartGallery w:val="Page Numbers (Bottom of Page)"/>
        <w:docPartUnique/>
      </w:docPartObj>
    </w:sdtPr>
    <w:sdtEndPr>
      <w:rPr>
        <w:noProof/>
      </w:rPr>
    </w:sdtEndPr>
    <w:sdtContent>
      <w:p w14:paraId="605584CA"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4BD42A00" w14:textId="77777777" w:rsidR="00AB26B3" w:rsidRDefault="00AB26B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E7FE" w14:textId="77777777" w:rsidR="00302FC1" w:rsidRDefault="00302FC1">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736444"/>
      <w:docPartObj>
        <w:docPartGallery w:val="Page Numbers (Bottom of Page)"/>
        <w:docPartUnique/>
      </w:docPartObj>
    </w:sdtPr>
    <w:sdtEndPr>
      <w:rPr>
        <w:noProof/>
      </w:rPr>
    </w:sdtEndPr>
    <w:sdtContent>
      <w:p w14:paraId="280E531D"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48974E96" w14:textId="77777777" w:rsidR="00302FC1" w:rsidRDefault="00302FC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A0CE" w14:textId="77777777" w:rsidR="00302FC1" w:rsidRDefault="00302FC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EA78" w14:textId="77777777" w:rsidR="00302FC1" w:rsidRDefault="00302FC1">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118577"/>
      <w:docPartObj>
        <w:docPartGallery w:val="Page Numbers (Bottom of Page)"/>
        <w:docPartUnique/>
      </w:docPartObj>
    </w:sdtPr>
    <w:sdtEndPr>
      <w:rPr>
        <w:noProof/>
      </w:rPr>
    </w:sdtEndPr>
    <w:sdtContent>
      <w:p w14:paraId="39BF5F3C"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DB55CE1" w14:textId="77777777" w:rsidR="00302FC1" w:rsidRDefault="00302FC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41FD7" w14:textId="77777777" w:rsidR="00302FC1" w:rsidRDefault="00302F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917281"/>
      <w:docPartObj>
        <w:docPartGallery w:val="Page Numbers (Bottom of Page)"/>
        <w:docPartUnique/>
      </w:docPartObj>
    </w:sdtPr>
    <w:sdtEndPr>
      <w:rPr>
        <w:noProof/>
      </w:rPr>
    </w:sdtEndPr>
    <w:sdtContent>
      <w:p w14:paraId="54CEB833" w14:textId="67B9898A" w:rsidR="00302FC1" w:rsidRDefault="00D64F26">
        <w:pPr>
          <w:pStyle w:val="Footer"/>
          <w:jc w:val="center"/>
        </w:pPr>
        <w:r>
          <w:fldChar w:fldCharType="begin"/>
        </w:r>
        <w:r>
          <w:instrText xml:space="preserve"> PAGE   \* MERGEFORMAT </w:instrText>
        </w:r>
        <w:r>
          <w:fldChar w:fldCharType="separate"/>
        </w:r>
        <w:r w:rsidR="00842005">
          <w:rPr>
            <w:noProof/>
          </w:rPr>
          <w:t>2</w:t>
        </w:r>
        <w:r>
          <w:fldChar w:fldCharType="end"/>
        </w:r>
      </w:p>
    </w:sdtContent>
  </w:sdt>
  <w:p w14:paraId="197D6CFF" w14:textId="77777777" w:rsidR="00302FC1" w:rsidRDefault="00302FC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A9EDF" w14:textId="77777777" w:rsidR="00302FC1" w:rsidRDefault="00302FC1">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33478"/>
      <w:docPartObj>
        <w:docPartGallery w:val="Page Numbers (Bottom of Page)"/>
        <w:docPartUnique/>
      </w:docPartObj>
    </w:sdtPr>
    <w:sdtEndPr>
      <w:rPr>
        <w:noProof/>
      </w:rPr>
    </w:sdtEndPr>
    <w:sdtContent>
      <w:p w14:paraId="42F487B9"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A0797FA" w14:textId="77777777" w:rsidR="00302FC1" w:rsidRDefault="00302FC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059B" w14:textId="77777777" w:rsidR="00302FC1" w:rsidRDefault="00302FC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68C20" w14:textId="77777777" w:rsidR="00302FC1" w:rsidRDefault="00302FC1">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208066"/>
      <w:docPartObj>
        <w:docPartGallery w:val="Page Numbers (Bottom of Page)"/>
        <w:docPartUnique/>
      </w:docPartObj>
    </w:sdtPr>
    <w:sdtEndPr>
      <w:rPr>
        <w:noProof/>
      </w:rPr>
    </w:sdtEndPr>
    <w:sdtContent>
      <w:p w14:paraId="0F015EA9"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42992ED2" w14:textId="77777777" w:rsidR="00302FC1" w:rsidRDefault="00302FC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895A" w14:textId="77777777" w:rsidR="00302FC1" w:rsidRDefault="00302FC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B9AB" w14:textId="77777777" w:rsidR="00302FC1" w:rsidRDefault="00302FC1">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830461"/>
      <w:docPartObj>
        <w:docPartGallery w:val="Page Numbers (Bottom of Page)"/>
        <w:docPartUnique/>
      </w:docPartObj>
    </w:sdtPr>
    <w:sdtEndPr>
      <w:rPr>
        <w:noProof/>
      </w:rPr>
    </w:sdtEndPr>
    <w:sdtContent>
      <w:p w14:paraId="5EAD2B64"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46685A7" w14:textId="77777777" w:rsidR="00302FC1" w:rsidRDefault="00302FC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758FC" w14:textId="77777777" w:rsidR="00302FC1" w:rsidRDefault="00302FC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538014"/>
      <w:docPartObj>
        <w:docPartGallery w:val="Page Numbers (Bottom of Page)"/>
        <w:docPartUnique/>
      </w:docPartObj>
    </w:sdtPr>
    <w:sdtEndPr>
      <w:rPr>
        <w:noProof/>
      </w:rPr>
    </w:sdtEndPr>
    <w:sdtContent>
      <w:p w14:paraId="2AEF1746"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315CA6E1" w14:textId="77777777" w:rsidR="00AB26B3" w:rsidRDefault="00AB26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620C9" w14:textId="77777777" w:rsidR="00302FC1" w:rsidRDefault="00302FC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491587"/>
      <w:docPartObj>
        <w:docPartGallery w:val="Page Numbers (Bottom of Page)"/>
        <w:docPartUnique/>
      </w:docPartObj>
    </w:sdtPr>
    <w:sdtEndPr>
      <w:rPr>
        <w:noProof/>
      </w:rPr>
    </w:sdtEndPr>
    <w:sdtContent>
      <w:p w14:paraId="4810C779" w14:textId="77777777" w:rsidR="00AB26B3" w:rsidRDefault="00AB26B3">
        <w:pPr>
          <w:pStyle w:val="Footer"/>
          <w:jc w:val="center"/>
        </w:pPr>
        <w:r>
          <w:fldChar w:fldCharType="begin"/>
        </w:r>
        <w:r>
          <w:instrText xml:space="preserve"> PAGE   \* MERGEFORMAT </w:instrText>
        </w:r>
        <w:r>
          <w:fldChar w:fldCharType="separate"/>
        </w:r>
        <w:r>
          <w:t>2</w:t>
        </w:r>
        <w:r>
          <w:fldChar w:fldCharType="end"/>
        </w:r>
      </w:p>
    </w:sdtContent>
  </w:sdt>
  <w:p w14:paraId="46C1521C" w14:textId="77777777" w:rsidR="00AB26B3" w:rsidRDefault="00AB26B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8CA0E" w14:textId="77777777" w:rsidR="00302FC1" w:rsidRDefault="00302FC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09275"/>
      <w:docPartObj>
        <w:docPartGallery w:val="Page Numbers (Bottom of Page)"/>
        <w:docPartUnique/>
      </w:docPartObj>
    </w:sdtPr>
    <w:sdtEndPr>
      <w:rPr>
        <w:noProof/>
      </w:rPr>
    </w:sdtEndPr>
    <w:sdtContent>
      <w:p w14:paraId="799EA5DE"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564E2750" w14:textId="77777777" w:rsidR="00302FC1" w:rsidRDefault="00302FC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164B" w14:textId="77777777" w:rsidR="00302FC1" w:rsidRDefault="00302FC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B409" w14:textId="77777777" w:rsidR="00302FC1" w:rsidRDefault="00302FC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613676"/>
      <w:docPartObj>
        <w:docPartGallery w:val="Page Numbers (Bottom of Page)"/>
        <w:docPartUnique/>
      </w:docPartObj>
    </w:sdtPr>
    <w:sdtEndPr>
      <w:rPr>
        <w:noProof/>
      </w:rPr>
    </w:sdtEndPr>
    <w:sdtContent>
      <w:p w14:paraId="51ADD05C"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41F31C4" w14:textId="77777777" w:rsidR="00302FC1" w:rsidRDefault="00302FC1">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4A04" w14:textId="77777777" w:rsidR="00302FC1" w:rsidRDefault="00302FC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9D8B" w14:textId="77777777" w:rsidR="00302FC1" w:rsidRDefault="00302FC1">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920688"/>
      <w:docPartObj>
        <w:docPartGallery w:val="Page Numbers (Bottom of Page)"/>
        <w:docPartUnique/>
      </w:docPartObj>
    </w:sdtPr>
    <w:sdtEndPr>
      <w:rPr>
        <w:noProof/>
      </w:rPr>
    </w:sdtEndPr>
    <w:sdtContent>
      <w:p w14:paraId="6C61E13A"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020A4FEF" w14:textId="77777777" w:rsidR="00302FC1" w:rsidRDefault="00302FC1">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066A1" w14:textId="77777777" w:rsidR="00302FC1" w:rsidRDefault="00302F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EB02" w14:textId="77777777" w:rsidR="00302FC1" w:rsidRDefault="00302FC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FA57E" w14:textId="77777777" w:rsidR="00302FC1" w:rsidRDefault="00302FC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806263"/>
      <w:docPartObj>
        <w:docPartGallery w:val="Page Numbers (Bottom of Page)"/>
        <w:docPartUnique/>
      </w:docPartObj>
    </w:sdtPr>
    <w:sdtEndPr>
      <w:rPr>
        <w:noProof/>
      </w:rPr>
    </w:sdtEndPr>
    <w:sdtContent>
      <w:p w14:paraId="4394D2A3"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F619B65" w14:textId="77777777" w:rsidR="00302FC1" w:rsidRDefault="00302FC1">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760D" w14:textId="77777777" w:rsidR="00302FC1" w:rsidRDefault="00302FC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7E97E" w14:textId="77777777" w:rsidR="00302FC1" w:rsidRDefault="00302FC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206954"/>
      <w:docPartObj>
        <w:docPartGallery w:val="Page Numbers (Bottom of Page)"/>
        <w:docPartUnique/>
      </w:docPartObj>
    </w:sdtPr>
    <w:sdtEndPr>
      <w:rPr>
        <w:noProof/>
      </w:rPr>
    </w:sdtEndPr>
    <w:sdtContent>
      <w:p w14:paraId="1FC75F29"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E9A627E" w14:textId="77777777" w:rsidR="00302FC1" w:rsidRDefault="00302FC1">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333E" w14:textId="77777777" w:rsidR="00302FC1" w:rsidRDefault="00302FC1">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989906"/>
      <w:docPartObj>
        <w:docPartGallery w:val="Page Numbers (Bottom of Page)"/>
        <w:docPartUnique/>
      </w:docPartObj>
    </w:sdtPr>
    <w:sdtEndPr>
      <w:rPr>
        <w:noProof/>
      </w:rPr>
    </w:sdtEndPr>
    <w:sdtContent>
      <w:p w14:paraId="50853548"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2159E632" w14:textId="77777777" w:rsidR="00302FC1" w:rsidRDefault="00302FC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0E630" w14:textId="77777777" w:rsidR="00302FC1" w:rsidRDefault="00302FC1">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15896"/>
      <w:docPartObj>
        <w:docPartGallery w:val="Page Numbers (Bottom of Page)"/>
        <w:docPartUnique/>
      </w:docPartObj>
    </w:sdtPr>
    <w:sdtEndPr>
      <w:rPr>
        <w:noProof/>
      </w:rPr>
    </w:sdtEndPr>
    <w:sdtContent>
      <w:p w14:paraId="1F4F2EAE"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BBE7F62" w14:textId="77777777" w:rsidR="00302FC1" w:rsidRDefault="00302FC1">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33AB" w14:textId="77777777" w:rsidR="00302FC1" w:rsidRDefault="00302F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667612"/>
      <w:docPartObj>
        <w:docPartGallery w:val="Page Numbers (Bottom of Page)"/>
        <w:docPartUnique/>
      </w:docPartObj>
    </w:sdtPr>
    <w:sdtEndPr>
      <w:rPr>
        <w:noProof/>
      </w:rPr>
    </w:sdtEndPr>
    <w:sdtContent>
      <w:p w14:paraId="50B2EB03" w14:textId="3806AA9F" w:rsidR="00302FC1" w:rsidRDefault="00D64F26">
        <w:pPr>
          <w:pStyle w:val="Footer"/>
          <w:jc w:val="center"/>
        </w:pPr>
        <w:r>
          <w:fldChar w:fldCharType="begin"/>
        </w:r>
        <w:r>
          <w:instrText xml:space="preserve"> PAGE   \* MERGEFORMAT </w:instrText>
        </w:r>
        <w:r>
          <w:fldChar w:fldCharType="separate"/>
        </w:r>
        <w:r w:rsidR="00842005">
          <w:rPr>
            <w:noProof/>
          </w:rPr>
          <w:t>3</w:t>
        </w:r>
        <w:r>
          <w:fldChar w:fldCharType="end"/>
        </w:r>
      </w:p>
    </w:sdtContent>
  </w:sdt>
  <w:p w14:paraId="50B2EB04" w14:textId="77777777" w:rsidR="00302FC1" w:rsidRDefault="00302FC1">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440870"/>
      <w:docPartObj>
        <w:docPartGallery w:val="Page Numbers (Bottom of Page)"/>
        <w:docPartUnique/>
      </w:docPartObj>
    </w:sdtPr>
    <w:sdtEndPr>
      <w:rPr>
        <w:noProof/>
      </w:rPr>
    </w:sdtEndPr>
    <w:sdtContent>
      <w:p w14:paraId="7884F532"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FBF8344" w14:textId="77777777" w:rsidR="00302FC1" w:rsidRDefault="00302FC1">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CDA89" w14:textId="77777777" w:rsidR="00302FC1" w:rsidRDefault="00302FC1">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390863"/>
      <w:docPartObj>
        <w:docPartGallery w:val="Page Numbers (Bottom of Page)"/>
        <w:docPartUnique/>
      </w:docPartObj>
    </w:sdtPr>
    <w:sdtEndPr>
      <w:rPr>
        <w:noProof/>
      </w:rPr>
    </w:sdtEndPr>
    <w:sdtContent>
      <w:p w14:paraId="352C17D9"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79BC009" w14:textId="77777777" w:rsidR="00302FC1" w:rsidRDefault="00302FC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0460" w14:textId="77777777" w:rsidR="00302FC1" w:rsidRDefault="00302FC1">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A29B5" w14:textId="77777777" w:rsidR="00302FC1" w:rsidRDefault="00302FC1">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812423"/>
      <w:docPartObj>
        <w:docPartGallery w:val="Page Numbers (Bottom of Page)"/>
        <w:docPartUnique/>
      </w:docPartObj>
    </w:sdtPr>
    <w:sdtEndPr>
      <w:rPr>
        <w:noProof/>
      </w:rPr>
    </w:sdtEndPr>
    <w:sdtContent>
      <w:p w14:paraId="16951EA7"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1C59E1E" w14:textId="77777777" w:rsidR="00302FC1" w:rsidRDefault="00302FC1">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AA2D5" w14:textId="77777777" w:rsidR="00302FC1" w:rsidRDefault="00302FC1">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EBD9" w14:textId="77777777" w:rsidR="00302FC1" w:rsidRDefault="00302FC1">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188481"/>
      <w:docPartObj>
        <w:docPartGallery w:val="Page Numbers (Bottom of Page)"/>
        <w:docPartUnique/>
      </w:docPartObj>
    </w:sdtPr>
    <w:sdtEndPr>
      <w:rPr>
        <w:noProof/>
      </w:rPr>
    </w:sdtEndPr>
    <w:sdtContent>
      <w:p w14:paraId="4775CAFC"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0CF9053C" w14:textId="77777777" w:rsidR="00302FC1" w:rsidRDefault="00302FC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4274" w14:textId="77777777" w:rsidR="00302FC1" w:rsidRDefault="00302FC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EB06" w14:textId="77777777" w:rsidR="00302FC1" w:rsidRDefault="00302FC1">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6122"/>
      <w:docPartObj>
        <w:docPartGallery w:val="Page Numbers (Bottom of Page)"/>
        <w:docPartUnique/>
      </w:docPartObj>
    </w:sdtPr>
    <w:sdtEndPr>
      <w:rPr>
        <w:noProof/>
      </w:rPr>
    </w:sdtEndPr>
    <w:sdtContent>
      <w:p w14:paraId="30CBC418"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42EA330" w14:textId="77777777" w:rsidR="00302FC1" w:rsidRDefault="00302FC1">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264556"/>
      <w:docPartObj>
        <w:docPartGallery w:val="Page Numbers (Bottom of Page)"/>
        <w:docPartUnique/>
      </w:docPartObj>
    </w:sdtPr>
    <w:sdtEndPr>
      <w:rPr>
        <w:noProof/>
      </w:rPr>
    </w:sdtEndPr>
    <w:sdtContent>
      <w:p w14:paraId="42BBA7AD"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41C7A14" w14:textId="77777777" w:rsidR="00302FC1" w:rsidRDefault="00302FC1">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139B" w14:textId="77777777" w:rsidR="00302FC1" w:rsidRDefault="00302FC1">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866608"/>
      <w:docPartObj>
        <w:docPartGallery w:val="Page Numbers (Bottom of Page)"/>
        <w:docPartUnique/>
      </w:docPartObj>
    </w:sdtPr>
    <w:sdtEndPr>
      <w:rPr>
        <w:noProof/>
      </w:rPr>
    </w:sdtEndPr>
    <w:sdtContent>
      <w:p w14:paraId="35FB9DAC"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10DCA43B" w14:textId="77777777" w:rsidR="00302FC1" w:rsidRDefault="00302FC1">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9B3E" w14:textId="77777777" w:rsidR="00302FC1" w:rsidRDefault="00302FC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00980"/>
      <w:docPartObj>
        <w:docPartGallery w:val="Page Numbers (Bottom of Page)"/>
        <w:docPartUnique/>
      </w:docPartObj>
    </w:sdtPr>
    <w:sdtEndPr>
      <w:rPr>
        <w:noProof/>
      </w:rPr>
    </w:sdtEndPr>
    <w:sdtContent>
      <w:p w14:paraId="738441AE"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33D8B3B6" w14:textId="77777777" w:rsidR="00302FC1" w:rsidRDefault="00302FC1">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8F75" w14:textId="77777777" w:rsidR="00302FC1" w:rsidRDefault="00302FC1">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730295"/>
      <w:docPartObj>
        <w:docPartGallery w:val="Page Numbers (Bottom of Page)"/>
        <w:docPartUnique/>
      </w:docPartObj>
    </w:sdtPr>
    <w:sdtEndPr>
      <w:rPr>
        <w:noProof/>
      </w:rPr>
    </w:sdtEndPr>
    <w:sdtContent>
      <w:p w14:paraId="668AD24B" w14:textId="77777777" w:rsidR="00302FC1" w:rsidRDefault="00D64F26">
        <w:pPr>
          <w:pStyle w:val="Footer"/>
          <w:jc w:val="center"/>
        </w:pPr>
        <w:r>
          <w:fldChar w:fldCharType="begin"/>
        </w:r>
        <w:r>
          <w:instrText xml:space="preserve"> PAGE   \* MERGEFORMAT </w:instrText>
        </w:r>
        <w:r>
          <w:fldChar w:fldCharType="separate"/>
        </w:r>
        <w:r>
          <w:t>2</w:t>
        </w:r>
        <w:r>
          <w:fldChar w:fldCharType="end"/>
        </w:r>
      </w:p>
    </w:sdtContent>
  </w:sdt>
  <w:p w14:paraId="76B263B4" w14:textId="77777777" w:rsidR="00302FC1" w:rsidRDefault="00302FC1">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4776" w14:textId="77777777" w:rsidR="00302FC1" w:rsidRDefault="00302FC1">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C5684" w14:textId="77777777" w:rsidR="00302FC1" w:rsidRDefault="00302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D8C4" w14:textId="77777777" w:rsidR="00374ABD" w:rsidRDefault="00374ABD">
      <w:pPr>
        <w:spacing w:after="0" w:line="240" w:lineRule="auto"/>
      </w:pPr>
      <w:r>
        <w:separator/>
      </w:r>
    </w:p>
  </w:footnote>
  <w:footnote w:type="continuationSeparator" w:id="0">
    <w:p w14:paraId="2546920D" w14:textId="77777777" w:rsidR="00374ABD" w:rsidRDefault="00374ABD">
      <w:pPr>
        <w:spacing w:after="0" w:line="240" w:lineRule="auto"/>
      </w:pPr>
      <w:r>
        <w:continuationSeparator/>
      </w:r>
    </w:p>
  </w:footnote>
  <w:footnote w:type="continuationNotice" w:id="1">
    <w:p w14:paraId="6899620F" w14:textId="77777777" w:rsidR="00374ABD" w:rsidRDefault="00374ABD">
      <w:pPr>
        <w:spacing w:after="0" w:line="240" w:lineRule="auto"/>
      </w:pPr>
    </w:p>
  </w:footnote>
  <w:footnote w:id="2">
    <w:p w14:paraId="6A96058E" w14:textId="77777777" w:rsidR="00302FC1" w:rsidRDefault="00D64F26">
      <w:pPr>
        <w:pStyle w:val="FootnoteText"/>
        <w:ind w:left="0" w:firstLine="0"/>
      </w:pPr>
      <w:r>
        <w:rPr>
          <w:rStyle w:val="FootnoteReference"/>
        </w:rPr>
        <w:footnoteRef/>
      </w:r>
      <w:r>
        <w:t xml:space="preserve"> </w:t>
      </w:r>
      <w:r>
        <w:rPr>
          <w:rFonts w:eastAsia="Times New Roman"/>
        </w:rPr>
        <w:t>Finanční sprostredkovatelia sú povinní poskytnúť odôvodnenie vybranej oblasti intervencie pre každý podporovaný projekt spolu s opisom projektu na účely výpočtu príspevku na opatrenia v oblasti klímy. Od implementujúceho partnera sa takisto vyžaduje, aby členskému štátu predkladal polročnú správu o vykonávaní každého projektu/činnosti</w:t>
      </w:r>
      <w:r>
        <w:t>.</w:t>
      </w:r>
    </w:p>
  </w:footnote>
  <w:footnote w:id="3">
    <w:p w14:paraId="170EC34F" w14:textId="09C5725E" w:rsidR="00302FC1" w:rsidRDefault="00D64F26">
      <w:pPr>
        <w:pStyle w:val="FootnoteText"/>
        <w:ind w:left="0" w:firstLine="0"/>
      </w:pPr>
      <w:r>
        <w:rPr>
          <w:rStyle w:val="FootnoteReference"/>
        </w:rPr>
        <w:footnoteRef/>
      </w:r>
      <w:r>
        <w:t xml:space="preserve"> V prípade výstavby systémov odpadových vôd medzi koncovými bodmi musí mať opatrenie nulovú čistú spotrebu energie a v prípade obnovy systémov odpadových vôd medzi koncovými bodmi musí opatrenie viesť k zníženiu priemernej spotreby energie aspoň o 10 % (výlučne opatreniami energetickej efektívnosti, a nie podstatnými zmenami alebo zmenami zaťaženia).</w:t>
      </w:r>
    </w:p>
  </w:footnote>
  <w:footnote w:id="4">
    <w:p w14:paraId="6D18CBDE" w14:textId="77777777" w:rsidR="00302FC1" w:rsidRDefault="00D64F26">
      <w:pPr>
        <w:pStyle w:val="FootnoteText"/>
        <w:ind w:left="0" w:firstLine="0"/>
      </w:pPr>
      <w:r>
        <w:rPr>
          <w:rStyle w:val="FootnoteReference"/>
        </w:rPr>
        <w:footnoteRef/>
      </w:r>
      <w:r>
        <w:t xml:space="preserve"> Okrem projektov v rámci tohto opatrenia v oblasti výroby elektrickej energie a/alebo tepla, ako aj súvisiacej prenosovej a distribučnej infraštruktúry využívajúcej zemný plyn, ktoré spĺňajú podmienky stanovené v prílohe III k technickému usmerneniu „nespôsobiť žiadne významné škody“ (2021/C58/01).</w:t>
      </w:r>
    </w:p>
  </w:footnote>
  <w:footnote w:id="5">
    <w:p w14:paraId="6B5201AD" w14:textId="77777777" w:rsidR="00302FC1" w:rsidRDefault="00D64F26">
      <w:pPr>
        <w:pStyle w:val="FootnoteText"/>
        <w:ind w:left="0" w:firstLine="0"/>
      </w:pPr>
      <w:r>
        <w:rPr>
          <w:rStyle w:val="FootnoteReference"/>
        </w:rPr>
        <w:footnoteRef/>
      </w:r>
      <w:r>
        <w:t xml:space="preserve"> Ak sa v rámci podporovanej činnosti dosiahnu predpokladané emisie skleníkových plynov, ktoré nie sú výrazne nižšie ako príslušné referenčné hodnoty, malo by sa poskytnúť vysvetlenie dôvodov, prečo to nie je možné. Referenčné hodnoty stanovené pre bezodplatné prideľovanie kvót pre činnosti, ktoré patria do rozsahu pôsobnosti systému obchodovania s emisiami, ako sa stanovuje vo vykonávacom nariadení Komisie (EÚ) 2021/447.</w:t>
      </w:r>
    </w:p>
  </w:footnote>
  <w:footnote w:id="6">
    <w:p w14:paraId="441737C4" w14:textId="77777777" w:rsidR="00302FC1" w:rsidRDefault="00D64F26">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rPr>
        <w:t xml:space="preserve"> Toto vylúčenie sa nevzťahuje na činnosti v rámci tohto opatrenia v zariadeniach určených výlučne na spracovanie nerecyklovateľného nebezpečného odpadu a na existujúce zariadenia, ak sú činnosti v rámci tohto opatrenia zamerané na zvýšenie energetickej účinnosti, zachytávanie výfukových plynov na skladovanie alebo používanie alebo zhodnocovanie materiálov zo spaľovania popola za predpokladu, že takéto opatrenia v rámci tohto opatrenia nevedú k zvýšeniu kapacity zariadení na spracovanie odpadu alebo k predĺženiu životnosti zariadení; v prípade ktorých sa poskytujú dôkazy na úrovni zariadenia.</w:t>
      </w:r>
    </w:p>
  </w:footnote>
  <w:footnote w:id="7">
    <w:p w14:paraId="49C34606" w14:textId="77777777" w:rsidR="00302FC1" w:rsidRDefault="00D64F26">
      <w:pPr>
        <w:pStyle w:val="FootnoteText"/>
        <w:ind w:left="0" w:firstLine="0"/>
      </w:pPr>
      <w:r>
        <w:rPr>
          <w:rStyle w:val="FootnoteReference"/>
        </w:rPr>
        <w:footnoteRef/>
      </w:r>
      <w:r>
        <w:t xml:space="preserve"> Toto vylúčenie sa nevzťahuje na akcie v rámci tohto opatrenia v existujúcich zariadeniach na mechanické biologické spracovanie, ak sú činnosti v rámci tohto opatrenia zamerané na zvýšenie energetickej účinnosti alebo prispôsobenie triedeného odpadu na činnosti recyklácie kompostovaného biologického odpadu a anaeróbnej digescie biologického odpadu za predpokladu, že takéto opatrenia v rámci tohto opatrenia nevedú k zvýšeniu kapacity zariadení na spracovanie odpadu alebo k predĺženiu životnosti zariadení; v prípade ktorých sa poskytujú dôkazy na úrovni zariadenia.</w:t>
      </w:r>
    </w:p>
  </w:footnote>
  <w:footnote w:id="8">
    <w:p w14:paraId="63623CA1" w14:textId="77777777" w:rsidR="00302FC1" w:rsidRDefault="00D64F26">
      <w:pPr>
        <w:spacing w:after="0" w:line="240" w:lineRule="auto"/>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S výnimkou a) aktív a činností v oblasti výroby elektriny a/alebo tepla, ako aj súvisiacej prenosovej a distribučnej infraštruktúry využívajúcej zemný plyn, ktoré sú v súlade s podmienkami stanovenými v prílohe III k technickému usmerneniu „výrazne nenarušiť“ (2021/C58/01), a b) činností a zariadení podľa bodu ii), v prípade ktorých je používanie fosílnych palív dočasné a technicky nevyhnutné na včasný prechod na prevádzku bez fosílnych palív.</w:t>
      </w:r>
    </w:p>
  </w:footnote>
  <w:footnote w:id="9">
    <w:p w14:paraId="4ABCCE45" w14:textId="77777777" w:rsidR="00302FC1" w:rsidRDefault="00D64F26">
      <w:pPr>
        <w:spacing w:after="0" w:line="240" w:lineRule="auto"/>
        <w:jc w:val="both"/>
        <w:rPr>
          <w:rFonts w:ascii="Times New Roman" w:eastAsia="EC Square Sans Pro"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Ak podporovaná činnosť dosahuje predpokladané emisie skleníkových plynov, ktoré nie sú výrazne nižšie ako príslušné referenčné hodnoty, poskytne sa vysvetlenie dôvodov, prečo to nie je možné. Referenčné hodnoty stanovené pre bezodplatné prideľovanie kvót pre činnosti, ktoré patria do rozsahu pôsobnosti systému obchodovania s emisiami, ako sa stanovuje vo vykonávacom nariadení Komisie (EÚ) 2021/447.</w:t>
      </w:r>
      <w:r>
        <w:rPr>
          <w:rFonts w:ascii="Times New Roman" w:eastAsia="EC Square Sans Pro" w:hAnsi="Times New Roman" w:cs="Times New Roman"/>
        </w:rPr>
        <w:t xml:space="preserve"> </w:t>
      </w:r>
    </w:p>
  </w:footnote>
  <w:footnote w:id="10">
    <w:p w14:paraId="4842087B" w14:textId="77777777" w:rsidR="00302FC1" w:rsidRDefault="00D64F26">
      <w:pPr>
        <w:spacing w:after="0" w:line="240" w:lineRule="auto"/>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 xml:space="preserve">Toto vylúčenie sa nevzťahuje na činnosti v rámci tohto opatrenia v zariadeniach určených výlučne na spracovanie nerecyklovateľného nebezpečného odpadu a na existujúce zariadenia, ak sú činnosti v rámci tohto opatrenia zamerané na zvýšenie energetickej účinnosti, zachytávanie výfukových plynov na skladovanie alebo používanie alebo zhodnocovanie materiálov zo spaľovania popola za predpokladu, že takéto opatrenia v rámci tohto opatrenia nevedú k zvýšeniu kapacity zariadení na spracovanie odpadu alebo k predĺženiu životnosti zariadení; v prípade ktorých sa poskytujú dôkazy na úrovni zariadenia. </w:t>
      </w:r>
    </w:p>
  </w:footnote>
  <w:footnote w:id="11">
    <w:p w14:paraId="284C213D" w14:textId="77777777" w:rsidR="00302FC1" w:rsidRDefault="00D64F26">
      <w:pPr>
        <w:spacing w:after="0" w:line="240" w:lineRule="auto"/>
        <w:jc w:val="both"/>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 xml:space="preserve">Toto vylúčenie sa nevzťahuje na akcie v rámci tohto opatrenia v existujúcich zariadeniach na mechanické biologické spracovanie, ak sú činnosti v rámci tohto opatrenia zamerané na zvýšenie energetickej účinnosti alebo prispôsobenie triedeného odpadu na činnosti recyklácie kompostovaného biologického odpadu a anaeróbnej digescie biologického odpadu za predpokladu, že takéto opatrenia v rámci tohto opatrenia nevedú k zvýšeniu kapacity zariadení na spracovanie odpadu alebo k predĺženiu životnosti zariadení; v prípade ktorých sa poskytujú dôkazy na úrovni zariadenia. </w:t>
      </w:r>
    </w:p>
  </w:footnote>
  <w:footnote w:id="12">
    <w:p w14:paraId="0BA3F0BD" w14:textId="77777777" w:rsidR="00302FC1" w:rsidRDefault="00D64F26">
      <w:pPr>
        <w:spacing w:after="0" w:line="240" w:lineRule="auto"/>
        <w:jc w:val="both"/>
        <w:rPr>
          <w:rFonts w:eastAsia="Times New Roman"/>
        </w:rPr>
      </w:pPr>
      <w:r>
        <w:rPr>
          <w:rStyle w:val="FootnoteReference"/>
        </w:rPr>
        <w:footnoteRef/>
      </w:r>
      <w:r>
        <w:t xml:space="preserve"> </w:t>
      </w:r>
      <w:r>
        <w:rPr>
          <w:rFonts w:ascii="Times New Roman" w:eastAsia="Times New Roman" w:hAnsi="Times New Roman" w:cs="Times New Roman"/>
          <w:sz w:val="20"/>
          <w:szCs w:val="20"/>
        </w:rPr>
        <w:t>Predpokladá sa, že konečný príjemca má „podstatné zameranie“ na odvetvie alebo podnikateľskú činnosť, ak sa takéto odvetvie alebo činnosť považuje za podstatnú súčasť podnikateľskej činnosti konečného príjemcu vo vzťahu k hrubým príjmom, zisku alebo klientskej základni konečného príjemcu. Hrubé príjmy z obmedzeného sektora alebo činnosti v žiadnom prípade nepresiahnu 50 % hrubých príjmov.</w:t>
      </w:r>
    </w:p>
  </w:footnote>
  <w:footnote w:id="13">
    <w:p w14:paraId="2B573264" w14:textId="77777777" w:rsidR="00302FC1" w:rsidRDefault="00D64F26">
      <w:pPr>
        <w:spacing w:after="0" w:line="240" w:lineRule="auto"/>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 výnimkou a) aktív a činností v oblasti výroby elektriny a/alebo tepla, ako aj súvisiacej prenosovej a distribučnej infraštruktúry využívajúcej zemný plyn, ktoré sú v súlade s podmienkami stanovenými v prílohe III k technickému usmerneniu „výrazne nenarušiť“ (2021/C58/01), a b) činností a zariadení podľa bodu ii), v prípade ktorých je používanie fosílnych palív dočasné a technicky nevyhnutné na včasný prechod na prevádzku bez fosílnych palív.</w:t>
      </w:r>
    </w:p>
  </w:footnote>
  <w:footnote w:id="14">
    <w:p w14:paraId="4B34F4DA" w14:textId="77777777" w:rsidR="00302FC1" w:rsidRDefault="00D64F26">
      <w:pPr>
        <w:spacing w:after="0" w:line="240" w:lineRule="auto"/>
        <w:jc w:val="both"/>
        <w:rPr>
          <w:rFonts w:eastAsia="EC Square Sans Pro"/>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Vrátane činností a aktív v rámci systému EÚ na obchodovanie s emisiami (ETS), ktorými sa dosahujú predpokladané emisie skleníkových plynov, ktoré nie sú nižšie ako príslušné referenčné hodnoty. Ak podporovaná činnosť dosahuje predpokladané emisie skleníkových plynov, ktoré nie sú výrazne nižšie ako príslušné referenčné hodnoty, poskytne sa vysvetlenie dôvodov, prečo to nie je možné. Referenčné hodnoty stanovené pre bezodplatné prideľovanie kvót pre činnosti, ktoré patria do rozsahu pôsobnosti systému obchodovania s emisiami, ako sa stanovuje vo vykonávacom nariadení Komisie (EÚ) 2021/447.</w:t>
      </w:r>
    </w:p>
  </w:footnote>
  <w:footnote w:id="15">
    <w:p w14:paraId="49A236D2" w14:textId="77777777" w:rsidR="00302FC1" w:rsidRDefault="00D64F26">
      <w:pPr>
        <w:spacing w:after="0" w:line="240" w:lineRule="auto"/>
        <w:jc w:val="both"/>
        <w:rPr>
          <w:rFonts w:ascii="Times New Roman" w:eastAsia="Times New Roman" w:hAnsi="Times New Roman" w:cs="Times New Roman"/>
        </w:rPr>
      </w:pPr>
      <w:r>
        <w:rPr>
          <w:rStyle w:val="FootnoteReference"/>
        </w:rPr>
        <w:footnoteRef/>
      </w:r>
      <w:r>
        <w:rPr>
          <w:rStyle w:val="FootnoteReference"/>
        </w:rPr>
        <w:t xml:space="preserve"> </w:t>
      </w:r>
      <w:r>
        <w:rPr>
          <w:rFonts w:ascii="Times New Roman" w:hAnsi="Times New Roman" w:cs="Times New Roman"/>
          <w:sz w:val="20"/>
          <w:szCs w:val="20"/>
        </w:rPr>
        <w:t>Znečisťujúce vozidlá sú vymedzené ako vozidlá s nulovými emisiami.</w:t>
      </w:r>
    </w:p>
  </w:footnote>
  <w:footnote w:id="16">
    <w:p w14:paraId="6F1DF825" w14:textId="77777777" w:rsidR="00302FC1" w:rsidRDefault="00D64F26">
      <w:pPr>
        <w:spacing w:after="0" w:line="240" w:lineRule="auto"/>
        <w:jc w:val="both"/>
        <w:rPr>
          <w:rFonts w:eastAsia="Times New Roman"/>
        </w:rPr>
      </w:pPr>
      <w:r>
        <w:rPr>
          <w:rStyle w:val="FootnoteReference"/>
        </w:rPr>
        <w:footnoteRef/>
      </w:r>
      <w:r>
        <w:t xml:space="preserve"> </w:t>
      </w:r>
      <w:r>
        <w:rPr>
          <w:rFonts w:ascii="Times New Roman" w:eastAsia="Times New Roman" w:hAnsi="Times New Roman" w:cs="Times New Roman"/>
          <w:sz w:val="20"/>
          <w:szCs w:val="20"/>
        </w:rPr>
        <w:t>Toto vylúčenie sa nevzťahuje na činnosti v zariadeniach určených výlučne na spracovanie nerecyklovateľného nebezpečného odpadu a na existujúce zariadenia, ak sú opatrenia v rámci tohto opatrenia zamerané na zvýšenie energetickej účinnosti, zachytávanie výfukových plynov na skladovanie alebo používanie alebo zhodnocovanie materiálov zo spaľovania popola za predpokladu, že takéto opatrenia v rámci tohto opatrenia nevedú k zvýšeniu kapacity zariadení na spracovanie odpadu alebo k predĺženiu životnosti zariadení; v prípade ktorých sa poskytujú dôkazy na úrovni zariadenia.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03C5" w14:textId="77777777" w:rsidR="00842005" w:rsidRPr="00842005" w:rsidRDefault="00842005" w:rsidP="00842005">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C23EF" w14:textId="77777777" w:rsidR="00302FC1" w:rsidRDefault="00302FC1">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8B810" w14:textId="77777777" w:rsidR="00302FC1" w:rsidRDefault="00302FC1">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DD8C" w14:textId="77777777" w:rsidR="00302FC1" w:rsidRDefault="00302FC1">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6A09" w14:textId="77777777" w:rsidR="00302FC1" w:rsidRDefault="00302FC1">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38E4" w14:textId="77777777" w:rsidR="00302FC1" w:rsidRDefault="00302FC1">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285E" w14:textId="77777777" w:rsidR="00302FC1" w:rsidRDefault="00302FC1">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4C35" w14:textId="77777777" w:rsidR="00AB26B3" w:rsidRDefault="00AB26B3">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44F3D" w14:textId="77777777" w:rsidR="00302FC1" w:rsidRDefault="00302FC1">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1877" w14:textId="77777777" w:rsidR="00302FC1" w:rsidRDefault="00302FC1">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FC3C" w14:textId="77777777" w:rsidR="00302FC1" w:rsidRDefault="00302FC1">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C01C" w14:textId="77777777" w:rsidR="00302FC1" w:rsidRDefault="00302F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01592" w14:textId="77777777" w:rsidR="00302FC1" w:rsidRDefault="00302FC1">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48DA" w14:textId="77777777" w:rsidR="00302FC1" w:rsidRDefault="00302FC1">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54FC" w14:textId="77777777" w:rsidR="00302FC1" w:rsidRDefault="00302FC1">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D1235" w14:textId="77777777" w:rsidR="00AB26B3" w:rsidRDefault="00AB26B3">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7F61" w14:textId="77777777" w:rsidR="00AB26B3" w:rsidRDefault="00AB26B3">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648A" w14:textId="77777777" w:rsidR="00302FC1" w:rsidRDefault="00302FC1">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089DF" w14:textId="77777777" w:rsidR="00302FC1" w:rsidRDefault="00302FC1">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85DE" w14:textId="77777777" w:rsidR="00302FC1" w:rsidRDefault="00302FC1">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9C67" w14:textId="77777777" w:rsidR="00302FC1" w:rsidRDefault="00302FC1">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E6DF2" w14:textId="77777777" w:rsidR="00302FC1" w:rsidRDefault="00302FC1">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DC966" w14:textId="77777777" w:rsidR="00302FC1" w:rsidRDefault="00302FC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5C2D" w14:textId="77777777" w:rsidR="00302FC1" w:rsidRDefault="00302FC1">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1E91" w14:textId="77777777" w:rsidR="00302FC1" w:rsidRDefault="00302FC1">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C127" w14:textId="77777777" w:rsidR="00302FC1" w:rsidRDefault="00302FC1">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2358" w14:textId="77777777" w:rsidR="00302FC1" w:rsidRDefault="00302FC1">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5675D" w14:textId="77777777" w:rsidR="00302FC1" w:rsidRDefault="00302FC1">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9F4C" w14:textId="77777777" w:rsidR="00302FC1" w:rsidRDefault="00302FC1">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18588" w14:textId="77777777" w:rsidR="00302FC1" w:rsidRDefault="00302FC1">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9886" w14:textId="77777777" w:rsidR="00302FC1" w:rsidRDefault="00302FC1">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B9329" w14:textId="77777777" w:rsidR="00302FC1" w:rsidRDefault="00302FC1">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52217" w14:textId="77777777" w:rsidR="00302FC1" w:rsidRDefault="00302FC1">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6AE4" w14:textId="77777777" w:rsidR="00302FC1" w:rsidRDefault="00302FC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6D30" w14:textId="77777777" w:rsidR="00302FC1" w:rsidRDefault="00302FC1">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D310" w14:textId="77777777" w:rsidR="00302FC1" w:rsidRDefault="00302FC1">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8FE17" w14:textId="77777777" w:rsidR="00302FC1" w:rsidRDefault="00302FC1">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237C" w14:textId="77777777" w:rsidR="00302FC1" w:rsidRDefault="00302FC1">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4D49" w14:textId="77777777" w:rsidR="00302FC1" w:rsidRDefault="00302FC1">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92E22" w14:textId="77777777" w:rsidR="00302FC1" w:rsidRDefault="00302FC1">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D6C5" w14:textId="77777777" w:rsidR="00302FC1" w:rsidRDefault="00302FC1">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C4779" w14:textId="77777777" w:rsidR="00302FC1" w:rsidRDefault="00302FC1">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6912" w14:textId="77777777" w:rsidR="00302FC1" w:rsidRDefault="00302FC1">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94A11" w14:textId="77777777" w:rsidR="00AB26B3" w:rsidRDefault="00AB26B3">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0FFC" w14:textId="77777777" w:rsidR="00302FC1" w:rsidRDefault="00302FC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5F4C0" w14:textId="77777777" w:rsidR="00302FC1" w:rsidRDefault="00302FC1">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D4FB" w14:textId="77777777" w:rsidR="00302FC1" w:rsidRDefault="00302FC1">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67CC9" w14:textId="77777777" w:rsidR="00302FC1" w:rsidRDefault="00302FC1">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49F2" w14:textId="77777777" w:rsidR="00302FC1" w:rsidRDefault="00302FC1">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6A455" w14:textId="77777777" w:rsidR="00302FC1" w:rsidRDefault="00302FC1">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76A4" w14:textId="77777777" w:rsidR="00302FC1" w:rsidRDefault="00302FC1">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56D3" w14:textId="77777777" w:rsidR="00302FC1" w:rsidRDefault="00302FC1">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65CE" w14:textId="77777777" w:rsidR="00302FC1" w:rsidRDefault="00302FC1">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1EE42" w14:textId="77777777" w:rsidR="00302FC1" w:rsidRDefault="00302FC1">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585D2" w14:textId="77777777" w:rsidR="00302FC1" w:rsidRDefault="00302FC1">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19E3" w14:textId="77777777" w:rsidR="00302FC1" w:rsidRDefault="00302FC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BA543" w14:textId="77777777" w:rsidR="00302FC1" w:rsidRDefault="00302FC1">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4E1D3" w14:textId="77777777" w:rsidR="00302FC1" w:rsidRDefault="00302FC1">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73D5" w14:textId="77777777" w:rsidR="00302FC1" w:rsidRDefault="00302FC1">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79C3" w14:textId="77777777" w:rsidR="00302FC1" w:rsidRDefault="00302FC1">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7BE0E" w14:textId="77777777" w:rsidR="00302FC1" w:rsidRDefault="00302FC1">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DBCD" w14:textId="77777777" w:rsidR="00302FC1" w:rsidRDefault="00302FC1">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FFC4" w14:textId="77777777" w:rsidR="00302FC1" w:rsidRDefault="00302FC1">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5B5C8" w14:textId="77777777" w:rsidR="00302FC1" w:rsidRDefault="00302FC1">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075E" w14:textId="77777777" w:rsidR="00302FC1" w:rsidRDefault="00302FC1">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79661" w14:textId="77777777" w:rsidR="00302FC1" w:rsidRDefault="00302FC1">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8B4A" w14:textId="77777777" w:rsidR="00302FC1" w:rsidRDefault="00302FC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4DB8" w14:textId="77777777" w:rsidR="00302FC1" w:rsidRDefault="00302FC1">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0C05" w14:textId="77777777" w:rsidR="00302FC1" w:rsidRDefault="00302FC1">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866E" w14:textId="77777777" w:rsidR="00302FC1" w:rsidRDefault="00302FC1">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3576" w14:textId="77777777" w:rsidR="00302FC1" w:rsidRDefault="00302FC1">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B2DF" w14:textId="77777777" w:rsidR="00302FC1" w:rsidRDefault="00302FC1">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65EE" w14:textId="77777777" w:rsidR="00302FC1" w:rsidRDefault="00302FC1">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F236" w14:textId="77777777" w:rsidR="00302FC1" w:rsidRDefault="00302FC1">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46DA" w14:textId="77777777" w:rsidR="00302FC1" w:rsidRDefault="00302FC1">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FBD4" w14:textId="77777777" w:rsidR="00302FC1" w:rsidRDefault="00302FC1">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1E68" w14:textId="77777777" w:rsidR="00302FC1" w:rsidRDefault="00302FC1">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8E9E" w14:textId="77777777" w:rsidR="00302FC1" w:rsidRDefault="00302FC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4DF4" w14:textId="77777777" w:rsidR="00302FC1" w:rsidRDefault="00302FC1">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F81B" w14:textId="77777777" w:rsidR="00302FC1" w:rsidRDefault="00302FC1">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F4D46" w14:textId="77777777" w:rsidR="00302FC1" w:rsidRDefault="00302FC1">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0324" w14:textId="77777777" w:rsidR="00AB26B3" w:rsidRDefault="00AB26B3">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4F9D1" w14:textId="77777777" w:rsidR="00AB26B3" w:rsidRDefault="00AB26B3">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10F45" w14:textId="77777777" w:rsidR="00302FC1" w:rsidRDefault="00302FC1">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06468" w14:textId="77777777" w:rsidR="00302FC1" w:rsidRDefault="00302FC1">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EDA7" w14:textId="77777777" w:rsidR="00302FC1" w:rsidRDefault="00302FC1">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F0DA" w14:textId="77777777" w:rsidR="00302FC1" w:rsidRDefault="00302FC1">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06F3" w14:textId="77777777" w:rsidR="00302FC1" w:rsidRDefault="00302FC1">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20B8A" w14:textId="77777777" w:rsidR="00302FC1" w:rsidRDefault="00302FC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B3BC" w14:textId="77777777" w:rsidR="00302FC1" w:rsidRDefault="00302FC1">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78ED" w14:textId="77777777" w:rsidR="00302FC1" w:rsidRDefault="00302FC1">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69F85" w14:textId="77777777" w:rsidR="00302FC1" w:rsidRDefault="00302FC1">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E258" w14:textId="77777777" w:rsidR="00302FC1" w:rsidRDefault="00302FC1">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0FE5" w14:textId="77777777" w:rsidR="00302FC1" w:rsidRDefault="00302FC1">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7C1D7" w14:textId="77777777" w:rsidR="00302FC1" w:rsidRDefault="00302FC1">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29AF6" w14:textId="77777777" w:rsidR="00302FC1" w:rsidRDefault="00302FC1">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2CDA" w14:textId="77777777" w:rsidR="00302FC1" w:rsidRDefault="00302FC1">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D43B" w14:textId="77777777" w:rsidR="00AB26B3" w:rsidRDefault="00AB26B3">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7883" w14:textId="77777777" w:rsidR="00AB26B3" w:rsidRDefault="00AB26B3">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BAB0" w14:textId="77777777" w:rsidR="00AB26B3" w:rsidRDefault="00AB26B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1EFD" w14:textId="77777777" w:rsidR="00302FC1" w:rsidRDefault="00302FC1">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AC66" w14:textId="77777777" w:rsidR="00302FC1" w:rsidRDefault="00302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AF37F" w14:textId="77777777" w:rsidR="00842005" w:rsidRPr="00842005" w:rsidRDefault="00842005" w:rsidP="00842005">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7B009" w14:textId="77777777" w:rsidR="00302FC1" w:rsidRDefault="00302FC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1B49" w14:textId="77777777" w:rsidR="00302FC1" w:rsidRDefault="00302FC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DFE2" w14:textId="77777777" w:rsidR="00302FC1" w:rsidRDefault="00302FC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8EDA" w14:textId="77777777" w:rsidR="00302FC1" w:rsidRDefault="00302FC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7B57" w14:textId="77777777" w:rsidR="00302FC1" w:rsidRDefault="00302FC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16EB5" w14:textId="77777777" w:rsidR="00302FC1" w:rsidRDefault="00302FC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13FC" w14:textId="77777777" w:rsidR="00302FC1" w:rsidRDefault="00302FC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1625" w14:textId="77777777" w:rsidR="00302FC1" w:rsidRDefault="00302FC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B812" w14:textId="77777777" w:rsidR="00302FC1" w:rsidRDefault="00302FC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8936" w14:textId="77777777" w:rsidR="00302FC1" w:rsidRDefault="00302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430E" w14:textId="77777777" w:rsidR="00842005" w:rsidRPr="00842005" w:rsidRDefault="00842005" w:rsidP="00842005">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99085" w14:textId="77777777" w:rsidR="00302FC1" w:rsidRDefault="00302FC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CB82" w14:textId="77777777" w:rsidR="00302FC1" w:rsidRDefault="00302FC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CA6C6" w14:textId="77777777" w:rsidR="00302FC1" w:rsidRDefault="00302FC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A2CD" w14:textId="77777777" w:rsidR="00302FC1" w:rsidRDefault="00302FC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FA11" w14:textId="77777777" w:rsidR="00302FC1" w:rsidRDefault="00302FC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DD8BB" w14:textId="77777777" w:rsidR="00302FC1" w:rsidRDefault="00302FC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1183" w14:textId="77777777" w:rsidR="00AB26B3" w:rsidRDefault="00AB26B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8D6D" w14:textId="77777777" w:rsidR="00302FC1" w:rsidRDefault="00302FC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8628D" w14:textId="77777777" w:rsidR="00302FC1" w:rsidRDefault="00302FC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0FEA" w14:textId="77777777" w:rsidR="00302FC1" w:rsidRDefault="00302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1EA5F" w14:textId="77777777" w:rsidR="00302FC1" w:rsidRDefault="00302FC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0894" w14:textId="77777777" w:rsidR="00302FC1" w:rsidRDefault="00302FC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FF2B" w14:textId="77777777" w:rsidR="00302FC1" w:rsidRDefault="00302FC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0F2B" w14:textId="77777777" w:rsidR="00302FC1" w:rsidRDefault="00302FC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FFFF" w14:textId="77777777" w:rsidR="00AB26B3" w:rsidRDefault="00AB26B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39DC" w14:textId="77777777" w:rsidR="00302FC1" w:rsidRDefault="00302FC1">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A6ED" w14:textId="77777777" w:rsidR="00302FC1" w:rsidRDefault="00302FC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08FF" w14:textId="77777777" w:rsidR="00302FC1" w:rsidRDefault="00302FC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EDE4" w14:textId="77777777" w:rsidR="00302FC1" w:rsidRDefault="00302FC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E629" w14:textId="77777777" w:rsidR="00302FC1" w:rsidRDefault="00302FC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7693" w14:textId="77777777" w:rsidR="00302FC1" w:rsidRDefault="00302F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5ADE" w14:textId="77777777" w:rsidR="00302FC1" w:rsidRDefault="00D64F26">
    <w:pPr>
      <w:pStyle w:val="HeaderCouncilLarge"/>
    </w:pPr>
    <w:r>
      <w:t> </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AD6CC" w14:textId="77777777" w:rsidR="00302FC1" w:rsidRDefault="00302FC1">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3AE0" w14:textId="77777777" w:rsidR="00302FC1" w:rsidRDefault="00302FC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FF27" w14:textId="77777777" w:rsidR="00302FC1" w:rsidRDefault="00302FC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3CF5F" w14:textId="77777777" w:rsidR="00302FC1" w:rsidRDefault="00302FC1">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670DC" w14:textId="77777777" w:rsidR="00302FC1" w:rsidRDefault="00302FC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2C1F" w14:textId="77777777" w:rsidR="00302FC1" w:rsidRDefault="00302FC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E0A" w14:textId="77777777" w:rsidR="00302FC1" w:rsidRDefault="00302FC1">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5B49" w14:textId="77777777" w:rsidR="00302FC1" w:rsidRDefault="00302FC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4A95" w14:textId="77777777" w:rsidR="00302FC1" w:rsidRDefault="00302FC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615A" w14:textId="77777777" w:rsidR="00AB26B3" w:rsidRDefault="00AB26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8374" w14:textId="77777777" w:rsidR="00302FC1" w:rsidRDefault="00302FC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20020" w14:textId="77777777" w:rsidR="00AB26B3" w:rsidRDefault="00AB26B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73BE" w14:textId="77777777" w:rsidR="00302FC1" w:rsidRDefault="00302FC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8AD7" w14:textId="77777777" w:rsidR="00302FC1" w:rsidRDefault="00302FC1">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B681F" w14:textId="77777777" w:rsidR="00302FC1" w:rsidRDefault="00302FC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60F7A" w14:textId="77777777" w:rsidR="00302FC1" w:rsidRDefault="00302FC1">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E1AAC" w14:textId="77777777" w:rsidR="00302FC1" w:rsidRDefault="00302FC1">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8FDAB" w14:textId="77777777" w:rsidR="00302FC1" w:rsidRDefault="00302FC1">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F8ED" w14:textId="77777777" w:rsidR="00302FC1" w:rsidRDefault="00302FC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A724" w14:textId="77777777" w:rsidR="00302FC1" w:rsidRDefault="00302FC1">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3149" w14:textId="77777777" w:rsidR="00302FC1" w:rsidRDefault="00302F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EB00" w14:textId="77777777" w:rsidR="00302FC1" w:rsidRDefault="00302FC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0ACF" w14:textId="77777777" w:rsidR="00302FC1" w:rsidRDefault="00302FC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8FFD" w14:textId="77777777" w:rsidR="00302FC1" w:rsidRDefault="00302FC1">
    <w:pPr>
      <w:pStyle w:val="Header"/>
      <w:jc w:val="center"/>
    </w:pPr>
  </w:p>
  <w:p w14:paraId="0B0BC8A9" w14:textId="77777777" w:rsidR="00302FC1" w:rsidRDefault="00302FC1">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DBC8" w14:textId="77777777" w:rsidR="00302FC1" w:rsidRDefault="00302FC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CFE0" w14:textId="77777777" w:rsidR="00302FC1" w:rsidRDefault="00302FC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E0ADC" w14:textId="77777777" w:rsidR="00302FC1" w:rsidRDefault="00302FC1">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A03E" w14:textId="77777777" w:rsidR="00302FC1" w:rsidRDefault="00302FC1">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53B6" w14:textId="77777777" w:rsidR="00302FC1" w:rsidRDefault="00302FC1">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E2B3" w14:textId="77777777" w:rsidR="00302FC1" w:rsidRDefault="00302FC1">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FE415" w14:textId="77777777" w:rsidR="00302FC1" w:rsidRDefault="00302FC1">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94720" w14:textId="77777777" w:rsidR="00302FC1" w:rsidRDefault="00302F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EB01" w14:textId="77777777" w:rsidR="00302FC1" w:rsidRDefault="00302FC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EFD4" w14:textId="77777777" w:rsidR="00302FC1" w:rsidRDefault="00302FC1">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5A5E" w14:textId="77777777" w:rsidR="00302FC1" w:rsidRDefault="00302FC1">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4617" w14:textId="77777777" w:rsidR="00302FC1" w:rsidRDefault="00302FC1">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79B4" w14:textId="77777777" w:rsidR="00302FC1" w:rsidRDefault="00302FC1">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8E8A" w14:textId="77777777" w:rsidR="00302FC1" w:rsidRDefault="00302FC1">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B690" w14:textId="77777777" w:rsidR="00302FC1" w:rsidRDefault="00302FC1">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6FF4" w14:textId="77777777" w:rsidR="00302FC1" w:rsidRDefault="00302FC1">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4F0F" w14:textId="77777777" w:rsidR="00302FC1" w:rsidRDefault="00302FC1">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172D" w14:textId="77777777" w:rsidR="00302FC1" w:rsidRDefault="00302FC1">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6C13" w14:textId="77777777" w:rsidR="00302FC1" w:rsidRDefault="00302F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EB05" w14:textId="77777777" w:rsidR="00302FC1" w:rsidRDefault="00302FC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DCE0" w14:textId="77777777" w:rsidR="00302FC1" w:rsidRDefault="00302FC1">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1B46" w14:textId="77777777" w:rsidR="00302FC1" w:rsidRDefault="00302FC1">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13D1" w14:textId="77777777" w:rsidR="00302FC1" w:rsidRDefault="00302FC1">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28B7" w14:textId="77777777" w:rsidR="00302FC1" w:rsidRDefault="00302FC1">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A57B" w14:textId="77777777" w:rsidR="00302FC1" w:rsidRDefault="00302FC1">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B542" w14:textId="77777777" w:rsidR="00302FC1" w:rsidRDefault="00302FC1">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B470E" w14:textId="77777777" w:rsidR="00302FC1" w:rsidRDefault="00302FC1">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8246" w14:textId="77777777" w:rsidR="00302FC1" w:rsidRDefault="00302FC1">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7F66" w14:textId="77777777" w:rsidR="00302FC1" w:rsidRDefault="00302FC1">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02A7" w14:textId="77777777" w:rsidR="00302FC1" w:rsidRDefault="00302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1682140"/>
    <w:lvl w:ilvl="0">
      <w:start w:val="1"/>
      <w:numFmt w:val="bullet"/>
      <w:pStyle w:val="ListBullet4"/>
      <w:lvlText w:val=""/>
      <w:lvlJc w:val="left"/>
      <w:pPr>
        <w:tabs>
          <w:tab w:val="num" w:pos="1628"/>
        </w:tabs>
        <w:ind w:left="1628" w:hanging="360"/>
      </w:pPr>
      <w:rPr>
        <w:rFonts w:ascii="Symbol" w:hAnsi="Symbol" w:hint="default"/>
      </w:rPr>
    </w:lvl>
  </w:abstractNum>
  <w:abstractNum w:abstractNumId="1"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3F54"/>
    <w:multiLevelType w:val="hybridMultilevel"/>
    <w:tmpl w:val="99862E8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0732442"/>
    <w:multiLevelType w:val="hybridMultilevel"/>
    <w:tmpl w:val="E3C0D34E"/>
    <w:lvl w:ilvl="0" w:tplc="0AB29A70">
      <w:start w:val="1"/>
      <w:numFmt w:val="bullet"/>
      <w:lvlText w:val="-"/>
      <w:lvlJc w:val="left"/>
      <w:pPr>
        <w:ind w:left="720" w:hanging="360"/>
      </w:pPr>
      <w:rPr>
        <w:rFonts w:ascii="Aptos" w:hAnsi="Aptos" w:hint="default"/>
      </w:rPr>
    </w:lvl>
    <w:lvl w:ilvl="1" w:tplc="29BEBDFA">
      <w:start w:val="1"/>
      <w:numFmt w:val="bullet"/>
      <w:lvlText w:val="o"/>
      <w:lvlJc w:val="left"/>
      <w:pPr>
        <w:ind w:left="1440" w:hanging="360"/>
      </w:pPr>
      <w:rPr>
        <w:rFonts w:ascii="Courier New" w:hAnsi="Courier New" w:hint="default"/>
      </w:rPr>
    </w:lvl>
    <w:lvl w:ilvl="2" w:tplc="C2826F78">
      <w:start w:val="1"/>
      <w:numFmt w:val="bullet"/>
      <w:lvlText w:val=""/>
      <w:lvlJc w:val="left"/>
      <w:pPr>
        <w:ind w:left="2160" w:hanging="360"/>
      </w:pPr>
      <w:rPr>
        <w:rFonts w:ascii="Wingdings" w:hAnsi="Wingdings" w:hint="default"/>
      </w:rPr>
    </w:lvl>
    <w:lvl w:ilvl="3" w:tplc="A8D46660">
      <w:start w:val="1"/>
      <w:numFmt w:val="bullet"/>
      <w:lvlText w:val=""/>
      <w:lvlJc w:val="left"/>
      <w:pPr>
        <w:ind w:left="2880" w:hanging="360"/>
      </w:pPr>
      <w:rPr>
        <w:rFonts w:ascii="Symbol" w:hAnsi="Symbol" w:hint="default"/>
      </w:rPr>
    </w:lvl>
    <w:lvl w:ilvl="4" w:tplc="C5C834B2">
      <w:start w:val="1"/>
      <w:numFmt w:val="bullet"/>
      <w:lvlText w:val="o"/>
      <w:lvlJc w:val="left"/>
      <w:pPr>
        <w:ind w:left="3600" w:hanging="360"/>
      </w:pPr>
      <w:rPr>
        <w:rFonts w:ascii="Courier New" w:hAnsi="Courier New" w:hint="default"/>
      </w:rPr>
    </w:lvl>
    <w:lvl w:ilvl="5" w:tplc="0A7C94C6">
      <w:start w:val="1"/>
      <w:numFmt w:val="bullet"/>
      <w:lvlText w:val=""/>
      <w:lvlJc w:val="left"/>
      <w:pPr>
        <w:ind w:left="4320" w:hanging="360"/>
      </w:pPr>
      <w:rPr>
        <w:rFonts w:ascii="Wingdings" w:hAnsi="Wingdings" w:hint="default"/>
      </w:rPr>
    </w:lvl>
    <w:lvl w:ilvl="6" w:tplc="F61E8150">
      <w:start w:val="1"/>
      <w:numFmt w:val="bullet"/>
      <w:lvlText w:val=""/>
      <w:lvlJc w:val="left"/>
      <w:pPr>
        <w:ind w:left="5040" w:hanging="360"/>
      </w:pPr>
      <w:rPr>
        <w:rFonts w:ascii="Symbol" w:hAnsi="Symbol" w:hint="default"/>
      </w:rPr>
    </w:lvl>
    <w:lvl w:ilvl="7" w:tplc="594C1818">
      <w:start w:val="1"/>
      <w:numFmt w:val="bullet"/>
      <w:lvlText w:val="o"/>
      <w:lvlJc w:val="left"/>
      <w:pPr>
        <w:ind w:left="5760" w:hanging="360"/>
      </w:pPr>
      <w:rPr>
        <w:rFonts w:ascii="Courier New" w:hAnsi="Courier New" w:hint="default"/>
      </w:rPr>
    </w:lvl>
    <w:lvl w:ilvl="8" w:tplc="918AD63C">
      <w:start w:val="1"/>
      <w:numFmt w:val="bullet"/>
      <w:lvlText w:val=""/>
      <w:lvlJc w:val="left"/>
      <w:pPr>
        <w:ind w:left="6480" w:hanging="360"/>
      </w:pPr>
      <w:rPr>
        <w:rFonts w:ascii="Wingdings" w:hAnsi="Wingdings" w:hint="default"/>
      </w:rPr>
    </w:lvl>
  </w:abstractNum>
  <w:abstractNum w:abstractNumId="6" w15:restartNumberingAfterBreak="0">
    <w:nsid w:val="0128B611"/>
    <w:multiLevelType w:val="hybridMultilevel"/>
    <w:tmpl w:val="FFFFFFFF"/>
    <w:lvl w:ilvl="0" w:tplc="7220A7B8">
      <w:start w:val="1"/>
      <w:numFmt w:val="lowerLetter"/>
      <w:lvlText w:val="%1)"/>
      <w:lvlJc w:val="left"/>
      <w:pPr>
        <w:ind w:left="720" w:hanging="360"/>
      </w:pPr>
    </w:lvl>
    <w:lvl w:ilvl="1" w:tplc="CBB698D8">
      <w:start w:val="1"/>
      <w:numFmt w:val="lowerLetter"/>
      <w:lvlText w:val="%2."/>
      <w:lvlJc w:val="left"/>
      <w:pPr>
        <w:ind w:left="1440" w:hanging="360"/>
      </w:pPr>
    </w:lvl>
    <w:lvl w:ilvl="2" w:tplc="09F8B0FC">
      <w:start w:val="1"/>
      <w:numFmt w:val="lowerRoman"/>
      <w:lvlText w:val="%3."/>
      <w:lvlJc w:val="right"/>
      <w:pPr>
        <w:ind w:left="2160" w:hanging="180"/>
      </w:pPr>
    </w:lvl>
    <w:lvl w:ilvl="3" w:tplc="6656899C">
      <w:start w:val="1"/>
      <w:numFmt w:val="decimal"/>
      <w:lvlText w:val="%4."/>
      <w:lvlJc w:val="left"/>
      <w:pPr>
        <w:ind w:left="2880" w:hanging="360"/>
      </w:pPr>
    </w:lvl>
    <w:lvl w:ilvl="4" w:tplc="B3622BD6">
      <w:start w:val="1"/>
      <w:numFmt w:val="lowerLetter"/>
      <w:lvlText w:val="%5."/>
      <w:lvlJc w:val="left"/>
      <w:pPr>
        <w:ind w:left="3600" w:hanging="360"/>
      </w:pPr>
    </w:lvl>
    <w:lvl w:ilvl="5" w:tplc="FA7C2F20">
      <w:start w:val="1"/>
      <w:numFmt w:val="lowerRoman"/>
      <w:lvlText w:val="%6."/>
      <w:lvlJc w:val="right"/>
      <w:pPr>
        <w:ind w:left="4320" w:hanging="180"/>
      </w:pPr>
    </w:lvl>
    <w:lvl w:ilvl="6" w:tplc="2BE0BC62">
      <w:start w:val="1"/>
      <w:numFmt w:val="decimal"/>
      <w:lvlText w:val="%7."/>
      <w:lvlJc w:val="left"/>
      <w:pPr>
        <w:ind w:left="5040" w:hanging="360"/>
      </w:pPr>
    </w:lvl>
    <w:lvl w:ilvl="7" w:tplc="95E85040">
      <w:start w:val="1"/>
      <w:numFmt w:val="lowerLetter"/>
      <w:lvlText w:val="%8."/>
      <w:lvlJc w:val="left"/>
      <w:pPr>
        <w:ind w:left="5760" w:hanging="360"/>
      </w:pPr>
    </w:lvl>
    <w:lvl w:ilvl="8" w:tplc="41AA8054">
      <w:start w:val="1"/>
      <w:numFmt w:val="lowerRoman"/>
      <w:lvlText w:val="%9."/>
      <w:lvlJc w:val="right"/>
      <w:pPr>
        <w:ind w:left="6480" w:hanging="180"/>
      </w:pPr>
    </w:lvl>
  </w:abstractNum>
  <w:abstractNum w:abstractNumId="7" w15:restartNumberingAfterBreak="0">
    <w:nsid w:val="01321A28"/>
    <w:multiLevelType w:val="multilevel"/>
    <w:tmpl w:val="7174EE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02A22527"/>
    <w:multiLevelType w:val="multilevel"/>
    <w:tmpl w:val="F6327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6730FBE"/>
    <w:multiLevelType w:val="hybridMultilevel"/>
    <w:tmpl w:val="9318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64457B"/>
    <w:multiLevelType w:val="multilevel"/>
    <w:tmpl w:val="905ED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7F6236F"/>
    <w:multiLevelType w:val="multilevel"/>
    <w:tmpl w:val="1F7410D2"/>
    <w:lvl w:ilvl="0">
      <w:start w:val="1"/>
      <w:numFmt w:val="decimal"/>
      <w:lvlText w:val="%1."/>
      <w:lvlJc w:val="left"/>
      <w:pPr>
        <w:ind w:left="476" w:hanging="476"/>
      </w:pPr>
      <w:rPr>
        <w:rFonts w:hint="default"/>
        <w:b/>
        <w:bCs/>
        <w:lang w:val="de-DE"/>
      </w:rPr>
    </w:lvl>
    <w:lvl w:ilvl="1">
      <w:start w:val="1"/>
      <w:numFmt w:val="bullet"/>
      <w:lvlText w:val=""/>
      <w:lvlJc w:val="left"/>
      <w:pPr>
        <w:ind w:left="644" w:hanging="360"/>
      </w:pPr>
      <w:rPr>
        <w:rFonts w:ascii="Symbol" w:hAnsi="Symbol"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9B22FCB"/>
    <w:multiLevelType w:val="multilevel"/>
    <w:tmpl w:val="5A1C7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DA77D5B"/>
    <w:multiLevelType w:val="multilevel"/>
    <w:tmpl w:val="FE64F524"/>
    <w:lvl w:ilvl="0">
      <w:start w:val="1"/>
      <w:numFmt w:val="decimal"/>
      <w:lvlText w:val="%1."/>
      <w:lvlJc w:val="left"/>
      <w:pPr>
        <w:ind w:left="720" w:hanging="360"/>
      </w:pPr>
    </w:lvl>
    <w:lvl w:ilvl="1">
      <w:start w:val="7"/>
      <w:numFmt w:val="decimal"/>
      <w:isLgl/>
      <w:lvlText w:val="%1.%2"/>
      <w:lvlJc w:val="left"/>
      <w:pPr>
        <w:ind w:left="720" w:hanging="360"/>
      </w:pPr>
      <w:rPr>
        <w:rFonts w:eastAsia="Calibri" w:cs="Myanmar Text" w:hint="default"/>
      </w:rPr>
    </w:lvl>
    <w:lvl w:ilvl="2">
      <w:start w:val="1"/>
      <w:numFmt w:val="decimal"/>
      <w:isLgl/>
      <w:lvlText w:val="%1.%2.%3"/>
      <w:lvlJc w:val="left"/>
      <w:pPr>
        <w:ind w:left="1080" w:hanging="720"/>
      </w:pPr>
      <w:rPr>
        <w:rFonts w:eastAsia="Calibri" w:cs="Myanmar Text" w:hint="default"/>
      </w:rPr>
    </w:lvl>
    <w:lvl w:ilvl="3">
      <w:start w:val="1"/>
      <w:numFmt w:val="decimal"/>
      <w:isLgl/>
      <w:lvlText w:val="%1.%2.%3.%4"/>
      <w:lvlJc w:val="left"/>
      <w:pPr>
        <w:ind w:left="1080" w:hanging="720"/>
      </w:pPr>
      <w:rPr>
        <w:rFonts w:eastAsia="Calibri" w:cs="Myanmar Text" w:hint="default"/>
      </w:rPr>
    </w:lvl>
    <w:lvl w:ilvl="4">
      <w:start w:val="1"/>
      <w:numFmt w:val="decimal"/>
      <w:isLgl/>
      <w:lvlText w:val="%1.%2.%3.%4.%5"/>
      <w:lvlJc w:val="left"/>
      <w:pPr>
        <w:ind w:left="1440" w:hanging="1080"/>
      </w:pPr>
      <w:rPr>
        <w:rFonts w:eastAsia="Calibri" w:cs="Myanmar Text" w:hint="default"/>
      </w:rPr>
    </w:lvl>
    <w:lvl w:ilvl="5">
      <w:start w:val="1"/>
      <w:numFmt w:val="decimal"/>
      <w:isLgl/>
      <w:lvlText w:val="%1.%2.%3.%4.%5.%6"/>
      <w:lvlJc w:val="left"/>
      <w:pPr>
        <w:ind w:left="1440" w:hanging="1080"/>
      </w:pPr>
      <w:rPr>
        <w:rFonts w:eastAsia="Calibri" w:cs="Myanmar Text" w:hint="default"/>
      </w:rPr>
    </w:lvl>
    <w:lvl w:ilvl="6">
      <w:start w:val="1"/>
      <w:numFmt w:val="decimal"/>
      <w:isLgl/>
      <w:lvlText w:val="%1.%2.%3.%4.%5.%6.%7"/>
      <w:lvlJc w:val="left"/>
      <w:pPr>
        <w:ind w:left="1800" w:hanging="1440"/>
      </w:pPr>
      <w:rPr>
        <w:rFonts w:eastAsia="Calibri" w:cs="Myanmar Text" w:hint="default"/>
      </w:rPr>
    </w:lvl>
    <w:lvl w:ilvl="7">
      <w:start w:val="1"/>
      <w:numFmt w:val="decimal"/>
      <w:isLgl/>
      <w:lvlText w:val="%1.%2.%3.%4.%5.%6.%7.%8"/>
      <w:lvlJc w:val="left"/>
      <w:pPr>
        <w:ind w:left="1800" w:hanging="1440"/>
      </w:pPr>
      <w:rPr>
        <w:rFonts w:eastAsia="Calibri" w:cs="Myanmar Text" w:hint="default"/>
      </w:rPr>
    </w:lvl>
    <w:lvl w:ilvl="8">
      <w:start w:val="1"/>
      <w:numFmt w:val="decimal"/>
      <w:isLgl/>
      <w:lvlText w:val="%1.%2.%3.%4.%5.%6.%7.%8.%9"/>
      <w:lvlJc w:val="left"/>
      <w:pPr>
        <w:ind w:left="2160" w:hanging="1800"/>
      </w:pPr>
      <w:rPr>
        <w:rFonts w:eastAsia="Calibri" w:cs="Myanmar Text" w:hint="default"/>
      </w:rPr>
    </w:lvl>
  </w:abstractNum>
  <w:abstractNum w:abstractNumId="14" w15:restartNumberingAfterBreak="0">
    <w:nsid w:val="0DC866E5"/>
    <w:multiLevelType w:val="hybridMultilevel"/>
    <w:tmpl w:val="3EB8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666A71"/>
    <w:multiLevelType w:val="hybridMultilevel"/>
    <w:tmpl w:val="99862E8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9A2932"/>
    <w:multiLevelType w:val="hybridMultilevel"/>
    <w:tmpl w:val="271E17A2"/>
    <w:lvl w:ilvl="0" w:tplc="F96681D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10175DC"/>
    <w:multiLevelType w:val="multilevel"/>
    <w:tmpl w:val="7FF44A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12976F17"/>
    <w:multiLevelType w:val="hybridMultilevel"/>
    <w:tmpl w:val="2B7C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EE5687"/>
    <w:multiLevelType w:val="multilevel"/>
    <w:tmpl w:val="A3A21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39A3C8B"/>
    <w:multiLevelType w:val="hybridMultilevel"/>
    <w:tmpl w:val="CCF20416"/>
    <w:lvl w:ilvl="0" w:tplc="F96681D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5D3EF1"/>
    <w:multiLevelType w:val="multilevel"/>
    <w:tmpl w:val="DBAE26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16F01D6B"/>
    <w:multiLevelType w:val="hybridMultilevel"/>
    <w:tmpl w:val="7BDC3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81AE706"/>
    <w:multiLevelType w:val="hybridMultilevel"/>
    <w:tmpl w:val="FFFFFFFF"/>
    <w:lvl w:ilvl="0" w:tplc="0C28948E">
      <w:start w:val="1"/>
      <w:numFmt w:val="bullet"/>
      <w:lvlText w:val=""/>
      <w:lvlJc w:val="left"/>
      <w:pPr>
        <w:ind w:left="360" w:hanging="360"/>
      </w:pPr>
      <w:rPr>
        <w:rFonts w:ascii="Symbol" w:hAnsi="Symbol" w:hint="default"/>
      </w:rPr>
    </w:lvl>
    <w:lvl w:ilvl="1" w:tplc="976EBBCE">
      <w:start w:val="1"/>
      <w:numFmt w:val="bullet"/>
      <w:lvlText w:val="o"/>
      <w:lvlJc w:val="left"/>
      <w:pPr>
        <w:ind w:left="1080" w:hanging="360"/>
      </w:pPr>
      <w:rPr>
        <w:rFonts w:ascii="Courier New" w:hAnsi="Courier New" w:hint="default"/>
      </w:rPr>
    </w:lvl>
    <w:lvl w:ilvl="2" w:tplc="64CEB02E">
      <w:start w:val="1"/>
      <w:numFmt w:val="bullet"/>
      <w:lvlText w:val=""/>
      <w:lvlJc w:val="left"/>
      <w:pPr>
        <w:ind w:left="1800" w:hanging="360"/>
      </w:pPr>
      <w:rPr>
        <w:rFonts w:ascii="Wingdings" w:hAnsi="Wingdings" w:hint="default"/>
      </w:rPr>
    </w:lvl>
    <w:lvl w:ilvl="3" w:tplc="88F245AC">
      <w:start w:val="1"/>
      <w:numFmt w:val="bullet"/>
      <w:lvlText w:val=""/>
      <w:lvlJc w:val="left"/>
      <w:pPr>
        <w:ind w:left="2520" w:hanging="360"/>
      </w:pPr>
      <w:rPr>
        <w:rFonts w:ascii="Symbol" w:hAnsi="Symbol" w:hint="default"/>
      </w:rPr>
    </w:lvl>
    <w:lvl w:ilvl="4" w:tplc="67DA6BD4">
      <w:start w:val="1"/>
      <w:numFmt w:val="bullet"/>
      <w:lvlText w:val="o"/>
      <w:lvlJc w:val="left"/>
      <w:pPr>
        <w:ind w:left="3240" w:hanging="360"/>
      </w:pPr>
      <w:rPr>
        <w:rFonts w:ascii="Courier New" w:hAnsi="Courier New" w:hint="default"/>
      </w:rPr>
    </w:lvl>
    <w:lvl w:ilvl="5" w:tplc="00C048B2">
      <w:start w:val="1"/>
      <w:numFmt w:val="bullet"/>
      <w:lvlText w:val=""/>
      <w:lvlJc w:val="left"/>
      <w:pPr>
        <w:ind w:left="3960" w:hanging="360"/>
      </w:pPr>
      <w:rPr>
        <w:rFonts w:ascii="Wingdings" w:hAnsi="Wingdings" w:hint="default"/>
      </w:rPr>
    </w:lvl>
    <w:lvl w:ilvl="6" w:tplc="24A63EC8">
      <w:start w:val="1"/>
      <w:numFmt w:val="bullet"/>
      <w:lvlText w:val=""/>
      <w:lvlJc w:val="left"/>
      <w:pPr>
        <w:ind w:left="4680" w:hanging="360"/>
      </w:pPr>
      <w:rPr>
        <w:rFonts w:ascii="Symbol" w:hAnsi="Symbol" w:hint="default"/>
      </w:rPr>
    </w:lvl>
    <w:lvl w:ilvl="7" w:tplc="13BEDF68">
      <w:start w:val="1"/>
      <w:numFmt w:val="bullet"/>
      <w:lvlText w:val="o"/>
      <w:lvlJc w:val="left"/>
      <w:pPr>
        <w:ind w:left="5400" w:hanging="360"/>
      </w:pPr>
      <w:rPr>
        <w:rFonts w:ascii="Courier New" w:hAnsi="Courier New" w:hint="default"/>
      </w:rPr>
    </w:lvl>
    <w:lvl w:ilvl="8" w:tplc="33A00E56">
      <w:start w:val="1"/>
      <w:numFmt w:val="bullet"/>
      <w:lvlText w:val=""/>
      <w:lvlJc w:val="left"/>
      <w:pPr>
        <w:ind w:left="6120" w:hanging="360"/>
      </w:pPr>
      <w:rPr>
        <w:rFonts w:ascii="Wingdings" w:hAnsi="Wingdings" w:hint="default"/>
      </w:rPr>
    </w:lvl>
  </w:abstractNum>
  <w:abstractNum w:abstractNumId="24" w15:restartNumberingAfterBreak="0">
    <w:nsid w:val="190205AA"/>
    <w:multiLevelType w:val="multilevel"/>
    <w:tmpl w:val="98B8582E"/>
    <w:lvl w:ilvl="0">
      <w:start w:val="1"/>
      <w:numFmt w:val="decimal"/>
      <w:lvlText w:val="%1."/>
      <w:lvlJc w:val="left"/>
      <w:pPr>
        <w:ind w:left="476" w:hanging="476"/>
      </w:pPr>
      <w:rPr>
        <w:rFonts w:hint="default"/>
        <w:b/>
        <w:bCs/>
        <w:lang w:val="de-DE"/>
      </w:rPr>
    </w:lvl>
    <w:lvl w:ilvl="1">
      <w:start w:val="1"/>
      <w:numFmt w:val="bullet"/>
      <w:lvlText w:val=""/>
      <w:lvlJc w:val="left"/>
      <w:pPr>
        <w:ind w:left="836" w:hanging="360"/>
      </w:pPr>
      <w:rPr>
        <w:rFonts w:ascii="Symbol" w:hAnsi="Symbol" w:hint="default"/>
      </w:rPr>
    </w:lvl>
    <w:lvl w:ilvl="2">
      <w:start w:val="1"/>
      <w:numFmt w:val="bullet"/>
      <w:lvlText w:val="o"/>
      <w:lvlJc w:val="left"/>
      <w:pPr>
        <w:ind w:left="1069"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97853E9"/>
    <w:multiLevelType w:val="hybridMultilevel"/>
    <w:tmpl w:val="17A42E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9921D6B"/>
    <w:multiLevelType w:val="multilevel"/>
    <w:tmpl w:val="9BAED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9E64B66"/>
    <w:multiLevelType w:val="multilevel"/>
    <w:tmpl w:val="A90805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9404C2"/>
    <w:multiLevelType w:val="hybridMultilevel"/>
    <w:tmpl w:val="4888F43E"/>
    <w:lvl w:ilvl="0" w:tplc="C8283302">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24EC33D5"/>
    <w:multiLevelType w:val="hybridMultilevel"/>
    <w:tmpl w:val="40A8DE26"/>
    <w:lvl w:ilvl="0" w:tplc="62B05020">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2CD05BB1"/>
    <w:multiLevelType w:val="hybridMultilevel"/>
    <w:tmpl w:val="DF902C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2CD116E7"/>
    <w:multiLevelType w:val="multilevel"/>
    <w:tmpl w:val="C2607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6" w15:restartNumberingAfterBreak="0">
    <w:nsid w:val="300D3194"/>
    <w:multiLevelType w:val="multilevel"/>
    <w:tmpl w:val="8368A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20E078C"/>
    <w:multiLevelType w:val="hybridMultilevel"/>
    <w:tmpl w:val="976809DE"/>
    <w:lvl w:ilvl="0" w:tplc="A3568C5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2360600"/>
    <w:multiLevelType w:val="hybridMultilevel"/>
    <w:tmpl w:val="5364B536"/>
    <w:lvl w:ilvl="0" w:tplc="1A78EA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337A0803"/>
    <w:multiLevelType w:val="hybridMultilevel"/>
    <w:tmpl w:val="7EDE79A4"/>
    <w:lvl w:ilvl="0" w:tplc="98E2A8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3BC47C87"/>
    <w:multiLevelType w:val="hybridMultilevel"/>
    <w:tmpl w:val="4F62CC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FFC6422"/>
    <w:multiLevelType w:val="hybridMultilevel"/>
    <w:tmpl w:val="519A150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400A7B18"/>
    <w:multiLevelType w:val="multilevel"/>
    <w:tmpl w:val="2DB03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5" w15:restartNumberingAfterBreak="0">
    <w:nsid w:val="4467723A"/>
    <w:multiLevelType w:val="hybridMultilevel"/>
    <w:tmpl w:val="C966C76A"/>
    <w:lvl w:ilvl="0" w:tplc="E4BC8A30">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7" w15:restartNumberingAfterBreak="0">
    <w:nsid w:val="4B218ABF"/>
    <w:multiLevelType w:val="hybridMultilevel"/>
    <w:tmpl w:val="D23E1AAA"/>
    <w:lvl w:ilvl="0" w:tplc="46E8C500">
      <w:start w:val="1"/>
      <w:numFmt w:val="bullet"/>
      <w:lvlText w:val="-"/>
      <w:lvlJc w:val="left"/>
      <w:pPr>
        <w:ind w:left="720" w:hanging="360"/>
      </w:pPr>
      <w:rPr>
        <w:rFonts w:ascii="Aptos" w:hAnsi="Aptos" w:hint="default"/>
      </w:rPr>
    </w:lvl>
    <w:lvl w:ilvl="1" w:tplc="4C2A65DC">
      <w:start w:val="1"/>
      <w:numFmt w:val="bullet"/>
      <w:lvlText w:val="o"/>
      <w:lvlJc w:val="left"/>
      <w:pPr>
        <w:ind w:left="1440" w:hanging="360"/>
      </w:pPr>
      <w:rPr>
        <w:rFonts w:ascii="Courier New" w:hAnsi="Courier New" w:hint="default"/>
      </w:rPr>
    </w:lvl>
    <w:lvl w:ilvl="2" w:tplc="01E87196">
      <w:start w:val="1"/>
      <w:numFmt w:val="bullet"/>
      <w:lvlText w:val=""/>
      <w:lvlJc w:val="left"/>
      <w:pPr>
        <w:ind w:left="2160" w:hanging="360"/>
      </w:pPr>
      <w:rPr>
        <w:rFonts w:ascii="Wingdings" w:hAnsi="Wingdings" w:hint="default"/>
      </w:rPr>
    </w:lvl>
    <w:lvl w:ilvl="3" w:tplc="FD346BEA">
      <w:start w:val="1"/>
      <w:numFmt w:val="bullet"/>
      <w:lvlText w:val=""/>
      <w:lvlJc w:val="left"/>
      <w:pPr>
        <w:ind w:left="2880" w:hanging="360"/>
      </w:pPr>
      <w:rPr>
        <w:rFonts w:ascii="Symbol" w:hAnsi="Symbol" w:hint="default"/>
      </w:rPr>
    </w:lvl>
    <w:lvl w:ilvl="4" w:tplc="63F2C132">
      <w:start w:val="1"/>
      <w:numFmt w:val="bullet"/>
      <w:lvlText w:val="o"/>
      <w:lvlJc w:val="left"/>
      <w:pPr>
        <w:ind w:left="3600" w:hanging="360"/>
      </w:pPr>
      <w:rPr>
        <w:rFonts w:ascii="Courier New" w:hAnsi="Courier New" w:hint="default"/>
      </w:rPr>
    </w:lvl>
    <w:lvl w:ilvl="5" w:tplc="48A67136">
      <w:start w:val="1"/>
      <w:numFmt w:val="bullet"/>
      <w:lvlText w:val=""/>
      <w:lvlJc w:val="left"/>
      <w:pPr>
        <w:ind w:left="4320" w:hanging="360"/>
      </w:pPr>
      <w:rPr>
        <w:rFonts w:ascii="Wingdings" w:hAnsi="Wingdings" w:hint="default"/>
      </w:rPr>
    </w:lvl>
    <w:lvl w:ilvl="6" w:tplc="BD54F20A">
      <w:start w:val="1"/>
      <w:numFmt w:val="bullet"/>
      <w:lvlText w:val=""/>
      <w:lvlJc w:val="left"/>
      <w:pPr>
        <w:ind w:left="5040" w:hanging="360"/>
      </w:pPr>
      <w:rPr>
        <w:rFonts w:ascii="Symbol" w:hAnsi="Symbol" w:hint="default"/>
      </w:rPr>
    </w:lvl>
    <w:lvl w:ilvl="7" w:tplc="29E6B384">
      <w:start w:val="1"/>
      <w:numFmt w:val="bullet"/>
      <w:lvlText w:val="o"/>
      <w:lvlJc w:val="left"/>
      <w:pPr>
        <w:ind w:left="5760" w:hanging="360"/>
      </w:pPr>
      <w:rPr>
        <w:rFonts w:ascii="Courier New" w:hAnsi="Courier New" w:hint="default"/>
      </w:rPr>
    </w:lvl>
    <w:lvl w:ilvl="8" w:tplc="49D87BB0">
      <w:start w:val="1"/>
      <w:numFmt w:val="bullet"/>
      <w:lvlText w:val=""/>
      <w:lvlJc w:val="left"/>
      <w:pPr>
        <w:ind w:left="6480" w:hanging="360"/>
      </w:pPr>
      <w:rPr>
        <w:rFonts w:ascii="Wingdings" w:hAnsi="Wingdings" w:hint="default"/>
      </w:rPr>
    </w:lvl>
  </w:abstractNum>
  <w:abstractNum w:abstractNumId="48" w15:restartNumberingAfterBreak="0">
    <w:nsid w:val="4BE2717E"/>
    <w:multiLevelType w:val="hybridMultilevel"/>
    <w:tmpl w:val="4FB0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3B34F7"/>
    <w:multiLevelType w:val="multilevel"/>
    <w:tmpl w:val="50DED8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4F4F6024"/>
    <w:multiLevelType w:val="hybridMultilevel"/>
    <w:tmpl w:val="2B281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284D54"/>
    <w:multiLevelType w:val="hybridMultilevel"/>
    <w:tmpl w:val="CC58E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26B06BC"/>
    <w:multiLevelType w:val="hybridMultilevel"/>
    <w:tmpl w:val="DA9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F96387"/>
    <w:multiLevelType w:val="hybridMultilevel"/>
    <w:tmpl w:val="D74E642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4" w15:restartNumberingAfterBreak="0">
    <w:nsid w:val="532B6C49"/>
    <w:multiLevelType w:val="hybridMultilevel"/>
    <w:tmpl w:val="108AE942"/>
    <w:lvl w:ilvl="0" w:tplc="1616BC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EE1BB8"/>
    <w:multiLevelType w:val="hybridMultilevel"/>
    <w:tmpl w:val="04604954"/>
    <w:lvl w:ilvl="0" w:tplc="E87431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4F104CB"/>
    <w:multiLevelType w:val="hybridMultilevel"/>
    <w:tmpl w:val="FFFFFFFF"/>
    <w:lvl w:ilvl="0" w:tplc="E15658D8">
      <w:start w:val="1"/>
      <w:numFmt w:val="bullet"/>
      <w:lvlText w:val=""/>
      <w:lvlJc w:val="left"/>
      <w:pPr>
        <w:ind w:left="360" w:hanging="360"/>
      </w:pPr>
      <w:rPr>
        <w:rFonts w:ascii="Symbol" w:hAnsi="Symbol" w:hint="default"/>
      </w:rPr>
    </w:lvl>
    <w:lvl w:ilvl="1" w:tplc="B6A2FC1A">
      <w:start w:val="1"/>
      <w:numFmt w:val="bullet"/>
      <w:lvlText w:val="o"/>
      <w:lvlJc w:val="left"/>
      <w:pPr>
        <w:ind w:left="1080" w:hanging="360"/>
      </w:pPr>
      <w:rPr>
        <w:rFonts w:ascii="Courier New" w:hAnsi="Courier New" w:hint="default"/>
      </w:rPr>
    </w:lvl>
    <w:lvl w:ilvl="2" w:tplc="01325BA2">
      <w:start w:val="1"/>
      <w:numFmt w:val="bullet"/>
      <w:lvlText w:val=""/>
      <w:lvlJc w:val="left"/>
      <w:pPr>
        <w:ind w:left="1800" w:hanging="360"/>
      </w:pPr>
      <w:rPr>
        <w:rFonts w:ascii="Wingdings" w:hAnsi="Wingdings" w:hint="default"/>
      </w:rPr>
    </w:lvl>
    <w:lvl w:ilvl="3" w:tplc="AA2CD7B4">
      <w:start w:val="1"/>
      <w:numFmt w:val="bullet"/>
      <w:lvlText w:val=""/>
      <w:lvlJc w:val="left"/>
      <w:pPr>
        <w:ind w:left="2520" w:hanging="360"/>
      </w:pPr>
      <w:rPr>
        <w:rFonts w:ascii="Symbol" w:hAnsi="Symbol" w:hint="default"/>
      </w:rPr>
    </w:lvl>
    <w:lvl w:ilvl="4" w:tplc="AC0E1A56">
      <w:start w:val="1"/>
      <w:numFmt w:val="bullet"/>
      <w:lvlText w:val="o"/>
      <w:lvlJc w:val="left"/>
      <w:pPr>
        <w:ind w:left="3240" w:hanging="360"/>
      </w:pPr>
      <w:rPr>
        <w:rFonts w:ascii="Courier New" w:hAnsi="Courier New" w:hint="default"/>
      </w:rPr>
    </w:lvl>
    <w:lvl w:ilvl="5" w:tplc="9CDE5962">
      <w:start w:val="1"/>
      <w:numFmt w:val="bullet"/>
      <w:lvlText w:val=""/>
      <w:lvlJc w:val="left"/>
      <w:pPr>
        <w:ind w:left="3960" w:hanging="360"/>
      </w:pPr>
      <w:rPr>
        <w:rFonts w:ascii="Wingdings" w:hAnsi="Wingdings" w:hint="default"/>
      </w:rPr>
    </w:lvl>
    <w:lvl w:ilvl="6" w:tplc="96187D40">
      <w:start w:val="1"/>
      <w:numFmt w:val="bullet"/>
      <w:lvlText w:val=""/>
      <w:lvlJc w:val="left"/>
      <w:pPr>
        <w:ind w:left="4680" w:hanging="360"/>
      </w:pPr>
      <w:rPr>
        <w:rFonts w:ascii="Symbol" w:hAnsi="Symbol" w:hint="default"/>
      </w:rPr>
    </w:lvl>
    <w:lvl w:ilvl="7" w:tplc="6C72D076">
      <w:start w:val="1"/>
      <w:numFmt w:val="bullet"/>
      <w:lvlText w:val="o"/>
      <w:lvlJc w:val="left"/>
      <w:pPr>
        <w:ind w:left="5400" w:hanging="360"/>
      </w:pPr>
      <w:rPr>
        <w:rFonts w:ascii="Courier New" w:hAnsi="Courier New" w:hint="default"/>
      </w:rPr>
    </w:lvl>
    <w:lvl w:ilvl="8" w:tplc="FF74B83A">
      <w:start w:val="1"/>
      <w:numFmt w:val="bullet"/>
      <w:lvlText w:val=""/>
      <w:lvlJc w:val="left"/>
      <w:pPr>
        <w:ind w:left="6120" w:hanging="360"/>
      </w:pPr>
      <w:rPr>
        <w:rFonts w:ascii="Wingdings" w:hAnsi="Wingdings" w:hint="default"/>
      </w:rPr>
    </w:lvl>
  </w:abstractNum>
  <w:abstractNum w:abstractNumId="5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8" w15:restartNumberingAfterBreak="0">
    <w:nsid w:val="55B679E1"/>
    <w:multiLevelType w:val="hybridMultilevel"/>
    <w:tmpl w:val="1F22A3BC"/>
    <w:lvl w:ilvl="0" w:tplc="78D0560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55C10E65"/>
    <w:multiLevelType w:val="multilevel"/>
    <w:tmpl w:val="466AA280"/>
    <w:lvl w:ilvl="0">
      <w:start w:val="1"/>
      <w:numFmt w:val="decimal"/>
      <w:pStyle w:val="LegalNumPar"/>
      <w:lvlText w:val="%1."/>
      <w:lvlJc w:val="left"/>
      <w:pPr>
        <w:ind w:left="476" w:hanging="476"/>
      </w:pPr>
      <w:rPr>
        <w:rFonts w:hint="default"/>
        <w:b/>
        <w:bCs/>
        <w:lang w:val="de-DE"/>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6B10038"/>
    <w:multiLevelType w:val="hybridMultilevel"/>
    <w:tmpl w:val="94E2346C"/>
    <w:lvl w:ilvl="0" w:tplc="0E1A79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57BC7E99"/>
    <w:multiLevelType w:val="hybridMultilevel"/>
    <w:tmpl w:val="7F52DF7A"/>
    <w:lvl w:ilvl="0" w:tplc="01E2743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59F422D7"/>
    <w:multiLevelType w:val="multilevel"/>
    <w:tmpl w:val="7618F6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3" w15:restartNumberingAfterBreak="0">
    <w:nsid w:val="5A0E05EF"/>
    <w:multiLevelType w:val="hybridMultilevel"/>
    <w:tmpl w:val="08D065F8"/>
    <w:lvl w:ilvl="0" w:tplc="45FAF8F2">
      <w:start w:val="1"/>
      <w:numFmt w:val="bullet"/>
      <w:lvlText w:val="-"/>
      <w:lvlJc w:val="left"/>
      <w:pPr>
        <w:ind w:left="720" w:hanging="360"/>
      </w:pPr>
      <w:rPr>
        <w:rFonts w:ascii="Aptos" w:hAnsi="Aptos" w:hint="default"/>
      </w:rPr>
    </w:lvl>
    <w:lvl w:ilvl="1" w:tplc="EEE423F2">
      <w:start w:val="1"/>
      <w:numFmt w:val="bullet"/>
      <w:lvlText w:val="o"/>
      <w:lvlJc w:val="left"/>
      <w:pPr>
        <w:ind w:left="1440" w:hanging="360"/>
      </w:pPr>
      <w:rPr>
        <w:rFonts w:ascii="Courier New" w:hAnsi="Courier New" w:hint="default"/>
      </w:rPr>
    </w:lvl>
    <w:lvl w:ilvl="2" w:tplc="6A6C0A9E">
      <w:start w:val="1"/>
      <w:numFmt w:val="bullet"/>
      <w:lvlText w:val=""/>
      <w:lvlJc w:val="left"/>
      <w:pPr>
        <w:ind w:left="2160" w:hanging="360"/>
      </w:pPr>
      <w:rPr>
        <w:rFonts w:ascii="Wingdings" w:hAnsi="Wingdings" w:hint="default"/>
      </w:rPr>
    </w:lvl>
    <w:lvl w:ilvl="3" w:tplc="BBA06638">
      <w:start w:val="1"/>
      <w:numFmt w:val="bullet"/>
      <w:lvlText w:val=""/>
      <w:lvlJc w:val="left"/>
      <w:pPr>
        <w:ind w:left="2880" w:hanging="360"/>
      </w:pPr>
      <w:rPr>
        <w:rFonts w:ascii="Symbol" w:hAnsi="Symbol" w:hint="default"/>
      </w:rPr>
    </w:lvl>
    <w:lvl w:ilvl="4" w:tplc="D430D5BC">
      <w:start w:val="1"/>
      <w:numFmt w:val="bullet"/>
      <w:lvlText w:val="o"/>
      <w:lvlJc w:val="left"/>
      <w:pPr>
        <w:ind w:left="3600" w:hanging="360"/>
      </w:pPr>
      <w:rPr>
        <w:rFonts w:ascii="Courier New" w:hAnsi="Courier New" w:hint="default"/>
      </w:rPr>
    </w:lvl>
    <w:lvl w:ilvl="5" w:tplc="2CF87B8A">
      <w:start w:val="1"/>
      <w:numFmt w:val="bullet"/>
      <w:lvlText w:val=""/>
      <w:lvlJc w:val="left"/>
      <w:pPr>
        <w:ind w:left="4320" w:hanging="360"/>
      </w:pPr>
      <w:rPr>
        <w:rFonts w:ascii="Wingdings" w:hAnsi="Wingdings" w:hint="default"/>
      </w:rPr>
    </w:lvl>
    <w:lvl w:ilvl="6" w:tplc="F5AC9392">
      <w:start w:val="1"/>
      <w:numFmt w:val="bullet"/>
      <w:lvlText w:val=""/>
      <w:lvlJc w:val="left"/>
      <w:pPr>
        <w:ind w:left="5040" w:hanging="360"/>
      </w:pPr>
      <w:rPr>
        <w:rFonts w:ascii="Symbol" w:hAnsi="Symbol" w:hint="default"/>
      </w:rPr>
    </w:lvl>
    <w:lvl w:ilvl="7" w:tplc="F6CC8566">
      <w:start w:val="1"/>
      <w:numFmt w:val="bullet"/>
      <w:lvlText w:val="o"/>
      <w:lvlJc w:val="left"/>
      <w:pPr>
        <w:ind w:left="5760" w:hanging="360"/>
      </w:pPr>
      <w:rPr>
        <w:rFonts w:ascii="Courier New" w:hAnsi="Courier New" w:hint="default"/>
      </w:rPr>
    </w:lvl>
    <w:lvl w:ilvl="8" w:tplc="05D8B292">
      <w:start w:val="1"/>
      <w:numFmt w:val="bullet"/>
      <w:lvlText w:val=""/>
      <w:lvlJc w:val="left"/>
      <w:pPr>
        <w:ind w:left="6480" w:hanging="360"/>
      </w:pPr>
      <w:rPr>
        <w:rFonts w:ascii="Wingdings" w:hAnsi="Wingdings" w:hint="default"/>
      </w:rPr>
    </w:lvl>
  </w:abstractNum>
  <w:abstractNum w:abstractNumId="6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6" w15:restartNumberingAfterBreak="0">
    <w:nsid w:val="5C184A6A"/>
    <w:multiLevelType w:val="hybridMultilevel"/>
    <w:tmpl w:val="20F8182E"/>
    <w:lvl w:ilvl="0" w:tplc="782E153C">
      <w:start w:val="1"/>
      <w:numFmt w:val="upp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67" w15:restartNumberingAfterBreak="0">
    <w:nsid w:val="5C7C46E5"/>
    <w:multiLevelType w:val="hybridMultilevel"/>
    <w:tmpl w:val="AAB43224"/>
    <w:lvl w:ilvl="0" w:tplc="FD9268C4">
      <w:start w:val="1"/>
      <w:numFmt w:val="lowerRoman"/>
      <w:lvlText w:val="(%1)"/>
      <w:lvlJc w:val="left"/>
      <w:pPr>
        <w:ind w:left="1080" w:hanging="720"/>
      </w:pPr>
      <w:rPr>
        <w:rFonts w:eastAsia="Calibri" w:cs="Myanmar Text"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111E8D"/>
    <w:multiLevelType w:val="hybridMultilevel"/>
    <w:tmpl w:val="AA2E595C"/>
    <w:lvl w:ilvl="0" w:tplc="8CF2C182">
      <w:start w:val="5"/>
      <w:numFmt w:val="upperLetter"/>
      <w:lvlText w:val="%1."/>
      <w:lvlJc w:val="left"/>
      <w:pPr>
        <w:ind w:left="366" w:hanging="360"/>
      </w:pPr>
      <w:rPr>
        <w:rFonts w:hint="default"/>
        <w:u w:val="none"/>
      </w:rPr>
    </w:lvl>
    <w:lvl w:ilvl="1" w:tplc="18090019" w:tentative="1">
      <w:start w:val="1"/>
      <w:numFmt w:val="lowerLetter"/>
      <w:lvlText w:val="%2."/>
      <w:lvlJc w:val="left"/>
      <w:pPr>
        <w:ind w:left="1086" w:hanging="360"/>
      </w:pPr>
    </w:lvl>
    <w:lvl w:ilvl="2" w:tplc="1809001B" w:tentative="1">
      <w:start w:val="1"/>
      <w:numFmt w:val="lowerRoman"/>
      <w:lvlText w:val="%3."/>
      <w:lvlJc w:val="right"/>
      <w:pPr>
        <w:ind w:left="1806" w:hanging="180"/>
      </w:pPr>
    </w:lvl>
    <w:lvl w:ilvl="3" w:tplc="1809000F" w:tentative="1">
      <w:start w:val="1"/>
      <w:numFmt w:val="decimal"/>
      <w:lvlText w:val="%4."/>
      <w:lvlJc w:val="left"/>
      <w:pPr>
        <w:ind w:left="2526" w:hanging="360"/>
      </w:pPr>
    </w:lvl>
    <w:lvl w:ilvl="4" w:tplc="18090019" w:tentative="1">
      <w:start w:val="1"/>
      <w:numFmt w:val="lowerLetter"/>
      <w:lvlText w:val="%5."/>
      <w:lvlJc w:val="left"/>
      <w:pPr>
        <w:ind w:left="3246" w:hanging="360"/>
      </w:pPr>
    </w:lvl>
    <w:lvl w:ilvl="5" w:tplc="1809001B" w:tentative="1">
      <w:start w:val="1"/>
      <w:numFmt w:val="lowerRoman"/>
      <w:lvlText w:val="%6."/>
      <w:lvlJc w:val="right"/>
      <w:pPr>
        <w:ind w:left="3966" w:hanging="180"/>
      </w:pPr>
    </w:lvl>
    <w:lvl w:ilvl="6" w:tplc="1809000F" w:tentative="1">
      <w:start w:val="1"/>
      <w:numFmt w:val="decimal"/>
      <w:lvlText w:val="%7."/>
      <w:lvlJc w:val="left"/>
      <w:pPr>
        <w:ind w:left="4686" w:hanging="360"/>
      </w:pPr>
    </w:lvl>
    <w:lvl w:ilvl="7" w:tplc="18090019" w:tentative="1">
      <w:start w:val="1"/>
      <w:numFmt w:val="lowerLetter"/>
      <w:lvlText w:val="%8."/>
      <w:lvlJc w:val="left"/>
      <w:pPr>
        <w:ind w:left="5406" w:hanging="360"/>
      </w:pPr>
    </w:lvl>
    <w:lvl w:ilvl="8" w:tplc="1809001B" w:tentative="1">
      <w:start w:val="1"/>
      <w:numFmt w:val="lowerRoman"/>
      <w:lvlText w:val="%9."/>
      <w:lvlJc w:val="right"/>
      <w:pPr>
        <w:ind w:left="6126" w:hanging="180"/>
      </w:pPr>
    </w:lvl>
  </w:abstractNum>
  <w:abstractNum w:abstractNumId="70" w15:restartNumberingAfterBreak="0">
    <w:nsid w:val="5DCC1A5E"/>
    <w:multiLevelType w:val="multilevel"/>
    <w:tmpl w:val="64044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F1446F8"/>
    <w:multiLevelType w:val="hybridMultilevel"/>
    <w:tmpl w:val="CBCA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C14204"/>
    <w:multiLevelType w:val="hybridMultilevel"/>
    <w:tmpl w:val="FD265596"/>
    <w:lvl w:ilvl="0" w:tplc="8EB40B82">
      <w:start w:val="1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3C42873"/>
    <w:multiLevelType w:val="multilevel"/>
    <w:tmpl w:val="17462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5" w15:restartNumberingAfterBreak="0">
    <w:nsid w:val="6DA10BBB"/>
    <w:multiLevelType w:val="hybridMultilevel"/>
    <w:tmpl w:val="4CE8CEB4"/>
    <w:lvl w:ilvl="0" w:tplc="F96681D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E184B22"/>
    <w:multiLevelType w:val="multilevel"/>
    <w:tmpl w:val="1A34B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F1848E5"/>
    <w:multiLevelType w:val="hybridMultilevel"/>
    <w:tmpl w:val="0D48F38A"/>
    <w:lvl w:ilvl="0" w:tplc="201A0AA0">
      <w:start w:val="1"/>
      <w:numFmt w:val="lowerRoman"/>
      <w:lvlText w:val="%1)"/>
      <w:lvlJc w:val="left"/>
      <w:pPr>
        <w:ind w:left="720" w:hanging="720"/>
      </w:pPr>
      <w:rPr>
        <w:rFonts w:eastAsia="Calibri" w:cs="Myanmar Text"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8" w15:restartNumberingAfterBreak="0">
    <w:nsid w:val="70140041"/>
    <w:multiLevelType w:val="multilevel"/>
    <w:tmpl w:val="817E2E62"/>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79" w15:restartNumberingAfterBreak="0">
    <w:nsid w:val="702E54AB"/>
    <w:multiLevelType w:val="hybridMultilevel"/>
    <w:tmpl w:val="99862E8E"/>
    <w:lvl w:ilvl="0" w:tplc="0809001B">
      <w:start w:val="1"/>
      <w:numFmt w:val="lowerRoman"/>
      <w:lvlText w:val="%1."/>
      <w:lvlJc w:val="right"/>
      <w:pPr>
        <w:ind w:left="71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041A25"/>
    <w:multiLevelType w:val="hybridMultilevel"/>
    <w:tmpl w:val="7A84A6D0"/>
    <w:lvl w:ilvl="0" w:tplc="BA98E70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1" w15:restartNumberingAfterBreak="0">
    <w:nsid w:val="76D06977"/>
    <w:multiLevelType w:val="hybridMultilevel"/>
    <w:tmpl w:val="42E4798A"/>
    <w:lvl w:ilvl="0" w:tplc="991C3E1E">
      <w:start w:val="1"/>
      <w:numFmt w:val="bullet"/>
      <w:lvlText w:val="-"/>
      <w:lvlJc w:val="left"/>
      <w:pPr>
        <w:ind w:left="1080" w:hanging="720"/>
      </w:pPr>
      <w:rPr>
        <w:rFonts w:ascii="Calibri" w:hAnsi="Calibri" w:hint="default"/>
      </w:rPr>
    </w:lvl>
    <w:lvl w:ilvl="1" w:tplc="548ABFEE">
      <w:start w:val="1"/>
      <w:numFmt w:val="decimal"/>
      <w:lvlText w:val="%2."/>
      <w:lvlJc w:val="left"/>
      <w:pPr>
        <w:ind w:left="1440" w:hanging="360"/>
      </w:pPr>
      <w:rPr>
        <w:rFonts w:hint="default"/>
      </w:rPr>
    </w:lvl>
    <w:lvl w:ilvl="2" w:tplc="450EA25E">
      <w:start w:val="1"/>
      <w:numFmt w:val="lowerRoman"/>
      <w:lvlText w:val="(%3)"/>
      <w:lvlJc w:val="left"/>
      <w:pPr>
        <w:ind w:left="2700" w:hanging="72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2" w15:restartNumberingAfterBreak="0">
    <w:nsid w:val="77566D51"/>
    <w:multiLevelType w:val="hybridMultilevel"/>
    <w:tmpl w:val="334A2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816483B"/>
    <w:multiLevelType w:val="hybridMultilevel"/>
    <w:tmpl w:val="14569A86"/>
    <w:lvl w:ilvl="0" w:tplc="B22E0E3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79EFD594"/>
    <w:multiLevelType w:val="hybridMultilevel"/>
    <w:tmpl w:val="29BA2D90"/>
    <w:lvl w:ilvl="0" w:tplc="68DE7F80">
      <w:start w:val="1"/>
      <w:numFmt w:val="bullet"/>
      <w:lvlText w:val="-"/>
      <w:lvlJc w:val="left"/>
      <w:pPr>
        <w:ind w:left="720" w:hanging="360"/>
      </w:pPr>
      <w:rPr>
        <w:rFonts w:ascii="Aptos" w:hAnsi="Aptos" w:hint="default"/>
      </w:rPr>
    </w:lvl>
    <w:lvl w:ilvl="1" w:tplc="DFA8AC82">
      <w:start w:val="1"/>
      <w:numFmt w:val="bullet"/>
      <w:lvlText w:val="o"/>
      <w:lvlJc w:val="left"/>
      <w:pPr>
        <w:ind w:left="1440" w:hanging="360"/>
      </w:pPr>
      <w:rPr>
        <w:rFonts w:ascii="Courier New" w:hAnsi="Courier New" w:hint="default"/>
      </w:rPr>
    </w:lvl>
    <w:lvl w:ilvl="2" w:tplc="80ACE3EC">
      <w:start w:val="1"/>
      <w:numFmt w:val="bullet"/>
      <w:lvlText w:val=""/>
      <w:lvlJc w:val="left"/>
      <w:pPr>
        <w:ind w:left="2160" w:hanging="360"/>
      </w:pPr>
      <w:rPr>
        <w:rFonts w:ascii="Wingdings" w:hAnsi="Wingdings" w:hint="default"/>
      </w:rPr>
    </w:lvl>
    <w:lvl w:ilvl="3" w:tplc="9A4E138A">
      <w:start w:val="1"/>
      <w:numFmt w:val="bullet"/>
      <w:lvlText w:val=""/>
      <w:lvlJc w:val="left"/>
      <w:pPr>
        <w:ind w:left="2880" w:hanging="360"/>
      </w:pPr>
      <w:rPr>
        <w:rFonts w:ascii="Symbol" w:hAnsi="Symbol" w:hint="default"/>
      </w:rPr>
    </w:lvl>
    <w:lvl w:ilvl="4" w:tplc="E682B9AA">
      <w:start w:val="1"/>
      <w:numFmt w:val="bullet"/>
      <w:lvlText w:val="o"/>
      <w:lvlJc w:val="left"/>
      <w:pPr>
        <w:ind w:left="3600" w:hanging="360"/>
      </w:pPr>
      <w:rPr>
        <w:rFonts w:ascii="Courier New" w:hAnsi="Courier New" w:hint="default"/>
      </w:rPr>
    </w:lvl>
    <w:lvl w:ilvl="5" w:tplc="212CE970">
      <w:start w:val="1"/>
      <w:numFmt w:val="bullet"/>
      <w:lvlText w:val=""/>
      <w:lvlJc w:val="left"/>
      <w:pPr>
        <w:ind w:left="4320" w:hanging="360"/>
      </w:pPr>
      <w:rPr>
        <w:rFonts w:ascii="Wingdings" w:hAnsi="Wingdings" w:hint="default"/>
      </w:rPr>
    </w:lvl>
    <w:lvl w:ilvl="6" w:tplc="0364771A">
      <w:start w:val="1"/>
      <w:numFmt w:val="bullet"/>
      <w:lvlText w:val=""/>
      <w:lvlJc w:val="left"/>
      <w:pPr>
        <w:ind w:left="5040" w:hanging="360"/>
      </w:pPr>
      <w:rPr>
        <w:rFonts w:ascii="Symbol" w:hAnsi="Symbol" w:hint="default"/>
      </w:rPr>
    </w:lvl>
    <w:lvl w:ilvl="7" w:tplc="BCA6CD9A">
      <w:start w:val="1"/>
      <w:numFmt w:val="bullet"/>
      <w:lvlText w:val="o"/>
      <w:lvlJc w:val="left"/>
      <w:pPr>
        <w:ind w:left="5760" w:hanging="360"/>
      </w:pPr>
      <w:rPr>
        <w:rFonts w:ascii="Courier New" w:hAnsi="Courier New" w:hint="default"/>
      </w:rPr>
    </w:lvl>
    <w:lvl w:ilvl="8" w:tplc="1A00ED24">
      <w:start w:val="1"/>
      <w:numFmt w:val="bullet"/>
      <w:lvlText w:val=""/>
      <w:lvlJc w:val="left"/>
      <w:pPr>
        <w:ind w:left="6480" w:hanging="360"/>
      </w:pPr>
      <w:rPr>
        <w:rFonts w:ascii="Wingdings" w:hAnsi="Wingdings" w:hint="default"/>
      </w:rPr>
    </w:lvl>
  </w:abstractNum>
  <w:abstractNum w:abstractNumId="85" w15:restartNumberingAfterBreak="0">
    <w:nsid w:val="7BF94956"/>
    <w:multiLevelType w:val="hybridMultilevel"/>
    <w:tmpl w:val="26F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7" w15:restartNumberingAfterBreak="0">
    <w:nsid w:val="7CD26665"/>
    <w:multiLevelType w:val="multilevel"/>
    <w:tmpl w:val="13DA1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F010CB7"/>
    <w:multiLevelType w:val="multilevel"/>
    <w:tmpl w:val="08ECA5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F332538"/>
    <w:multiLevelType w:val="multilevel"/>
    <w:tmpl w:val="209439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0" w15:restartNumberingAfterBreak="0">
    <w:nsid w:val="7F830756"/>
    <w:multiLevelType w:val="hybridMultilevel"/>
    <w:tmpl w:val="8A4CF84E"/>
    <w:lvl w:ilvl="0" w:tplc="F96681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E25DF5"/>
    <w:multiLevelType w:val="hybridMultilevel"/>
    <w:tmpl w:val="B1140058"/>
    <w:lvl w:ilvl="0" w:tplc="1618D91C">
      <w:start w:val="1"/>
      <w:numFmt w:val="decimal"/>
      <w:lvlText w:val="%1."/>
      <w:lvlJc w:val="left"/>
      <w:pPr>
        <w:ind w:left="720" w:hanging="360"/>
      </w:pPr>
      <w:rPr>
        <w:rFonts w:cs="Myanmar Tex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66"/>
  </w:num>
  <w:num w:numId="3">
    <w:abstractNumId w:val="59"/>
  </w:num>
  <w:num w:numId="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4"/>
  </w:num>
  <w:num w:numId="7">
    <w:abstractNumId w:val="41"/>
  </w:num>
  <w:num w:numId="8">
    <w:abstractNumId w:val="40"/>
  </w:num>
  <w:num w:numId="9">
    <w:abstractNumId w:val="63"/>
  </w:num>
  <w:num w:numId="10">
    <w:abstractNumId w:val="5"/>
  </w:num>
  <w:num w:numId="11">
    <w:abstractNumId w:val="47"/>
  </w:num>
  <w:num w:numId="12">
    <w:abstractNumId w:val="52"/>
  </w:num>
  <w:num w:numId="13">
    <w:abstractNumId w:val="48"/>
  </w:num>
  <w:num w:numId="14">
    <w:abstractNumId w:val="85"/>
  </w:num>
  <w:num w:numId="15">
    <w:abstractNumId w:val="90"/>
  </w:num>
  <w:num w:numId="16">
    <w:abstractNumId w:val="69"/>
  </w:num>
  <w:num w:numId="17">
    <w:abstractNumId w:val="88"/>
  </w:num>
  <w:num w:numId="18">
    <w:abstractNumId w:val="14"/>
  </w:num>
  <w:num w:numId="19">
    <w:abstractNumId w:val="31"/>
  </w:num>
  <w:num w:numId="20">
    <w:abstractNumId w:val="61"/>
  </w:num>
  <w:num w:numId="21">
    <w:abstractNumId w:val="62"/>
  </w:num>
  <w:num w:numId="22">
    <w:abstractNumId w:val="13"/>
  </w:num>
  <w:num w:numId="23">
    <w:abstractNumId w:val="21"/>
  </w:num>
  <w:num w:numId="24">
    <w:abstractNumId w:val="18"/>
  </w:num>
  <w:num w:numId="25">
    <w:abstractNumId w:val="6"/>
  </w:num>
  <w:num w:numId="26">
    <w:abstractNumId w:val="17"/>
  </w:num>
  <w:num w:numId="27">
    <w:abstractNumId w:val="12"/>
  </w:num>
  <w:num w:numId="28">
    <w:abstractNumId w:val="77"/>
  </w:num>
  <w:num w:numId="29">
    <w:abstractNumId w:val="45"/>
  </w:num>
  <w:num w:numId="30">
    <w:abstractNumId w:val="27"/>
  </w:num>
  <w:num w:numId="31">
    <w:abstractNumId w:val="89"/>
  </w:num>
  <w:num w:numId="32">
    <w:abstractNumId w:val="72"/>
  </w:num>
  <w:num w:numId="33">
    <w:abstractNumId w:val="7"/>
  </w:num>
  <w:num w:numId="34">
    <w:abstractNumId w:val="49"/>
  </w:num>
  <w:num w:numId="35">
    <w:abstractNumId w:val="54"/>
  </w:num>
  <w:num w:numId="36">
    <w:abstractNumId w:val="39"/>
  </w:num>
  <w:num w:numId="37">
    <w:abstractNumId w:val="22"/>
  </w:num>
  <w:num w:numId="38">
    <w:abstractNumId w:val="83"/>
  </w:num>
  <w:num w:numId="39">
    <w:abstractNumId w:val="26"/>
  </w:num>
  <w:num w:numId="40">
    <w:abstractNumId w:val="67"/>
  </w:num>
  <w:num w:numId="41">
    <w:abstractNumId w:val="38"/>
  </w:num>
  <w:num w:numId="42">
    <w:abstractNumId w:val="73"/>
  </w:num>
  <w:num w:numId="43">
    <w:abstractNumId w:val="19"/>
  </w:num>
  <w:num w:numId="44">
    <w:abstractNumId w:val="78"/>
  </w:num>
  <w:num w:numId="45">
    <w:abstractNumId w:val="71"/>
  </w:num>
  <w:num w:numId="46">
    <w:abstractNumId w:val="37"/>
  </w:num>
  <w:num w:numId="47">
    <w:abstractNumId w:val="80"/>
  </w:num>
  <w:num w:numId="48">
    <w:abstractNumId w:val="76"/>
  </w:num>
  <w:num w:numId="49">
    <w:abstractNumId w:val="33"/>
  </w:num>
  <w:num w:numId="50">
    <w:abstractNumId w:val="58"/>
  </w:num>
  <w:num w:numId="51">
    <w:abstractNumId w:val="30"/>
  </w:num>
  <w:num w:numId="52">
    <w:abstractNumId w:val="55"/>
  </w:num>
  <w:num w:numId="53">
    <w:abstractNumId w:val="70"/>
  </w:num>
  <w:num w:numId="54">
    <w:abstractNumId w:val="84"/>
  </w:num>
  <w:num w:numId="55">
    <w:abstractNumId w:val="68"/>
  </w:num>
  <w:num w:numId="56">
    <w:abstractNumId w:val="43"/>
  </w:num>
  <w:num w:numId="57">
    <w:abstractNumId w:val="74"/>
  </w:num>
  <w:num w:numId="58">
    <w:abstractNumId w:val="35"/>
  </w:num>
  <w:num w:numId="59">
    <w:abstractNumId w:val="44"/>
  </w:num>
  <w:num w:numId="60">
    <w:abstractNumId w:val="29"/>
  </w:num>
  <w:num w:numId="61">
    <w:abstractNumId w:val="28"/>
  </w:num>
  <w:num w:numId="62">
    <w:abstractNumId w:val="46"/>
  </w:num>
  <w:num w:numId="63">
    <w:abstractNumId w:val="64"/>
  </w:num>
  <w:num w:numId="64">
    <w:abstractNumId w:val="65"/>
  </w:num>
  <w:num w:numId="65">
    <w:abstractNumId w:val="32"/>
  </w:num>
  <w:num w:numId="66">
    <w:abstractNumId w:val="57"/>
  </w:num>
  <w:num w:numId="67">
    <w:abstractNumId w:val="86"/>
  </w:num>
  <w:num w:numId="68">
    <w:abstractNumId w:val="3"/>
  </w:num>
  <w:num w:numId="69">
    <w:abstractNumId w:val="2"/>
  </w:num>
  <w:num w:numId="70">
    <w:abstractNumId w:val="1"/>
  </w:num>
  <w:num w:numId="71">
    <w:abstractNumId w:val="0"/>
  </w:num>
  <w:num w:numId="72">
    <w:abstractNumId w:val="34"/>
  </w:num>
  <w:num w:numId="73">
    <w:abstractNumId w:val="87"/>
  </w:num>
  <w:num w:numId="74">
    <w:abstractNumId w:val="8"/>
  </w:num>
  <w:num w:numId="75">
    <w:abstractNumId w:val="36"/>
  </w:num>
  <w:num w:numId="76">
    <w:abstractNumId w:val="10"/>
  </w:num>
  <w:num w:numId="77">
    <w:abstractNumId w:val="53"/>
  </w:num>
  <w:num w:numId="78">
    <w:abstractNumId w:val="15"/>
  </w:num>
  <w:num w:numId="79">
    <w:abstractNumId w:val="79"/>
  </w:num>
  <w:num w:numId="80">
    <w:abstractNumId w:val="56"/>
  </w:num>
  <w:num w:numId="81">
    <w:abstractNumId w:val="23"/>
  </w:num>
  <w:num w:numId="82">
    <w:abstractNumId w:val="82"/>
  </w:num>
  <w:num w:numId="83">
    <w:abstractNumId w:val="60"/>
  </w:num>
  <w:num w:numId="84">
    <w:abstractNumId w:val="25"/>
  </w:num>
  <w:num w:numId="85">
    <w:abstractNumId w:val="42"/>
  </w:num>
  <w:num w:numId="86">
    <w:abstractNumId w:val="81"/>
  </w:num>
  <w:num w:numId="87">
    <w:abstractNumId w:val="51"/>
  </w:num>
  <w:num w:numId="88">
    <w:abstractNumId w:val="4"/>
  </w:num>
  <w:num w:numId="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num>
  <w:num w:numId="91">
    <w:abstractNumId w:val="20"/>
  </w:num>
  <w:num w:numId="92">
    <w:abstractNumId w:val="16"/>
  </w:num>
  <w:num w:numId="93">
    <w:abstractNumId w:val="91"/>
  </w:num>
  <w:num w:numId="94">
    <w:abstractNumId w:val="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EPKit_DocumentHasBeenSaved" w:val="true"/>
    <w:docVar w:name="LW_ACCOMPAGNANT.CP" w:val="k"/>
    <w:docVar w:name="LW_ANNEX_NBR_FIRST" w:val="1"/>
    <w:docVar w:name="LW_ANNEX_NBR_LAST" w:val="1"/>
    <w:docVar w:name="LW_ANNEX_UNIQUE" w:val="1"/>
    <w:docVar w:name="LW_CORRIGENDUM" w:val="&lt;UNUSED&gt;"/>
    <w:docVar w:name="LW_COVERPAGE_EXISTS" w:val="True"/>
    <w:docVar w:name="LW_COVERPAGE_GUID" w:val="63F0E868-73B1-4DCB-9D25-1501D5A920DA"/>
    <w:docVar w:name="LW_COVERPAGE_TYPE" w:val="1"/>
    <w:docVar w:name="LW_CROSSREFERENCE" w:val="{SWD(2025) 379 final}"/>
    <w:docVar w:name="LW_DocType" w:val="NORMAL"/>
    <w:docVar w:name="LW_EMISSION" w:val="20. 11. 2025"/>
    <w:docVar w:name="LW_EMISSION_ISODATE" w:val="2025-11-20"/>
    <w:docVar w:name="LW_EMISSION_LOCATION" w:val="BRX"/>
    <w:docVar w:name="LW_EMISSION_PREFIX" w:val="V Bruseli"/>
    <w:docVar w:name="LW_EMISSION_SUFFIX" w:val=" "/>
    <w:docVar w:name="LW_ID_DOCTYPE_NONLW" w:val="CP-036"/>
    <w:docVar w:name="LW_LANGUE" w:val="SK"/>
    <w:docVar w:name="LW_LEVEL_OF_SENSITIVITY" w:val="Standard treatment"/>
    <w:docVar w:name="LW_NOM.INST" w:val="EURÓPSKA KOMISIA"/>
    <w:docVar w:name="LW_NOM.INST_JOINTDOC" w:val="&lt;EMPTY&gt;"/>
    <w:docVar w:name="LW_OBJETACTEPRINCIPAL.CP" w:val="ktorým sa mení vykonávacie rozhodnutie z 13. júla 2021 o schválení posúdenia plánu obnovy a odolnosti Grécka"/>
    <w:docVar w:name="LW_PART_NBR" w:val="1"/>
    <w:docVar w:name="LW_PART_NBR_TOTAL" w:val="1"/>
    <w:docVar w:name="LW_REF.INST.NEW" w:val="COM"/>
    <w:docVar w:name="LW_REF.INST.NEW_ADOPTED" w:val="final"/>
    <w:docVar w:name="LW_REF.INST.NEW_TEXT" w:val="(2025) 7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ÍLOHA_x000b_"/>
    <w:docVar w:name="LW_TYPEACTEPRINCIPAL.CP" w:val="Návrhu VYKONÁVACIEHO ROZHODNUTIA RADY,"/>
    <w:docVar w:name="LwApiVersions" w:val="LW4CoDe 1.24.5.0; LW 9.2, Build 20251112"/>
  </w:docVars>
  <w:rsids>
    <w:rsidRoot w:val="00620A46"/>
    <w:rsid w:val="000000F8"/>
    <w:rsid w:val="000003FD"/>
    <w:rsid w:val="00000BCD"/>
    <w:rsid w:val="0000160E"/>
    <w:rsid w:val="00001737"/>
    <w:rsid w:val="00001A99"/>
    <w:rsid w:val="00002153"/>
    <w:rsid w:val="00002291"/>
    <w:rsid w:val="00003081"/>
    <w:rsid w:val="00003340"/>
    <w:rsid w:val="00003BA9"/>
    <w:rsid w:val="00003BD3"/>
    <w:rsid w:val="00003C58"/>
    <w:rsid w:val="00003FD6"/>
    <w:rsid w:val="0000431C"/>
    <w:rsid w:val="00004390"/>
    <w:rsid w:val="0000471F"/>
    <w:rsid w:val="000047D2"/>
    <w:rsid w:val="00004EBC"/>
    <w:rsid w:val="00004EC7"/>
    <w:rsid w:val="000054ED"/>
    <w:rsid w:val="0000554D"/>
    <w:rsid w:val="0000568F"/>
    <w:rsid w:val="000067DA"/>
    <w:rsid w:val="000076EE"/>
    <w:rsid w:val="00010014"/>
    <w:rsid w:val="00010A9C"/>
    <w:rsid w:val="00010C0C"/>
    <w:rsid w:val="00010E19"/>
    <w:rsid w:val="00010E50"/>
    <w:rsid w:val="000110E3"/>
    <w:rsid w:val="00011906"/>
    <w:rsid w:val="000119C1"/>
    <w:rsid w:val="00011F8C"/>
    <w:rsid w:val="00012045"/>
    <w:rsid w:val="0001236E"/>
    <w:rsid w:val="000123E9"/>
    <w:rsid w:val="00012834"/>
    <w:rsid w:val="00012B4E"/>
    <w:rsid w:val="00013E0C"/>
    <w:rsid w:val="00013E70"/>
    <w:rsid w:val="000143C1"/>
    <w:rsid w:val="00014665"/>
    <w:rsid w:val="000146FF"/>
    <w:rsid w:val="00014D6A"/>
    <w:rsid w:val="0001513A"/>
    <w:rsid w:val="0001528D"/>
    <w:rsid w:val="00015888"/>
    <w:rsid w:val="000159F5"/>
    <w:rsid w:val="00015EF4"/>
    <w:rsid w:val="00016CA5"/>
    <w:rsid w:val="00016E77"/>
    <w:rsid w:val="000171A4"/>
    <w:rsid w:val="00017B17"/>
    <w:rsid w:val="0002053B"/>
    <w:rsid w:val="00020849"/>
    <w:rsid w:val="00020F10"/>
    <w:rsid w:val="00021307"/>
    <w:rsid w:val="0002231B"/>
    <w:rsid w:val="00022528"/>
    <w:rsid w:val="00023007"/>
    <w:rsid w:val="00023307"/>
    <w:rsid w:val="00023526"/>
    <w:rsid w:val="000241AE"/>
    <w:rsid w:val="000249AC"/>
    <w:rsid w:val="00024B06"/>
    <w:rsid w:val="00024D13"/>
    <w:rsid w:val="0002508E"/>
    <w:rsid w:val="00025797"/>
    <w:rsid w:val="00025BE4"/>
    <w:rsid w:val="00025F75"/>
    <w:rsid w:val="0002647E"/>
    <w:rsid w:val="00026C73"/>
    <w:rsid w:val="00026F46"/>
    <w:rsid w:val="0002714D"/>
    <w:rsid w:val="00027641"/>
    <w:rsid w:val="00027733"/>
    <w:rsid w:val="0002777B"/>
    <w:rsid w:val="00027EA5"/>
    <w:rsid w:val="00030280"/>
    <w:rsid w:val="000309B6"/>
    <w:rsid w:val="000309E7"/>
    <w:rsid w:val="00030AA1"/>
    <w:rsid w:val="00030B20"/>
    <w:rsid w:val="000321F1"/>
    <w:rsid w:val="0003250D"/>
    <w:rsid w:val="000337E4"/>
    <w:rsid w:val="00033DAD"/>
    <w:rsid w:val="000340A3"/>
    <w:rsid w:val="000347B2"/>
    <w:rsid w:val="00034B40"/>
    <w:rsid w:val="0003518A"/>
    <w:rsid w:val="000355D5"/>
    <w:rsid w:val="00035E50"/>
    <w:rsid w:val="00036B83"/>
    <w:rsid w:val="00036CCF"/>
    <w:rsid w:val="00036F63"/>
    <w:rsid w:val="00036FB8"/>
    <w:rsid w:val="000373BE"/>
    <w:rsid w:val="00040179"/>
    <w:rsid w:val="000406A0"/>
    <w:rsid w:val="00040847"/>
    <w:rsid w:val="00040B5B"/>
    <w:rsid w:val="0004115F"/>
    <w:rsid w:val="0004140C"/>
    <w:rsid w:val="000419C5"/>
    <w:rsid w:val="00041B5B"/>
    <w:rsid w:val="00041E89"/>
    <w:rsid w:val="00041F2A"/>
    <w:rsid w:val="000420EE"/>
    <w:rsid w:val="00042D10"/>
    <w:rsid w:val="000449C3"/>
    <w:rsid w:val="00044C0D"/>
    <w:rsid w:val="00044DE0"/>
    <w:rsid w:val="00045870"/>
    <w:rsid w:val="00045D0D"/>
    <w:rsid w:val="0004606E"/>
    <w:rsid w:val="000466AD"/>
    <w:rsid w:val="00046E17"/>
    <w:rsid w:val="00046EA8"/>
    <w:rsid w:val="00047CB4"/>
    <w:rsid w:val="0005080B"/>
    <w:rsid w:val="00052309"/>
    <w:rsid w:val="000531AE"/>
    <w:rsid w:val="0005385E"/>
    <w:rsid w:val="00053B84"/>
    <w:rsid w:val="00053BDB"/>
    <w:rsid w:val="00053F58"/>
    <w:rsid w:val="00054205"/>
    <w:rsid w:val="00054A94"/>
    <w:rsid w:val="00054E39"/>
    <w:rsid w:val="0005505D"/>
    <w:rsid w:val="000551EF"/>
    <w:rsid w:val="00055283"/>
    <w:rsid w:val="0005656B"/>
    <w:rsid w:val="00056BDD"/>
    <w:rsid w:val="0005725A"/>
    <w:rsid w:val="00057AD3"/>
    <w:rsid w:val="00057DD5"/>
    <w:rsid w:val="00060714"/>
    <w:rsid w:val="000611E0"/>
    <w:rsid w:val="00061721"/>
    <w:rsid w:val="00061A82"/>
    <w:rsid w:val="00061F43"/>
    <w:rsid w:val="000623E5"/>
    <w:rsid w:val="000625E5"/>
    <w:rsid w:val="0006275F"/>
    <w:rsid w:val="00062DF2"/>
    <w:rsid w:val="00063034"/>
    <w:rsid w:val="0006464B"/>
    <w:rsid w:val="000647A6"/>
    <w:rsid w:val="000655DB"/>
    <w:rsid w:val="0006569D"/>
    <w:rsid w:val="0006584A"/>
    <w:rsid w:val="000658CB"/>
    <w:rsid w:val="00065B46"/>
    <w:rsid w:val="00065F59"/>
    <w:rsid w:val="00066956"/>
    <w:rsid w:val="00066DE9"/>
    <w:rsid w:val="0006776C"/>
    <w:rsid w:val="00067A0D"/>
    <w:rsid w:val="00067CFB"/>
    <w:rsid w:val="0006E34A"/>
    <w:rsid w:val="00070049"/>
    <w:rsid w:val="0007088C"/>
    <w:rsid w:val="00070A07"/>
    <w:rsid w:val="0007173C"/>
    <w:rsid w:val="00071CAB"/>
    <w:rsid w:val="0007282B"/>
    <w:rsid w:val="00072EC8"/>
    <w:rsid w:val="0007390F"/>
    <w:rsid w:val="00073F74"/>
    <w:rsid w:val="00074286"/>
    <w:rsid w:val="00074A0F"/>
    <w:rsid w:val="00074B8A"/>
    <w:rsid w:val="00075B21"/>
    <w:rsid w:val="00075BA2"/>
    <w:rsid w:val="00075C1F"/>
    <w:rsid w:val="000762CB"/>
    <w:rsid w:val="000763E3"/>
    <w:rsid w:val="00076836"/>
    <w:rsid w:val="00076B1C"/>
    <w:rsid w:val="00076C46"/>
    <w:rsid w:val="00076F66"/>
    <w:rsid w:val="00077115"/>
    <w:rsid w:val="0007737A"/>
    <w:rsid w:val="00077754"/>
    <w:rsid w:val="00077DC3"/>
    <w:rsid w:val="00077E7A"/>
    <w:rsid w:val="00080049"/>
    <w:rsid w:val="000800CE"/>
    <w:rsid w:val="0008021A"/>
    <w:rsid w:val="000803C1"/>
    <w:rsid w:val="00080457"/>
    <w:rsid w:val="0008054C"/>
    <w:rsid w:val="000805F7"/>
    <w:rsid w:val="000808DB"/>
    <w:rsid w:val="0008134C"/>
    <w:rsid w:val="00081383"/>
    <w:rsid w:val="00081A67"/>
    <w:rsid w:val="00081DB5"/>
    <w:rsid w:val="00081F5B"/>
    <w:rsid w:val="000820A8"/>
    <w:rsid w:val="00082880"/>
    <w:rsid w:val="00082D0D"/>
    <w:rsid w:val="00082E93"/>
    <w:rsid w:val="000830D0"/>
    <w:rsid w:val="000832E0"/>
    <w:rsid w:val="00083830"/>
    <w:rsid w:val="000838C5"/>
    <w:rsid w:val="00083B76"/>
    <w:rsid w:val="0008435A"/>
    <w:rsid w:val="000854F1"/>
    <w:rsid w:val="00085D61"/>
    <w:rsid w:val="000861D5"/>
    <w:rsid w:val="0008667A"/>
    <w:rsid w:val="00086DD3"/>
    <w:rsid w:val="000878B4"/>
    <w:rsid w:val="00087CB6"/>
    <w:rsid w:val="000905F9"/>
    <w:rsid w:val="000912BD"/>
    <w:rsid w:val="0009130F"/>
    <w:rsid w:val="000914B5"/>
    <w:rsid w:val="00091A0D"/>
    <w:rsid w:val="00091DF7"/>
    <w:rsid w:val="00091E6C"/>
    <w:rsid w:val="00091E86"/>
    <w:rsid w:val="00091F9F"/>
    <w:rsid w:val="00092456"/>
    <w:rsid w:val="00093406"/>
    <w:rsid w:val="00093434"/>
    <w:rsid w:val="0009367B"/>
    <w:rsid w:val="00093F80"/>
    <w:rsid w:val="00094768"/>
    <w:rsid w:val="00094D64"/>
    <w:rsid w:val="00094FCB"/>
    <w:rsid w:val="000958AC"/>
    <w:rsid w:val="00095AEF"/>
    <w:rsid w:val="0009636E"/>
    <w:rsid w:val="00096371"/>
    <w:rsid w:val="0009653B"/>
    <w:rsid w:val="00096973"/>
    <w:rsid w:val="0009726E"/>
    <w:rsid w:val="000974CC"/>
    <w:rsid w:val="000A0415"/>
    <w:rsid w:val="000A0508"/>
    <w:rsid w:val="000A073D"/>
    <w:rsid w:val="000A089F"/>
    <w:rsid w:val="000A0D9C"/>
    <w:rsid w:val="000A0EC9"/>
    <w:rsid w:val="000A0ECC"/>
    <w:rsid w:val="000A1474"/>
    <w:rsid w:val="000A2579"/>
    <w:rsid w:val="000A2D64"/>
    <w:rsid w:val="000A344F"/>
    <w:rsid w:val="000A3542"/>
    <w:rsid w:val="000A3DE1"/>
    <w:rsid w:val="000A3EB5"/>
    <w:rsid w:val="000A452E"/>
    <w:rsid w:val="000A4FEA"/>
    <w:rsid w:val="000A55A0"/>
    <w:rsid w:val="000A5776"/>
    <w:rsid w:val="000A6B3E"/>
    <w:rsid w:val="000A6B73"/>
    <w:rsid w:val="000A6EB1"/>
    <w:rsid w:val="000A7DEC"/>
    <w:rsid w:val="000A7F82"/>
    <w:rsid w:val="000B0934"/>
    <w:rsid w:val="000B0EA0"/>
    <w:rsid w:val="000B1425"/>
    <w:rsid w:val="000B194D"/>
    <w:rsid w:val="000B19F3"/>
    <w:rsid w:val="000B1B2C"/>
    <w:rsid w:val="000B2B3C"/>
    <w:rsid w:val="000B3546"/>
    <w:rsid w:val="000B3A16"/>
    <w:rsid w:val="000B412D"/>
    <w:rsid w:val="000B4704"/>
    <w:rsid w:val="000B4BCA"/>
    <w:rsid w:val="000B500B"/>
    <w:rsid w:val="000B54DC"/>
    <w:rsid w:val="000B5BBD"/>
    <w:rsid w:val="000B6341"/>
    <w:rsid w:val="000B6497"/>
    <w:rsid w:val="000B654C"/>
    <w:rsid w:val="000B671D"/>
    <w:rsid w:val="000B6BB5"/>
    <w:rsid w:val="000B737D"/>
    <w:rsid w:val="000B7728"/>
    <w:rsid w:val="000C080C"/>
    <w:rsid w:val="000C0DAD"/>
    <w:rsid w:val="000C17E6"/>
    <w:rsid w:val="000C2B2B"/>
    <w:rsid w:val="000C2F7D"/>
    <w:rsid w:val="000C36BE"/>
    <w:rsid w:val="000C3B3E"/>
    <w:rsid w:val="000C3C99"/>
    <w:rsid w:val="000C3CE5"/>
    <w:rsid w:val="000C3FC8"/>
    <w:rsid w:val="000C4425"/>
    <w:rsid w:val="000C4A1A"/>
    <w:rsid w:val="000C4AA6"/>
    <w:rsid w:val="000C4C94"/>
    <w:rsid w:val="000C5030"/>
    <w:rsid w:val="000C52E7"/>
    <w:rsid w:val="000C55D6"/>
    <w:rsid w:val="000C58B8"/>
    <w:rsid w:val="000C5E4A"/>
    <w:rsid w:val="000C6497"/>
    <w:rsid w:val="000C672D"/>
    <w:rsid w:val="000C6AF6"/>
    <w:rsid w:val="000C6B26"/>
    <w:rsid w:val="000C716C"/>
    <w:rsid w:val="000C772E"/>
    <w:rsid w:val="000C7800"/>
    <w:rsid w:val="000C7C05"/>
    <w:rsid w:val="000C7FF9"/>
    <w:rsid w:val="000D005E"/>
    <w:rsid w:val="000D0F09"/>
    <w:rsid w:val="000D129C"/>
    <w:rsid w:val="000D15DB"/>
    <w:rsid w:val="000D205B"/>
    <w:rsid w:val="000D2B14"/>
    <w:rsid w:val="000D2DD0"/>
    <w:rsid w:val="000D35E1"/>
    <w:rsid w:val="000D4907"/>
    <w:rsid w:val="000D4CBA"/>
    <w:rsid w:val="000D5191"/>
    <w:rsid w:val="000D51C2"/>
    <w:rsid w:val="000D55CF"/>
    <w:rsid w:val="000D5A33"/>
    <w:rsid w:val="000D5C3E"/>
    <w:rsid w:val="000D5FC4"/>
    <w:rsid w:val="000D631C"/>
    <w:rsid w:val="000D6771"/>
    <w:rsid w:val="000D6B86"/>
    <w:rsid w:val="000D74AD"/>
    <w:rsid w:val="000D75B1"/>
    <w:rsid w:val="000D7746"/>
    <w:rsid w:val="000D7844"/>
    <w:rsid w:val="000D7C62"/>
    <w:rsid w:val="000E081E"/>
    <w:rsid w:val="000E0D2E"/>
    <w:rsid w:val="000E0DB7"/>
    <w:rsid w:val="000E12D9"/>
    <w:rsid w:val="000E17E5"/>
    <w:rsid w:val="000E185C"/>
    <w:rsid w:val="000E23DE"/>
    <w:rsid w:val="000E3677"/>
    <w:rsid w:val="000E37D0"/>
    <w:rsid w:val="000E3890"/>
    <w:rsid w:val="000E3B62"/>
    <w:rsid w:val="000E4183"/>
    <w:rsid w:val="000E45B1"/>
    <w:rsid w:val="000E4813"/>
    <w:rsid w:val="000E49E7"/>
    <w:rsid w:val="000E50B5"/>
    <w:rsid w:val="000E5C53"/>
    <w:rsid w:val="000E5F81"/>
    <w:rsid w:val="000E6944"/>
    <w:rsid w:val="000E78EA"/>
    <w:rsid w:val="000E7B97"/>
    <w:rsid w:val="000F03A4"/>
    <w:rsid w:val="000F06A7"/>
    <w:rsid w:val="000F0700"/>
    <w:rsid w:val="000F07B9"/>
    <w:rsid w:val="000F1192"/>
    <w:rsid w:val="000F13F5"/>
    <w:rsid w:val="000F1454"/>
    <w:rsid w:val="000F173F"/>
    <w:rsid w:val="000F18CE"/>
    <w:rsid w:val="000F1C5B"/>
    <w:rsid w:val="000F3378"/>
    <w:rsid w:val="000F3414"/>
    <w:rsid w:val="000F3452"/>
    <w:rsid w:val="000F35F7"/>
    <w:rsid w:val="000F36E6"/>
    <w:rsid w:val="000F3ACD"/>
    <w:rsid w:val="000F3AD6"/>
    <w:rsid w:val="000F3AD7"/>
    <w:rsid w:val="000F3BF7"/>
    <w:rsid w:val="000F3FD2"/>
    <w:rsid w:val="000F491C"/>
    <w:rsid w:val="000F4F42"/>
    <w:rsid w:val="000F4F94"/>
    <w:rsid w:val="000F5DC2"/>
    <w:rsid w:val="000F5EEE"/>
    <w:rsid w:val="000F626A"/>
    <w:rsid w:val="000F677E"/>
    <w:rsid w:val="000F6BD3"/>
    <w:rsid w:val="000F72B7"/>
    <w:rsid w:val="000F7977"/>
    <w:rsid w:val="000F7AAE"/>
    <w:rsid w:val="0010029C"/>
    <w:rsid w:val="00100B4E"/>
    <w:rsid w:val="00100D73"/>
    <w:rsid w:val="001010F4"/>
    <w:rsid w:val="00101CB2"/>
    <w:rsid w:val="00102408"/>
    <w:rsid w:val="00103404"/>
    <w:rsid w:val="001036BD"/>
    <w:rsid w:val="00103BF0"/>
    <w:rsid w:val="00103DD4"/>
    <w:rsid w:val="00104168"/>
    <w:rsid w:val="00104A36"/>
    <w:rsid w:val="00104CF8"/>
    <w:rsid w:val="00104D28"/>
    <w:rsid w:val="00104E89"/>
    <w:rsid w:val="00105125"/>
    <w:rsid w:val="001052B1"/>
    <w:rsid w:val="001059D6"/>
    <w:rsid w:val="00105A6B"/>
    <w:rsid w:val="001061CD"/>
    <w:rsid w:val="001064C0"/>
    <w:rsid w:val="001066F7"/>
    <w:rsid w:val="00106994"/>
    <w:rsid w:val="00106D20"/>
    <w:rsid w:val="00107A13"/>
    <w:rsid w:val="00107A89"/>
    <w:rsid w:val="00107B6A"/>
    <w:rsid w:val="00107B8E"/>
    <w:rsid w:val="00110AB0"/>
    <w:rsid w:val="00110FCD"/>
    <w:rsid w:val="00111273"/>
    <w:rsid w:val="00111339"/>
    <w:rsid w:val="00111686"/>
    <w:rsid w:val="001116A5"/>
    <w:rsid w:val="00111BD6"/>
    <w:rsid w:val="00112393"/>
    <w:rsid w:val="00112418"/>
    <w:rsid w:val="00112878"/>
    <w:rsid w:val="00112F44"/>
    <w:rsid w:val="00113032"/>
    <w:rsid w:val="001135B7"/>
    <w:rsid w:val="001136B0"/>
    <w:rsid w:val="00113E40"/>
    <w:rsid w:val="00114CC2"/>
    <w:rsid w:val="00115022"/>
    <w:rsid w:val="00115582"/>
    <w:rsid w:val="00115747"/>
    <w:rsid w:val="001159B6"/>
    <w:rsid w:val="00115AC0"/>
    <w:rsid w:val="00115EE5"/>
    <w:rsid w:val="0011629F"/>
    <w:rsid w:val="00116457"/>
    <w:rsid w:val="00116AF6"/>
    <w:rsid w:val="001172E6"/>
    <w:rsid w:val="00117AAB"/>
    <w:rsid w:val="00120D9F"/>
    <w:rsid w:val="00122174"/>
    <w:rsid w:val="0012221A"/>
    <w:rsid w:val="001224AD"/>
    <w:rsid w:val="00122829"/>
    <w:rsid w:val="00122DAC"/>
    <w:rsid w:val="001234D2"/>
    <w:rsid w:val="0012387B"/>
    <w:rsid w:val="001242B7"/>
    <w:rsid w:val="00124FF3"/>
    <w:rsid w:val="00125997"/>
    <w:rsid w:val="00125C52"/>
    <w:rsid w:val="00125DF3"/>
    <w:rsid w:val="00126287"/>
    <w:rsid w:val="001269B9"/>
    <w:rsid w:val="00127AB2"/>
    <w:rsid w:val="00127D01"/>
    <w:rsid w:val="00130551"/>
    <w:rsid w:val="0013057F"/>
    <w:rsid w:val="00130AA8"/>
    <w:rsid w:val="00130CA0"/>
    <w:rsid w:val="00131548"/>
    <w:rsid w:val="00131916"/>
    <w:rsid w:val="00132506"/>
    <w:rsid w:val="001332CD"/>
    <w:rsid w:val="001337D6"/>
    <w:rsid w:val="00133AAD"/>
    <w:rsid w:val="00133C35"/>
    <w:rsid w:val="001347AB"/>
    <w:rsid w:val="00134D8C"/>
    <w:rsid w:val="00135027"/>
    <w:rsid w:val="00135A33"/>
    <w:rsid w:val="00135E32"/>
    <w:rsid w:val="001362C0"/>
    <w:rsid w:val="001365E5"/>
    <w:rsid w:val="00136663"/>
    <w:rsid w:val="00136BB9"/>
    <w:rsid w:val="00136C01"/>
    <w:rsid w:val="00136C6E"/>
    <w:rsid w:val="0013759F"/>
    <w:rsid w:val="00137E1C"/>
    <w:rsid w:val="00140CC8"/>
    <w:rsid w:val="0014136F"/>
    <w:rsid w:val="0014155A"/>
    <w:rsid w:val="00141A27"/>
    <w:rsid w:val="00141B88"/>
    <w:rsid w:val="00142205"/>
    <w:rsid w:val="001423C2"/>
    <w:rsid w:val="00142480"/>
    <w:rsid w:val="001429E3"/>
    <w:rsid w:val="00142CA9"/>
    <w:rsid w:val="00142D84"/>
    <w:rsid w:val="001430DF"/>
    <w:rsid w:val="001434EF"/>
    <w:rsid w:val="0014363E"/>
    <w:rsid w:val="00143D2A"/>
    <w:rsid w:val="001440E3"/>
    <w:rsid w:val="00144319"/>
    <w:rsid w:val="00144F8F"/>
    <w:rsid w:val="00145014"/>
    <w:rsid w:val="00145142"/>
    <w:rsid w:val="00145168"/>
    <w:rsid w:val="0014550B"/>
    <w:rsid w:val="001458CD"/>
    <w:rsid w:val="0014638B"/>
    <w:rsid w:val="00146599"/>
    <w:rsid w:val="00146A43"/>
    <w:rsid w:val="00146FE0"/>
    <w:rsid w:val="001472BB"/>
    <w:rsid w:val="0014741A"/>
    <w:rsid w:val="0014759B"/>
    <w:rsid w:val="00150098"/>
    <w:rsid w:val="00150625"/>
    <w:rsid w:val="00150715"/>
    <w:rsid w:val="001507C9"/>
    <w:rsid w:val="00150FFE"/>
    <w:rsid w:val="0015117E"/>
    <w:rsid w:val="0015121D"/>
    <w:rsid w:val="001516F8"/>
    <w:rsid w:val="001519F6"/>
    <w:rsid w:val="00151E5B"/>
    <w:rsid w:val="00151EED"/>
    <w:rsid w:val="00152B73"/>
    <w:rsid w:val="00152B8B"/>
    <w:rsid w:val="00152E06"/>
    <w:rsid w:val="00152EFC"/>
    <w:rsid w:val="00152FD0"/>
    <w:rsid w:val="00153D04"/>
    <w:rsid w:val="00154037"/>
    <w:rsid w:val="00154683"/>
    <w:rsid w:val="0015490A"/>
    <w:rsid w:val="00154EFB"/>
    <w:rsid w:val="00155140"/>
    <w:rsid w:val="00155C32"/>
    <w:rsid w:val="0015665F"/>
    <w:rsid w:val="0015713D"/>
    <w:rsid w:val="00157222"/>
    <w:rsid w:val="00157810"/>
    <w:rsid w:val="00157EAF"/>
    <w:rsid w:val="001607B8"/>
    <w:rsid w:val="00160F58"/>
    <w:rsid w:val="0016130E"/>
    <w:rsid w:val="001615F6"/>
    <w:rsid w:val="00161804"/>
    <w:rsid w:val="001622F2"/>
    <w:rsid w:val="00162AB3"/>
    <w:rsid w:val="0016300F"/>
    <w:rsid w:val="001635A6"/>
    <w:rsid w:val="001636CD"/>
    <w:rsid w:val="0016394D"/>
    <w:rsid w:val="0016396B"/>
    <w:rsid w:val="00163D3F"/>
    <w:rsid w:val="001642DC"/>
    <w:rsid w:val="00164DCB"/>
    <w:rsid w:val="00165064"/>
    <w:rsid w:val="001650BF"/>
    <w:rsid w:val="001650E0"/>
    <w:rsid w:val="00165233"/>
    <w:rsid w:val="00165DDC"/>
    <w:rsid w:val="0016607F"/>
    <w:rsid w:val="00166150"/>
    <w:rsid w:val="001663D2"/>
    <w:rsid w:val="00166537"/>
    <w:rsid w:val="00166835"/>
    <w:rsid w:val="0016727D"/>
    <w:rsid w:val="00167442"/>
    <w:rsid w:val="00167539"/>
    <w:rsid w:val="001677E2"/>
    <w:rsid w:val="00167E6B"/>
    <w:rsid w:val="001708CB"/>
    <w:rsid w:val="00170F7B"/>
    <w:rsid w:val="00170F8E"/>
    <w:rsid w:val="00171101"/>
    <w:rsid w:val="00171809"/>
    <w:rsid w:val="00171A6B"/>
    <w:rsid w:val="00171F81"/>
    <w:rsid w:val="001728B9"/>
    <w:rsid w:val="00172ACB"/>
    <w:rsid w:val="00173279"/>
    <w:rsid w:val="00173487"/>
    <w:rsid w:val="001736E5"/>
    <w:rsid w:val="00173897"/>
    <w:rsid w:val="00173BA5"/>
    <w:rsid w:val="0017430B"/>
    <w:rsid w:val="00174607"/>
    <w:rsid w:val="001746C4"/>
    <w:rsid w:val="00174944"/>
    <w:rsid w:val="00174A3A"/>
    <w:rsid w:val="00174BE5"/>
    <w:rsid w:val="00174CE8"/>
    <w:rsid w:val="00174DFF"/>
    <w:rsid w:val="0017619B"/>
    <w:rsid w:val="001771A2"/>
    <w:rsid w:val="00180954"/>
    <w:rsid w:val="001814D2"/>
    <w:rsid w:val="0018154A"/>
    <w:rsid w:val="00181913"/>
    <w:rsid w:val="00182F29"/>
    <w:rsid w:val="00182F39"/>
    <w:rsid w:val="001841EB"/>
    <w:rsid w:val="001847F1"/>
    <w:rsid w:val="001847FF"/>
    <w:rsid w:val="00184966"/>
    <w:rsid w:val="00184BFD"/>
    <w:rsid w:val="00185169"/>
    <w:rsid w:val="00185664"/>
    <w:rsid w:val="0018571A"/>
    <w:rsid w:val="00185A07"/>
    <w:rsid w:val="00185F90"/>
    <w:rsid w:val="00186AFD"/>
    <w:rsid w:val="00186B18"/>
    <w:rsid w:val="00186B8A"/>
    <w:rsid w:val="00186E7E"/>
    <w:rsid w:val="00186FA4"/>
    <w:rsid w:val="0018751F"/>
    <w:rsid w:val="00187738"/>
    <w:rsid w:val="001902F1"/>
    <w:rsid w:val="00190516"/>
    <w:rsid w:val="00190B09"/>
    <w:rsid w:val="00190F07"/>
    <w:rsid w:val="00191729"/>
    <w:rsid w:val="00191A1F"/>
    <w:rsid w:val="00191B54"/>
    <w:rsid w:val="001924B5"/>
    <w:rsid w:val="001925D8"/>
    <w:rsid w:val="00192759"/>
    <w:rsid w:val="00192C07"/>
    <w:rsid w:val="00192D14"/>
    <w:rsid w:val="00193201"/>
    <w:rsid w:val="0019322F"/>
    <w:rsid w:val="0019332F"/>
    <w:rsid w:val="001933B7"/>
    <w:rsid w:val="00193887"/>
    <w:rsid w:val="00193BFE"/>
    <w:rsid w:val="001946E6"/>
    <w:rsid w:val="00194905"/>
    <w:rsid w:val="0019520D"/>
    <w:rsid w:val="001954DD"/>
    <w:rsid w:val="00195765"/>
    <w:rsid w:val="0019603A"/>
    <w:rsid w:val="0019694F"/>
    <w:rsid w:val="00196D4D"/>
    <w:rsid w:val="00196DF8"/>
    <w:rsid w:val="001974E0"/>
    <w:rsid w:val="00197C9F"/>
    <w:rsid w:val="00197D72"/>
    <w:rsid w:val="001A1D9E"/>
    <w:rsid w:val="001A1E81"/>
    <w:rsid w:val="001A290B"/>
    <w:rsid w:val="001A2DBF"/>
    <w:rsid w:val="001A2F21"/>
    <w:rsid w:val="001A44DF"/>
    <w:rsid w:val="001A469D"/>
    <w:rsid w:val="001A486F"/>
    <w:rsid w:val="001A4B1B"/>
    <w:rsid w:val="001A4E71"/>
    <w:rsid w:val="001A53DF"/>
    <w:rsid w:val="001A548F"/>
    <w:rsid w:val="001A5E8E"/>
    <w:rsid w:val="001A6D84"/>
    <w:rsid w:val="001A6EDE"/>
    <w:rsid w:val="001A70B1"/>
    <w:rsid w:val="001A7D23"/>
    <w:rsid w:val="001B03F3"/>
    <w:rsid w:val="001B0871"/>
    <w:rsid w:val="001B12B1"/>
    <w:rsid w:val="001B1384"/>
    <w:rsid w:val="001B1406"/>
    <w:rsid w:val="001B1738"/>
    <w:rsid w:val="001B1BD5"/>
    <w:rsid w:val="001B29B7"/>
    <w:rsid w:val="001B2D80"/>
    <w:rsid w:val="001B3305"/>
    <w:rsid w:val="001B3B6B"/>
    <w:rsid w:val="001B3C69"/>
    <w:rsid w:val="001B3FAB"/>
    <w:rsid w:val="001B46CB"/>
    <w:rsid w:val="001B54F1"/>
    <w:rsid w:val="001B5750"/>
    <w:rsid w:val="001B66DF"/>
    <w:rsid w:val="001B673F"/>
    <w:rsid w:val="001B6D03"/>
    <w:rsid w:val="001B6E90"/>
    <w:rsid w:val="001C02BA"/>
    <w:rsid w:val="001C05F5"/>
    <w:rsid w:val="001C09CD"/>
    <w:rsid w:val="001C0B7E"/>
    <w:rsid w:val="001C0DA9"/>
    <w:rsid w:val="001C174C"/>
    <w:rsid w:val="001C261E"/>
    <w:rsid w:val="001C2940"/>
    <w:rsid w:val="001C3B72"/>
    <w:rsid w:val="001C45CF"/>
    <w:rsid w:val="001C4745"/>
    <w:rsid w:val="001C4872"/>
    <w:rsid w:val="001C4A10"/>
    <w:rsid w:val="001C50EA"/>
    <w:rsid w:val="001C52CB"/>
    <w:rsid w:val="001C5A87"/>
    <w:rsid w:val="001C5E53"/>
    <w:rsid w:val="001C6437"/>
    <w:rsid w:val="001C72C4"/>
    <w:rsid w:val="001C771E"/>
    <w:rsid w:val="001D0275"/>
    <w:rsid w:val="001D04DC"/>
    <w:rsid w:val="001D0DDB"/>
    <w:rsid w:val="001D15FC"/>
    <w:rsid w:val="001D15FF"/>
    <w:rsid w:val="001D1CEF"/>
    <w:rsid w:val="001D1E47"/>
    <w:rsid w:val="001D43BF"/>
    <w:rsid w:val="001D4886"/>
    <w:rsid w:val="001D5031"/>
    <w:rsid w:val="001D5A00"/>
    <w:rsid w:val="001D5E36"/>
    <w:rsid w:val="001D6814"/>
    <w:rsid w:val="001D6F88"/>
    <w:rsid w:val="001D727A"/>
    <w:rsid w:val="001D7684"/>
    <w:rsid w:val="001D7804"/>
    <w:rsid w:val="001D7B72"/>
    <w:rsid w:val="001D7E61"/>
    <w:rsid w:val="001E0A56"/>
    <w:rsid w:val="001E0B1C"/>
    <w:rsid w:val="001E0E88"/>
    <w:rsid w:val="001E0EAF"/>
    <w:rsid w:val="001E15DB"/>
    <w:rsid w:val="001E2066"/>
    <w:rsid w:val="001E299A"/>
    <w:rsid w:val="001E3357"/>
    <w:rsid w:val="001E3D3A"/>
    <w:rsid w:val="001E43E7"/>
    <w:rsid w:val="001E4731"/>
    <w:rsid w:val="001E4908"/>
    <w:rsid w:val="001E5253"/>
    <w:rsid w:val="001E67BD"/>
    <w:rsid w:val="001E6E21"/>
    <w:rsid w:val="001E70E7"/>
    <w:rsid w:val="001E716C"/>
    <w:rsid w:val="001E7E9B"/>
    <w:rsid w:val="001E7EF0"/>
    <w:rsid w:val="001F030C"/>
    <w:rsid w:val="001F1C39"/>
    <w:rsid w:val="001F2D4E"/>
    <w:rsid w:val="001F2EE4"/>
    <w:rsid w:val="001F39EE"/>
    <w:rsid w:val="001F3D25"/>
    <w:rsid w:val="001F44DE"/>
    <w:rsid w:val="001F4D62"/>
    <w:rsid w:val="001F532C"/>
    <w:rsid w:val="001F5D4A"/>
    <w:rsid w:val="001F5F4B"/>
    <w:rsid w:val="001F606A"/>
    <w:rsid w:val="001F7081"/>
    <w:rsid w:val="001F77E4"/>
    <w:rsid w:val="001F7BE8"/>
    <w:rsid w:val="001F7D95"/>
    <w:rsid w:val="002000F5"/>
    <w:rsid w:val="00200710"/>
    <w:rsid w:val="00201049"/>
    <w:rsid w:val="00201321"/>
    <w:rsid w:val="00202206"/>
    <w:rsid w:val="002025D7"/>
    <w:rsid w:val="0020285E"/>
    <w:rsid w:val="00202CA2"/>
    <w:rsid w:val="002036D8"/>
    <w:rsid w:val="00203BB5"/>
    <w:rsid w:val="0020407D"/>
    <w:rsid w:val="00204511"/>
    <w:rsid w:val="00205221"/>
    <w:rsid w:val="0020531E"/>
    <w:rsid w:val="00205C18"/>
    <w:rsid w:val="0020711C"/>
    <w:rsid w:val="00207524"/>
    <w:rsid w:val="00207597"/>
    <w:rsid w:val="00207956"/>
    <w:rsid w:val="00207FEB"/>
    <w:rsid w:val="002100B6"/>
    <w:rsid w:val="00210A67"/>
    <w:rsid w:val="00210CC7"/>
    <w:rsid w:val="00210DC0"/>
    <w:rsid w:val="00210F45"/>
    <w:rsid w:val="00211DA6"/>
    <w:rsid w:val="002122F5"/>
    <w:rsid w:val="00212345"/>
    <w:rsid w:val="00212B84"/>
    <w:rsid w:val="002131BB"/>
    <w:rsid w:val="002136BC"/>
    <w:rsid w:val="00213E07"/>
    <w:rsid w:val="002146ED"/>
    <w:rsid w:val="00214910"/>
    <w:rsid w:val="00214B12"/>
    <w:rsid w:val="00214D28"/>
    <w:rsid w:val="002151F2"/>
    <w:rsid w:val="0021606E"/>
    <w:rsid w:val="00216EB6"/>
    <w:rsid w:val="00217091"/>
    <w:rsid w:val="002176F8"/>
    <w:rsid w:val="00217785"/>
    <w:rsid w:val="002178FE"/>
    <w:rsid w:val="00217C01"/>
    <w:rsid w:val="00217DDD"/>
    <w:rsid w:val="002209D0"/>
    <w:rsid w:val="00220E2E"/>
    <w:rsid w:val="00221425"/>
    <w:rsid w:val="00221601"/>
    <w:rsid w:val="002236D8"/>
    <w:rsid w:val="002238D6"/>
    <w:rsid w:val="00223B6B"/>
    <w:rsid w:val="00223C5F"/>
    <w:rsid w:val="00223DBF"/>
    <w:rsid w:val="00224160"/>
    <w:rsid w:val="002242EE"/>
    <w:rsid w:val="00225596"/>
    <w:rsid w:val="00225AD9"/>
    <w:rsid w:val="00225EE5"/>
    <w:rsid w:val="0022606F"/>
    <w:rsid w:val="00226188"/>
    <w:rsid w:val="0022640E"/>
    <w:rsid w:val="00226AB5"/>
    <w:rsid w:val="00226BB1"/>
    <w:rsid w:val="00226BB3"/>
    <w:rsid w:val="00226C66"/>
    <w:rsid w:val="0022709F"/>
    <w:rsid w:val="00227890"/>
    <w:rsid w:val="00230EEA"/>
    <w:rsid w:val="00231490"/>
    <w:rsid w:val="00231A4B"/>
    <w:rsid w:val="00231B89"/>
    <w:rsid w:val="0023229E"/>
    <w:rsid w:val="002327F2"/>
    <w:rsid w:val="00232B8E"/>
    <w:rsid w:val="00233638"/>
    <w:rsid w:val="0023379C"/>
    <w:rsid w:val="002338DD"/>
    <w:rsid w:val="00234481"/>
    <w:rsid w:val="00234683"/>
    <w:rsid w:val="00235D21"/>
    <w:rsid w:val="00235E96"/>
    <w:rsid w:val="00236871"/>
    <w:rsid w:val="00236DD1"/>
    <w:rsid w:val="00236E32"/>
    <w:rsid w:val="00236E7F"/>
    <w:rsid w:val="002373C4"/>
    <w:rsid w:val="002373D8"/>
    <w:rsid w:val="002375BD"/>
    <w:rsid w:val="002379B0"/>
    <w:rsid w:val="00237C6C"/>
    <w:rsid w:val="00237CDC"/>
    <w:rsid w:val="0024069D"/>
    <w:rsid w:val="002409DD"/>
    <w:rsid w:val="002412CF"/>
    <w:rsid w:val="00241A65"/>
    <w:rsid w:val="00241C5E"/>
    <w:rsid w:val="00241CAB"/>
    <w:rsid w:val="00241F1F"/>
    <w:rsid w:val="00241FE9"/>
    <w:rsid w:val="002420A8"/>
    <w:rsid w:val="00242436"/>
    <w:rsid w:val="002429A7"/>
    <w:rsid w:val="00242BFE"/>
    <w:rsid w:val="00242E36"/>
    <w:rsid w:val="00242EEB"/>
    <w:rsid w:val="00242F16"/>
    <w:rsid w:val="0024353E"/>
    <w:rsid w:val="002445C1"/>
    <w:rsid w:val="00244B78"/>
    <w:rsid w:val="00244C5D"/>
    <w:rsid w:val="00244E89"/>
    <w:rsid w:val="0024509A"/>
    <w:rsid w:val="00245460"/>
    <w:rsid w:val="00245619"/>
    <w:rsid w:val="0024561B"/>
    <w:rsid w:val="00245652"/>
    <w:rsid w:val="00245927"/>
    <w:rsid w:val="00245CBE"/>
    <w:rsid w:val="00245DA6"/>
    <w:rsid w:val="00245DAB"/>
    <w:rsid w:val="00245EB9"/>
    <w:rsid w:val="00245F28"/>
    <w:rsid w:val="002460A6"/>
    <w:rsid w:val="00246255"/>
    <w:rsid w:val="002465B5"/>
    <w:rsid w:val="00246834"/>
    <w:rsid w:val="00246927"/>
    <w:rsid w:val="00246A17"/>
    <w:rsid w:val="002507BF"/>
    <w:rsid w:val="002509A9"/>
    <w:rsid w:val="00250D43"/>
    <w:rsid w:val="002514B1"/>
    <w:rsid w:val="0025194E"/>
    <w:rsid w:val="0025266A"/>
    <w:rsid w:val="0025301F"/>
    <w:rsid w:val="002530F8"/>
    <w:rsid w:val="002532B1"/>
    <w:rsid w:val="00253737"/>
    <w:rsid w:val="00253935"/>
    <w:rsid w:val="00253C87"/>
    <w:rsid w:val="00253D9B"/>
    <w:rsid w:val="002544DE"/>
    <w:rsid w:val="00254614"/>
    <w:rsid w:val="00254753"/>
    <w:rsid w:val="00254E9F"/>
    <w:rsid w:val="00254ED2"/>
    <w:rsid w:val="0025594C"/>
    <w:rsid w:val="002560A2"/>
    <w:rsid w:val="002562E3"/>
    <w:rsid w:val="002567E4"/>
    <w:rsid w:val="00256EF6"/>
    <w:rsid w:val="0025768D"/>
    <w:rsid w:val="00257C2A"/>
    <w:rsid w:val="00260996"/>
    <w:rsid w:val="00260E60"/>
    <w:rsid w:val="002614A6"/>
    <w:rsid w:val="00261F62"/>
    <w:rsid w:val="0026220E"/>
    <w:rsid w:val="00262443"/>
    <w:rsid w:val="00262600"/>
    <w:rsid w:val="00262A5B"/>
    <w:rsid w:val="00263643"/>
    <w:rsid w:val="00263AE6"/>
    <w:rsid w:val="00263DF4"/>
    <w:rsid w:val="00265033"/>
    <w:rsid w:val="00265214"/>
    <w:rsid w:val="002656F4"/>
    <w:rsid w:val="00265EDD"/>
    <w:rsid w:val="002661E7"/>
    <w:rsid w:val="00267674"/>
    <w:rsid w:val="002677B0"/>
    <w:rsid w:val="002679DF"/>
    <w:rsid w:val="00267DAA"/>
    <w:rsid w:val="00267EA3"/>
    <w:rsid w:val="002705AA"/>
    <w:rsid w:val="00270DB0"/>
    <w:rsid w:val="00270FD4"/>
    <w:rsid w:val="0027106A"/>
    <w:rsid w:val="00271C95"/>
    <w:rsid w:val="00271E48"/>
    <w:rsid w:val="00272E8C"/>
    <w:rsid w:val="0027304E"/>
    <w:rsid w:val="00273660"/>
    <w:rsid w:val="00273AF5"/>
    <w:rsid w:val="00273BBF"/>
    <w:rsid w:val="002744FD"/>
    <w:rsid w:val="0027453E"/>
    <w:rsid w:val="002753DF"/>
    <w:rsid w:val="00275A72"/>
    <w:rsid w:val="00275C44"/>
    <w:rsid w:val="00275D90"/>
    <w:rsid w:val="00277842"/>
    <w:rsid w:val="00277F91"/>
    <w:rsid w:val="002801F3"/>
    <w:rsid w:val="00280409"/>
    <w:rsid w:val="002804B8"/>
    <w:rsid w:val="002809A6"/>
    <w:rsid w:val="00280FB0"/>
    <w:rsid w:val="002811DB"/>
    <w:rsid w:val="002815C8"/>
    <w:rsid w:val="002815E7"/>
    <w:rsid w:val="00281756"/>
    <w:rsid w:val="00281A17"/>
    <w:rsid w:val="00281EC1"/>
    <w:rsid w:val="00282197"/>
    <w:rsid w:val="002826E4"/>
    <w:rsid w:val="002832C1"/>
    <w:rsid w:val="00283959"/>
    <w:rsid w:val="00283A77"/>
    <w:rsid w:val="00283AA1"/>
    <w:rsid w:val="00284D72"/>
    <w:rsid w:val="00284F2E"/>
    <w:rsid w:val="00285068"/>
    <w:rsid w:val="00285387"/>
    <w:rsid w:val="0028581E"/>
    <w:rsid w:val="002858F5"/>
    <w:rsid w:val="00285929"/>
    <w:rsid w:val="00285C77"/>
    <w:rsid w:val="0028649E"/>
    <w:rsid w:val="002864DF"/>
    <w:rsid w:val="002865CD"/>
    <w:rsid w:val="00286A24"/>
    <w:rsid w:val="00286A6A"/>
    <w:rsid w:val="00287312"/>
    <w:rsid w:val="002875B7"/>
    <w:rsid w:val="00287BB6"/>
    <w:rsid w:val="00287EF0"/>
    <w:rsid w:val="0029010B"/>
    <w:rsid w:val="00290B5A"/>
    <w:rsid w:val="00290F90"/>
    <w:rsid w:val="0029193C"/>
    <w:rsid w:val="00291E92"/>
    <w:rsid w:val="002920D0"/>
    <w:rsid w:val="0029223E"/>
    <w:rsid w:val="0029369F"/>
    <w:rsid w:val="00293ABC"/>
    <w:rsid w:val="00293BD2"/>
    <w:rsid w:val="002942A2"/>
    <w:rsid w:val="002942BD"/>
    <w:rsid w:val="002942C9"/>
    <w:rsid w:val="002953E2"/>
    <w:rsid w:val="0029548F"/>
    <w:rsid w:val="00296477"/>
    <w:rsid w:val="00296533"/>
    <w:rsid w:val="0029732B"/>
    <w:rsid w:val="00297D9B"/>
    <w:rsid w:val="002A00C2"/>
    <w:rsid w:val="002A0138"/>
    <w:rsid w:val="002A04FD"/>
    <w:rsid w:val="002A08BC"/>
    <w:rsid w:val="002A1501"/>
    <w:rsid w:val="002A1773"/>
    <w:rsid w:val="002A26DF"/>
    <w:rsid w:val="002A2C9C"/>
    <w:rsid w:val="002A2CC8"/>
    <w:rsid w:val="002A33DB"/>
    <w:rsid w:val="002A3DC8"/>
    <w:rsid w:val="002A405B"/>
    <w:rsid w:val="002A41B5"/>
    <w:rsid w:val="002A5157"/>
    <w:rsid w:val="002A59BE"/>
    <w:rsid w:val="002A59D1"/>
    <w:rsid w:val="002A5CD8"/>
    <w:rsid w:val="002A5E99"/>
    <w:rsid w:val="002A61F3"/>
    <w:rsid w:val="002A6B79"/>
    <w:rsid w:val="002A7040"/>
    <w:rsid w:val="002A7632"/>
    <w:rsid w:val="002A79C2"/>
    <w:rsid w:val="002A7CAC"/>
    <w:rsid w:val="002A7D24"/>
    <w:rsid w:val="002B1ACD"/>
    <w:rsid w:val="002B1AE2"/>
    <w:rsid w:val="002B2145"/>
    <w:rsid w:val="002B24DD"/>
    <w:rsid w:val="002B2565"/>
    <w:rsid w:val="002B28A4"/>
    <w:rsid w:val="002B2E59"/>
    <w:rsid w:val="002B345C"/>
    <w:rsid w:val="002B3C75"/>
    <w:rsid w:val="002B3C93"/>
    <w:rsid w:val="002B3FDF"/>
    <w:rsid w:val="002B422A"/>
    <w:rsid w:val="002B470F"/>
    <w:rsid w:val="002B6551"/>
    <w:rsid w:val="002B6914"/>
    <w:rsid w:val="002B71F4"/>
    <w:rsid w:val="002B73C4"/>
    <w:rsid w:val="002B75FB"/>
    <w:rsid w:val="002B771D"/>
    <w:rsid w:val="002C010E"/>
    <w:rsid w:val="002C0292"/>
    <w:rsid w:val="002C13BD"/>
    <w:rsid w:val="002C20C8"/>
    <w:rsid w:val="002C20D7"/>
    <w:rsid w:val="002C2199"/>
    <w:rsid w:val="002C27DA"/>
    <w:rsid w:val="002C2C7C"/>
    <w:rsid w:val="002C39CC"/>
    <w:rsid w:val="002C3AB4"/>
    <w:rsid w:val="002C45DC"/>
    <w:rsid w:val="002C4A97"/>
    <w:rsid w:val="002C54E4"/>
    <w:rsid w:val="002C5CEA"/>
    <w:rsid w:val="002C63F6"/>
    <w:rsid w:val="002C6607"/>
    <w:rsid w:val="002C6638"/>
    <w:rsid w:val="002C66B3"/>
    <w:rsid w:val="002C6CB8"/>
    <w:rsid w:val="002C6DCD"/>
    <w:rsid w:val="002C7548"/>
    <w:rsid w:val="002C7A14"/>
    <w:rsid w:val="002D02C8"/>
    <w:rsid w:val="002D1750"/>
    <w:rsid w:val="002D1798"/>
    <w:rsid w:val="002D1ADE"/>
    <w:rsid w:val="002D1BE6"/>
    <w:rsid w:val="002D29ED"/>
    <w:rsid w:val="002D2E3B"/>
    <w:rsid w:val="002D3A27"/>
    <w:rsid w:val="002D3D3F"/>
    <w:rsid w:val="002D3EB6"/>
    <w:rsid w:val="002D41D4"/>
    <w:rsid w:val="002D4575"/>
    <w:rsid w:val="002D4915"/>
    <w:rsid w:val="002D4B3B"/>
    <w:rsid w:val="002D56B3"/>
    <w:rsid w:val="002D5891"/>
    <w:rsid w:val="002D5AC9"/>
    <w:rsid w:val="002D5F43"/>
    <w:rsid w:val="002D6410"/>
    <w:rsid w:val="002D68EE"/>
    <w:rsid w:val="002D6E81"/>
    <w:rsid w:val="002D72ED"/>
    <w:rsid w:val="002D73DF"/>
    <w:rsid w:val="002D7B61"/>
    <w:rsid w:val="002E01B4"/>
    <w:rsid w:val="002E0515"/>
    <w:rsid w:val="002E1561"/>
    <w:rsid w:val="002E249F"/>
    <w:rsid w:val="002E25F3"/>
    <w:rsid w:val="002E3D67"/>
    <w:rsid w:val="002E3FC7"/>
    <w:rsid w:val="002E4A62"/>
    <w:rsid w:val="002E5678"/>
    <w:rsid w:val="002E5E33"/>
    <w:rsid w:val="002E5E85"/>
    <w:rsid w:val="002E5EBD"/>
    <w:rsid w:val="002E60D9"/>
    <w:rsid w:val="002E63C9"/>
    <w:rsid w:val="002E6D0F"/>
    <w:rsid w:val="002E76EA"/>
    <w:rsid w:val="002E7C46"/>
    <w:rsid w:val="002E7CF4"/>
    <w:rsid w:val="002E7DC0"/>
    <w:rsid w:val="002F0353"/>
    <w:rsid w:val="002F1534"/>
    <w:rsid w:val="002F1D5E"/>
    <w:rsid w:val="002F224D"/>
    <w:rsid w:val="002F22B1"/>
    <w:rsid w:val="002F23B2"/>
    <w:rsid w:val="002F27CF"/>
    <w:rsid w:val="002F2CC3"/>
    <w:rsid w:val="002F3966"/>
    <w:rsid w:val="002F3A4B"/>
    <w:rsid w:val="002F3B6D"/>
    <w:rsid w:val="002F3BFC"/>
    <w:rsid w:val="002F3D00"/>
    <w:rsid w:val="002F3F23"/>
    <w:rsid w:val="002F3FF9"/>
    <w:rsid w:val="002F40CA"/>
    <w:rsid w:val="002F48C3"/>
    <w:rsid w:val="002F4AD5"/>
    <w:rsid w:val="002F5AEB"/>
    <w:rsid w:val="002F5BC5"/>
    <w:rsid w:val="002F7128"/>
    <w:rsid w:val="002F7B66"/>
    <w:rsid w:val="00300123"/>
    <w:rsid w:val="0030036E"/>
    <w:rsid w:val="003008A8"/>
    <w:rsid w:val="003009F0"/>
    <w:rsid w:val="00301052"/>
    <w:rsid w:val="00301183"/>
    <w:rsid w:val="003017A6"/>
    <w:rsid w:val="003017D1"/>
    <w:rsid w:val="003020CE"/>
    <w:rsid w:val="003020F4"/>
    <w:rsid w:val="003026D9"/>
    <w:rsid w:val="00302D3B"/>
    <w:rsid w:val="00302FC1"/>
    <w:rsid w:val="00303A5D"/>
    <w:rsid w:val="00303B53"/>
    <w:rsid w:val="00303E1E"/>
    <w:rsid w:val="0030408F"/>
    <w:rsid w:val="00304207"/>
    <w:rsid w:val="003047F4"/>
    <w:rsid w:val="00305761"/>
    <w:rsid w:val="00305E2B"/>
    <w:rsid w:val="003071E2"/>
    <w:rsid w:val="00311784"/>
    <w:rsid w:val="00311947"/>
    <w:rsid w:val="00311F4F"/>
    <w:rsid w:val="003127E3"/>
    <w:rsid w:val="00313109"/>
    <w:rsid w:val="003133E7"/>
    <w:rsid w:val="00314515"/>
    <w:rsid w:val="00314521"/>
    <w:rsid w:val="00315020"/>
    <w:rsid w:val="00315454"/>
    <w:rsid w:val="003156E7"/>
    <w:rsid w:val="00315ABE"/>
    <w:rsid w:val="00315D12"/>
    <w:rsid w:val="00315DDD"/>
    <w:rsid w:val="00315FC0"/>
    <w:rsid w:val="003161F2"/>
    <w:rsid w:val="0031621E"/>
    <w:rsid w:val="00316429"/>
    <w:rsid w:val="00316761"/>
    <w:rsid w:val="003171B2"/>
    <w:rsid w:val="0031736D"/>
    <w:rsid w:val="00317744"/>
    <w:rsid w:val="00317FBA"/>
    <w:rsid w:val="00317FF6"/>
    <w:rsid w:val="00320193"/>
    <w:rsid w:val="0032063E"/>
    <w:rsid w:val="003219B7"/>
    <w:rsid w:val="00321C12"/>
    <w:rsid w:val="00321F83"/>
    <w:rsid w:val="00322504"/>
    <w:rsid w:val="003225D3"/>
    <w:rsid w:val="00322824"/>
    <w:rsid w:val="00322D73"/>
    <w:rsid w:val="00323CFD"/>
    <w:rsid w:val="003241F9"/>
    <w:rsid w:val="003245A1"/>
    <w:rsid w:val="00324F59"/>
    <w:rsid w:val="0032547A"/>
    <w:rsid w:val="003257AF"/>
    <w:rsid w:val="0032580F"/>
    <w:rsid w:val="0032583D"/>
    <w:rsid w:val="0032587E"/>
    <w:rsid w:val="00325AEF"/>
    <w:rsid w:val="003265E8"/>
    <w:rsid w:val="003268DB"/>
    <w:rsid w:val="00327460"/>
    <w:rsid w:val="0033074D"/>
    <w:rsid w:val="00330809"/>
    <w:rsid w:val="00330BDB"/>
    <w:rsid w:val="00330C80"/>
    <w:rsid w:val="003311CA"/>
    <w:rsid w:val="00331714"/>
    <w:rsid w:val="00331BF7"/>
    <w:rsid w:val="0033247A"/>
    <w:rsid w:val="003324A7"/>
    <w:rsid w:val="003324B7"/>
    <w:rsid w:val="003327D1"/>
    <w:rsid w:val="00332AB3"/>
    <w:rsid w:val="00332C91"/>
    <w:rsid w:val="00332E91"/>
    <w:rsid w:val="00332E92"/>
    <w:rsid w:val="0033318D"/>
    <w:rsid w:val="003338AE"/>
    <w:rsid w:val="003339A2"/>
    <w:rsid w:val="00333BFE"/>
    <w:rsid w:val="00334006"/>
    <w:rsid w:val="00334451"/>
    <w:rsid w:val="00334908"/>
    <w:rsid w:val="00334D88"/>
    <w:rsid w:val="00335589"/>
    <w:rsid w:val="00335D0E"/>
    <w:rsid w:val="00336A24"/>
    <w:rsid w:val="00336AE6"/>
    <w:rsid w:val="00336DE9"/>
    <w:rsid w:val="00337043"/>
    <w:rsid w:val="003371CB"/>
    <w:rsid w:val="00337C46"/>
    <w:rsid w:val="00340071"/>
    <w:rsid w:val="00341630"/>
    <w:rsid w:val="00341A23"/>
    <w:rsid w:val="00341EAA"/>
    <w:rsid w:val="00341F59"/>
    <w:rsid w:val="00342C09"/>
    <w:rsid w:val="0034311A"/>
    <w:rsid w:val="00343212"/>
    <w:rsid w:val="003433DB"/>
    <w:rsid w:val="003434E5"/>
    <w:rsid w:val="003439BD"/>
    <w:rsid w:val="0034427B"/>
    <w:rsid w:val="003454B5"/>
    <w:rsid w:val="00345573"/>
    <w:rsid w:val="00345ECA"/>
    <w:rsid w:val="003461CF"/>
    <w:rsid w:val="003464E7"/>
    <w:rsid w:val="00346F99"/>
    <w:rsid w:val="00347174"/>
    <w:rsid w:val="00347191"/>
    <w:rsid w:val="00347D25"/>
    <w:rsid w:val="00347F94"/>
    <w:rsid w:val="0035024D"/>
    <w:rsid w:val="00350719"/>
    <w:rsid w:val="00350881"/>
    <w:rsid w:val="003516DA"/>
    <w:rsid w:val="003521E5"/>
    <w:rsid w:val="00352337"/>
    <w:rsid w:val="0035239E"/>
    <w:rsid w:val="00353AE0"/>
    <w:rsid w:val="00353B07"/>
    <w:rsid w:val="00353E82"/>
    <w:rsid w:val="0035405B"/>
    <w:rsid w:val="0035407D"/>
    <w:rsid w:val="003543B4"/>
    <w:rsid w:val="00354406"/>
    <w:rsid w:val="0035462A"/>
    <w:rsid w:val="00354E2A"/>
    <w:rsid w:val="00355C55"/>
    <w:rsid w:val="00355DA2"/>
    <w:rsid w:val="00355E9D"/>
    <w:rsid w:val="003560D8"/>
    <w:rsid w:val="003562A3"/>
    <w:rsid w:val="0035667E"/>
    <w:rsid w:val="00356947"/>
    <w:rsid w:val="00356D6A"/>
    <w:rsid w:val="00356ED1"/>
    <w:rsid w:val="00357B64"/>
    <w:rsid w:val="00357C57"/>
    <w:rsid w:val="00357E74"/>
    <w:rsid w:val="0036004D"/>
    <w:rsid w:val="00360327"/>
    <w:rsid w:val="00360A8B"/>
    <w:rsid w:val="00361072"/>
    <w:rsid w:val="00361D14"/>
    <w:rsid w:val="00361D47"/>
    <w:rsid w:val="00362702"/>
    <w:rsid w:val="00363213"/>
    <w:rsid w:val="0036370F"/>
    <w:rsid w:val="00363FEC"/>
    <w:rsid w:val="00364E5D"/>
    <w:rsid w:val="00365427"/>
    <w:rsid w:val="00365781"/>
    <w:rsid w:val="00365B42"/>
    <w:rsid w:val="00365CE4"/>
    <w:rsid w:val="00365D72"/>
    <w:rsid w:val="0036627B"/>
    <w:rsid w:val="0036631D"/>
    <w:rsid w:val="003663A5"/>
    <w:rsid w:val="003667AB"/>
    <w:rsid w:val="0037018B"/>
    <w:rsid w:val="00370243"/>
    <w:rsid w:val="003705F4"/>
    <w:rsid w:val="003706F4"/>
    <w:rsid w:val="0037092A"/>
    <w:rsid w:val="0037096A"/>
    <w:rsid w:val="00370B16"/>
    <w:rsid w:val="00370FB2"/>
    <w:rsid w:val="00371357"/>
    <w:rsid w:val="00371444"/>
    <w:rsid w:val="00372347"/>
    <w:rsid w:val="0037250C"/>
    <w:rsid w:val="00372DF0"/>
    <w:rsid w:val="00373484"/>
    <w:rsid w:val="00374ABD"/>
    <w:rsid w:val="00375312"/>
    <w:rsid w:val="00375615"/>
    <w:rsid w:val="00375631"/>
    <w:rsid w:val="00375A2E"/>
    <w:rsid w:val="00375AEC"/>
    <w:rsid w:val="00375BCC"/>
    <w:rsid w:val="00375CEF"/>
    <w:rsid w:val="003764F0"/>
    <w:rsid w:val="00376528"/>
    <w:rsid w:val="00376601"/>
    <w:rsid w:val="0037670E"/>
    <w:rsid w:val="00376D0D"/>
    <w:rsid w:val="00377400"/>
    <w:rsid w:val="0037762D"/>
    <w:rsid w:val="0037C38D"/>
    <w:rsid w:val="003802FE"/>
    <w:rsid w:val="003803D3"/>
    <w:rsid w:val="003804DA"/>
    <w:rsid w:val="0038075B"/>
    <w:rsid w:val="00380A1E"/>
    <w:rsid w:val="00380A49"/>
    <w:rsid w:val="00380B21"/>
    <w:rsid w:val="00380C62"/>
    <w:rsid w:val="00380E20"/>
    <w:rsid w:val="00380F72"/>
    <w:rsid w:val="003813EE"/>
    <w:rsid w:val="0038194E"/>
    <w:rsid w:val="00381A2E"/>
    <w:rsid w:val="00381DF6"/>
    <w:rsid w:val="0038214C"/>
    <w:rsid w:val="00382CEA"/>
    <w:rsid w:val="00383982"/>
    <w:rsid w:val="00383A89"/>
    <w:rsid w:val="00383F1E"/>
    <w:rsid w:val="003840C3"/>
    <w:rsid w:val="00384176"/>
    <w:rsid w:val="00385BA3"/>
    <w:rsid w:val="00385BE6"/>
    <w:rsid w:val="00385D8C"/>
    <w:rsid w:val="00386020"/>
    <w:rsid w:val="003865CC"/>
    <w:rsid w:val="00386EF4"/>
    <w:rsid w:val="00387121"/>
    <w:rsid w:val="003872A3"/>
    <w:rsid w:val="0039119F"/>
    <w:rsid w:val="003927EE"/>
    <w:rsid w:val="00393210"/>
    <w:rsid w:val="00393952"/>
    <w:rsid w:val="00393992"/>
    <w:rsid w:val="0039463B"/>
    <w:rsid w:val="00394E34"/>
    <w:rsid w:val="0039541A"/>
    <w:rsid w:val="0039554C"/>
    <w:rsid w:val="00395838"/>
    <w:rsid w:val="003958F7"/>
    <w:rsid w:val="003959F3"/>
    <w:rsid w:val="00395CEA"/>
    <w:rsid w:val="00396935"/>
    <w:rsid w:val="00397AAB"/>
    <w:rsid w:val="003A0807"/>
    <w:rsid w:val="003A084A"/>
    <w:rsid w:val="003A09AF"/>
    <w:rsid w:val="003A140F"/>
    <w:rsid w:val="003A2763"/>
    <w:rsid w:val="003A3108"/>
    <w:rsid w:val="003A3220"/>
    <w:rsid w:val="003A4B66"/>
    <w:rsid w:val="003A52C7"/>
    <w:rsid w:val="003A52FA"/>
    <w:rsid w:val="003A568C"/>
    <w:rsid w:val="003A583E"/>
    <w:rsid w:val="003A596F"/>
    <w:rsid w:val="003A6110"/>
    <w:rsid w:val="003A658D"/>
    <w:rsid w:val="003A6C64"/>
    <w:rsid w:val="003A6E40"/>
    <w:rsid w:val="003A7C1F"/>
    <w:rsid w:val="003A7D2D"/>
    <w:rsid w:val="003B0377"/>
    <w:rsid w:val="003B0848"/>
    <w:rsid w:val="003B0E45"/>
    <w:rsid w:val="003B1772"/>
    <w:rsid w:val="003B17AC"/>
    <w:rsid w:val="003B1C23"/>
    <w:rsid w:val="003B1CB7"/>
    <w:rsid w:val="003B2429"/>
    <w:rsid w:val="003B278B"/>
    <w:rsid w:val="003B2FE4"/>
    <w:rsid w:val="003B4688"/>
    <w:rsid w:val="003B47E9"/>
    <w:rsid w:val="003B4C83"/>
    <w:rsid w:val="003B52FA"/>
    <w:rsid w:val="003B54BC"/>
    <w:rsid w:val="003B5ED3"/>
    <w:rsid w:val="003B6346"/>
    <w:rsid w:val="003B6A46"/>
    <w:rsid w:val="003B6ADB"/>
    <w:rsid w:val="003B70DD"/>
    <w:rsid w:val="003B7803"/>
    <w:rsid w:val="003C02D3"/>
    <w:rsid w:val="003C0C14"/>
    <w:rsid w:val="003C0FB6"/>
    <w:rsid w:val="003C131A"/>
    <w:rsid w:val="003C17B4"/>
    <w:rsid w:val="003C184D"/>
    <w:rsid w:val="003C1C53"/>
    <w:rsid w:val="003C28A6"/>
    <w:rsid w:val="003C3243"/>
    <w:rsid w:val="003C34CC"/>
    <w:rsid w:val="003C392C"/>
    <w:rsid w:val="003C3B77"/>
    <w:rsid w:val="003C45BC"/>
    <w:rsid w:val="003C4AC0"/>
    <w:rsid w:val="003C4F3C"/>
    <w:rsid w:val="003C52D6"/>
    <w:rsid w:val="003C5B18"/>
    <w:rsid w:val="003C5B45"/>
    <w:rsid w:val="003C5CE1"/>
    <w:rsid w:val="003C6836"/>
    <w:rsid w:val="003C6D87"/>
    <w:rsid w:val="003C754A"/>
    <w:rsid w:val="003C778C"/>
    <w:rsid w:val="003C7A09"/>
    <w:rsid w:val="003C7B35"/>
    <w:rsid w:val="003C7F05"/>
    <w:rsid w:val="003C7F0B"/>
    <w:rsid w:val="003C7F5E"/>
    <w:rsid w:val="003D05B2"/>
    <w:rsid w:val="003D0D91"/>
    <w:rsid w:val="003D1269"/>
    <w:rsid w:val="003D16B1"/>
    <w:rsid w:val="003D16B3"/>
    <w:rsid w:val="003D2704"/>
    <w:rsid w:val="003D2B66"/>
    <w:rsid w:val="003D2C86"/>
    <w:rsid w:val="003D3C86"/>
    <w:rsid w:val="003D3C90"/>
    <w:rsid w:val="003D4229"/>
    <w:rsid w:val="003D4238"/>
    <w:rsid w:val="003D48B2"/>
    <w:rsid w:val="003D5034"/>
    <w:rsid w:val="003D530E"/>
    <w:rsid w:val="003D5976"/>
    <w:rsid w:val="003D5A53"/>
    <w:rsid w:val="003D5C90"/>
    <w:rsid w:val="003D695C"/>
    <w:rsid w:val="003D6D26"/>
    <w:rsid w:val="003D740A"/>
    <w:rsid w:val="003E0082"/>
    <w:rsid w:val="003E023F"/>
    <w:rsid w:val="003E029D"/>
    <w:rsid w:val="003E06BA"/>
    <w:rsid w:val="003E06ED"/>
    <w:rsid w:val="003E07F0"/>
    <w:rsid w:val="003E13DF"/>
    <w:rsid w:val="003E156D"/>
    <w:rsid w:val="003E1986"/>
    <w:rsid w:val="003E1E75"/>
    <w:rsid w:val="003E265C"/>
    <w:rsid w:val="003E2800"/>
    <w:rsid w:val="003E2B80"/>
    <w:rsid w:val="003E2DE8"/>
    <w:rsid w:val="003E3239"/>
    <w:rsid w:val="003E3355"/>
    <w:rsid w:val="003E3B0F"/>
    <w:rsid w:val="003E3DEB"/>
    <w:rsid w:val="003E4647"/>
    <w:rsid w:val="003E497F"/>
    <w:rsid w:val="003E575E"/>
    <w:rsid w:val="003E5F4B"/>
    <w:rsid w:val="003E5F99"/>
    <w:rsid w:val="003E649D"/>
    <w:rsid w:val="003E64DB"/>
    <w:rsid w:val="003E66D2"/>
    <w:rsid w:val="003E73B7"/>
    <w:rsid w:val="003E778A"/>
    <w:rsid w:val="003E7B05"/>
    <w:rsid w:val="003F02F2"/>
    <w:rsid w:val="003F0538"/>
    <w:rsid w:val="003F08FB"/>
    <w:rsid w:val="003F0F37"/>
    <w:rsid w:val="003F1176"/>
    <w:rsid w:val="003F1F55"/>
    <w:rsid w:val="003F23F8"/>
    <w:rsid w:val="003F2486"/>
    <w:rsid w:val="003F2B6B"/>
    <w:rsid w:val="003F3330"/>
    <w:rsid w:val="003F33A2"/>
    <w:rsid w:val="003F3440"/>
    <w:rsid w:val="003F4982"/>
    <w:rsid w:val="003F4D2A"/>
    <w:rsid w:val="003F4E3D"/>
    <w:rsid w:val="003F5899"/>
    <w:rsid w:val="003F6144"/>
    <w:rsid w:val="003F6272"/>
    <w:rsid w:val="003F6B14"/>
    <w:rsid w:val="003F6D74"/>
    <w:rsid w:val="003F7667"/>
    <w:rsid w:val="003F79CA"/>
    <w:rsid w:val="003F7B52"/>
    <w:rsid w:val="003F7BFC"/>
    <w:rsid w:val="00400284"/>
    <w:rsid w:val="004002C9"/>
    <w:rsid w:val="004005F4"/>
    <w:rsid w:val="004009A8"/>
    <w:rsid w:val="00400B1D"/>
    <w:rsid w:val="004010F4"/>
    <w:rsid w:val="004013AA"/>
    <w:rsid w:val="00401967"/>
    <w:rsid w:val="00401B4E"/>
    <w:rsid w:val="00401D4D"/>
    <w:rsid w:val="00401DD1"/>
    <w:rsid w:val="00402864"/>
    <w:rsid w:val="00402BDA"/>
    <w:rsid w:val="00403368"/>
    <w:rsid w:val="004033BA"/>
    <w:rsid w:val="00403711"/>
    <w:rsid w:val="00403BFA"/>
    <w:rsid w:val="00403C59"/>
    <w:rsid w:val="00403CC1"/>
    <w:rsid w:val="00404072"/>
    <w:rsid w:val="004045A9"/>
    <w:rsid w:val="004064E5"/>
    <w:rsid w:val="00406DA6"/>
    <w:rsid w:val="00406FFE"/>
    <w:rsid w:val="00407450"/>
    <w:rsid w:val="004101BA"/>
    <w:rsid w:val="004102BE"/>
    <w:rsid w:val="004103BD"/>
    <w:rsid w:val="00410432"/>
    <w:rsid w:val="0041049F"/>
    <w:rsid w:val="004105B8"/>
    <w:rsid w:val="00410612"/>
    <w:rsid w:val="00410A04"/>
    <w:rsid w:val="00411465"/>
    <w:rsid w:val="00411910"/>
    <w:rsid w:val="00411A71"/>
    <w:rsid w:val="0041233A"/>
    <w:rsid w:val="00412D7D"/>
    <w:rsid w:val="00412DF9"/>
    <w:rsid w:val="0041301B"/>
    <w:rsid w:val="00413399"/>
    <w:rsid w:val="00413875"/>
    <w:rsid w:val="00413CD0"/>
    <w:rsid w:val="00413D34"/>
    <w:rsid w:val="00413E47"/>
    <w:rsid w:val="00414739"/>
    <w:rsid w:val="00414ABF"/>
    <w:rsid w:val="00414E0D"/>
    <w:rsid w:val="004158BC"/>
    <w:rsid w:val="00416A89"/>
    <w:rsid w:val="00416CFF"/>
    <w:rsid w:val="0041739F"/>
    <w:rsid w:val="00417BE5"/>
    <w:rsid w:val="00417DC4"/>
    <w:rsid w:val="00417E7A"/>
    <w:rsid w:val="004207BD"/>
    <w:rsid w:val="00420816"/>
    <w:rsid w:val="00420B8C"/>
    <w:rsid w:val="0042162C"/>
    <w:rsid w:val="004217A1"/>
    <w:rsid w:val="00421EA2"/>
    <w:rsid w:val="00422099"/>
    <w:rsid w:val="004220C2"/>
    <w:rsid w:val="004224E2"/>
    <w:rsid w:val="00422922"/>
    <w:rsid w:val="00422989"/>
    <w:rsid w:val="00422B0B"/>
    <w:rsid w:val="00422FA1"/>
    <w:rsid w:val="0042304A"/>
    <w:rsid w:val="00423AAA"/>
    <w:rsid w:val="004249CB"/>
    <w:rsid w:val="00424E18"/>
    <w:rsid w:val="00424ED3"/>
    <w:rsid w:val="00424FDC"/>
    <w:rsid w:val="00426173"/>
    <w:rsid w:val="0042681E"/>
    <w:rsid w:val="0042783E"/>
    <w:rsid w:val="004279C8"/>
    <w:rsid w:val="00427F0F"/>
    <w:rsid w:val="0043075B"/>
    <w:rsid w:val="0043089E"/>
    <w:rsid w:val="0043104E"/>
    <w:rsid w:val="0043149B"/>
    <w:rsid w:val="00431516"/>
    <w:rsid w:val="004315FB"/>
    <w:rsid w:val="00431C98"/>
    <w:rsid w:val="0043303F"/>
    <w:rsid w:val="00433097"/>
    <w:rsid w:val="00433378"/>
    <w:rsid w:val="00433573"/>
    <w:rsid w:val="00433C5F"/>
    <w:rsid w:val="0043413D"/>
    <w:rsid w:val="0043438A"/>
    <w:rsid w:val="00436313"/>
    <w:rsid w:val="0043762A"/>
    <w:rsid w:val="00437998"/>
    <w:rsid w:val="00437A39"/>
    <w:rsid w:val="00437CF9"/>
    <w:rsid w:val="0044054B"/>
    <w:rsid w:val="0044069D"/>
    <w:rsid w:val="004408D6"/>
    <w:rsid w:val="004408FD"/>
    <w:rsid w:val="00441077"/>
    <w:rsid w:val="00441E40"/>
    <w:rsid w:val="00441EC8"/>
    <w:rsid w:val="00442115"/>
    <w:rsid w:val="004425E4"/>
    <w:rsid w:val="004425F5"/>
    <w:rsid w:val="00442776"/>
    <w:rsid w:val="00442C8C"/>
    <w:rsid w:val="004433B9"/>
    <w:rsid w:val="00443DC2"/>
    <w:rsid w:val="0044410A"/>
    <w:rsid w:val="00444E00"/>
    <w:rsid w:val="004459E5"/>
    <w:rsid w:val="00445E27"/>
    <w:rsid w:val="004468F0"/>
    <w:rsid w:val="00446BB9"/>
    <w:rsid w:val="00446CD5"/>
    <w:rsid w:val="00446CF9"/>
    <w:rsid w:val="00446D92"/>
    <w:rsid w:val="00447269"/>
    <w:rsid w:val="00447642"/>
    <w:rsid w:val="00447CE1"/>
    <w:rsid w:val="00450269"/>
    <w:rsid w:val="004510AF"/>
    <w:rsid w:val="00451119"/>
    <w:rsid w:val="00451242"/>
    <w:rsid w:val="004515DD"/>
    <w:rsid w:val="00451795"/>
    <w:rsid w:val="00451DD3"/>
    <w:rsid w:val="00452B7D"/>
    <w:rsid w:val="00452FDE"/>
    <w:rsid w:val="00453988"/>
    <w:rsid w:val="00453D0D"/>
    <w:rsid w:val="00453DED"/>
    <w:rsid w:val="004541E4"/>
    <w:rsid w:val="0045434D"/>
    <w:rsid w:val="00454407"/>
    <w:rsid w:val="0045442B"/>
    <w:rsid w:val="00454D55"/>
    <w:rsid w:val="00454D66"/>
    <w:rsid w:val="00454DA9"/>
    <w:rsid w:val="00454DF1"/>
    <w:rsid w:val="004555C1"/>
    <w:rsid w:val="004560DB"/>
    <w:rsid w:val="004561CD"/>
    <w:rsid w:val="00456AED"/>
    <w:rsid w:val="004572D4"/>
    <w:rsid w:val="00457356"/>
    <w:rsid w:val="00457AF9"/>
    <w:rsid w:val="00457F6B"/>
    <w:rsid w:val="00460393"/>
    <w:rsid w:val="004603D9"/>
    <w:rsid w:val="0046056A"/>
    <w:rsid w:val="00460AE3"/>
    <w:rsid w:val="00460C34"/>
    <w:rsid w:val="00460CEA"/>
    <w:rsid w:val="0046117E"/>
    <w:rsid w:val="00461EC3"/>
    <w:rsid w:val="004625C4"/>
    <w:rsid w:val="00462DA1"/>
    <w:rsid w:val="00463D0A"/>
    <w:rsid w:val="00463D3C"/>
    <w:rsid w:val="00464C4F"/>
    <w:rsid w:val="004652E6"/>
    <w:rsid w:val="00465418"/>
    <w:rsid w:val="00465448"/>
    <w:rsid w:val="00465815"/>
    <w:rsid w:val="00466017"/>
    <w:rsid w:val="00466339"/>
    <w:rsid w:val="00466527"/>
    <w:rsid w:val="00466A58"/>
    <w:rsid w:val="00466C43"/>
    <w:rsid w:val="00466DF2"/>
    <w:rsid w:val="00467029"/>
    <w:rsid w:val="0046702D"/>
    <w:rsid w:val="004673D9"/>
    <w:rsid w:val="00470076"/>
    <w:rsid w:val="0047071D"/>
    <w:rsid w:val="004709D9"/>
    <w:rsid w:val="00470BF0"/>
    <w:rsid w:val="00471215"/>
    <w:rsid w:val="00471875"/>
    <w:rsid w:val="00471A87"/>
    <w:rsid w:val="00471D58"/>
    <w:rsid w:val="00471FB5"/>
    <w:rsid w:val="0047213D"/>
    <w:rsid w:val="004724AF"/>
    <w:rsid w:val="00472C63"/>
    <w:rsid w:val="0047336D"/>
    <w:rsid w:val="00473711"/>
    <w:rsid w:val="0047487F"/>
    <w:rsid w:val="00475A4A"/>
    <w:rsid w:val="00475D6C"/>
    <w:rsid w:val="00476352"/>
    <w:rsid w:val="0047666D"/>
    <w:rsid w:val="00477C35"/>
    <w:rsid w:val="004805E5"/>
    <w:rsid w:val="004809E1"/>
    <w:rsid w:val="00480AFE"/>
    <w:rsid w:val="0048121F"/>
    <w:rsid w:val="00481273"/>
    <w:rsid w:val="004817C4"/>
    <w:rsid w:val="004818D1"/>
    <w:rsid w:val="00482844"/>
    <w:rsid w:val="00482B09"/>
    <w:rsid w:val="00482E9B"/>
    <w:rsid w:val="00483426"/>
    <w:rsid w:val="00483637"/>
    <w:rsid w:val="004838C9"/>
    <w:rsid w:val="00483973"/>
    <w:rsid w:val="00483D17"/>
    <w:rsid w:val="00483F49"/>
    <w:rsid w:val="0048411A"/>
    <w:rsid w:val="004845F6"/>
    <w:rsid w:val="004848A9"/>
    <w:rsid w:val="0048494A"/>
    <w:rsid w:val="00485092"/>
    <w:rsid w:val="0048521F"/>
    <w:rsid w:val="00485B81"/>
    <w:rsid w:val="00485D37"/>
    <w:rsid w:val="00485D7D"/>
    <w:rsid w:val="004860F4"/>
    <w:rsid w:val="0048645D"/>
    <w:rsid w:val="00487F0E"/>
    <w:rsid w:val="00491035"/>
    <w:rsid w:val="0049187A"/>
    <w:rsid w:val="00492080"/>
    <w:rsid w:val="00492930"/>
    <w:rsid w:val="00492E83"/>
    <w:rsid w:val="00492FCC"/>
    <w:rsid w:val="00493750"/>
    <w:rsid w:val="00493A69"/>
    <w:rsid w:val="00493C44"/>
    <w:rsid w:val="004945EE"/>
    <w:rsid w:val="00495001"/>
    <w:rsid w:val="00495BCE"/>
    <w:rsid w:val="00495E10"/>
    <w:rsid w:val="0049665D"/>
    <w:rsid w:val="004966FE"/>
    <w:rsid w:val="00496B0E"/>
    <w:rsid w:val="004973EE"/>
    <w:rsid w:val="0049758B"/>
    <w:rsid w:val="004978CD"/>
    <w:rsid w:val="00497941"/>
    <w:rsid w:val="00497A54"/>
    <w:rsid w:val="004A01DB"/>
    <w:rsid w:val="004A092F"/>
    <w:rsid w:val="004A0A67"/>
    <w:rsid w:val="004A0B2C"/>
    <w:rsid w:val="004A1119"/>
    <w:rsid w:val="004A1597"/>
    <w:rsid w:val="004A1A21"/>
    <w:rsid w:val="004A1FFB"/>
    <w:rsid w:val="004A2050"/>
    <w:rsid w:val="004A2E3B"/>
    <w:rsid w:val="004A3346"/>
    <w:rsid w:val="004A3BDA"/>
    <w:rsid w:val="004A433F"/>
    <w:rsid w:val="004A4992"/>
    <w:rsid w:val="004A4B4A"/>
    <w:rsid w:val="004A4EA3"/>
    <w:rsid w:val="004A510D"/>
    <w:rsid w:val="004A5F69"/>
    <w:rsid w:val="004A73C3"/>
    <w:rsid w:val="004A7F85"/>
    <w:rsid w:val="004B0268"/>
    <w:rsid w:val="004B0935"/>
    <w:rsid w:val="004B0BD6"/>
    <w:rsid w:val="004B0C83"/>
    <w:rsid w:val="004B222C"/>
    <w:rsid w:val="004B265E"/>
    <w:rsid w:val="004B3C1D"/>
    <w:rsid w:val="004B3D7A"/>
    <w:rsid w:val="004B456A"/>
    <w:rsid w:val="004B4A4E"/>
    <w:rsid w:val="004B4D18"/>
    <w:rsid w:val="004B4EAB"/>
    <w:rsid w:val="004B5746"/>
    <w:rsid w:val="004B5E45"/>
    <w:rsid w:val="004B6016"/>
    <w:rsid w:val="004B62CD"/>
    <w:rsid w:val="004B6638"/>
    <w:rsid w:val="004B679C"/>
    <w:rsid w:val="004B6C7D"/>
    <w:rsid w:val="004B706A"/>
    <w:rsid w:val="004C0335"/>
    <w:rsid w:val="004C0FA1"/>
    <w:rsid w:val="004C14E1"/>
    <w:rsid w:val="004C1BCC"/>
    <w:rsid w:val="004C2BAC"/>
    <w:rsid w:val="004C30FB"/>
    <w:rsid w:val="004C384A"/>
    <w:rsid w:val="004C423F"/>
    <w:rsid w:val="004C44AD"/>
    <w:rsid w:val="004C46C2"/>
    <w:rsid w:val="004C471C"/>
    <w:rsid w:val="004C51BB"/>
    <w:rsid w:val="004C55DC"/>
    <w:rsid w:val="004C562C"/>
    <w:rsid w:val="004C6235"/>
    <w:rsid w:val="004C65E3"/>
    <w:rsid w:val="004C66C4"/>
    <w:rsid w:val="004C6826"/>
    <w:rsid w:val="004C6A5B"/>
    <w:rsid w:val="004C6AF7"/>
    <w:rsid w:val="004C6FEF"/>
    <w:rsid w:val="004C7089"/>
    <w:rsid w:val="004C74F4"/>
    <w:rsid w:val="004C7C54"/>
    <w:rsid w:val="004C7F1F"/>
    <w:rsid w:val="004C7FA3"/>
    <w:rsid w:val="004D0546"/>
    <w:rsid w:val="004D162B"/>
    <w:rsid w:val="004D1638"/>
    <w:rsid w:val="004D1766"/>
    <w:rsid w:val="004D1B76"/>
    <w:rsid w:val="004D26CB"/>
    <w:rsid w:val="004D2A1E"/>
    <w:rsid w:val="004D2F53"/>
    <w:rsid w:val="004D30EB"/>
    <w:rsid w:val="004D382D"/>
    <w:rsid w:val="004D4CF9"/>
    <w:rsid w:val="004D4FCE"/>
    <w:rsid w:val="004D575E"/>
    <w:rsid w:val="004D608E"/>
    <w:rsid w:val="004D63BD"/>
    <w:rsid w:val="004D666C"/>
    <w:rsid w:val="004D6964"/>
    <w:rsid w:val="004D6A13"/>
    <w:rsid w:val="004D7475"/>
    <w:rsid w:val="004D77F0"/>
    <w:rsid w:val="004E00F4"/>
    <w:rsid w:val="004E0401"/>
    <w:rsid w:val="004E05A0"/>
    <w:rsid w:val="004E0ADE"/>
    <w:rsid w:val="004E0B11"/>
    <w:rsid w:val="004E0C3A"/>
    <w:rsid w:val="004E14E6"/>
    <w:rsid w:val="004E195C"/>
    <w:rsid w:val="004E2265"/>
    <w:rsid w:val="004E2609"/>
    <w:rsid w:val="004E286E"/>
    <w:rsid w:val="004E2A50"/>
    <w:rsid w:val="004E3FEC"/>
    <w:rsid w:val="004E44C7"/>
    <w:rsid w:val="004E49C9"/>
    <w:rsid w:val="004E4B2B"/>
    <w:rsid w:val="004E5303"/>
    <w:rsid w:val="004E537B"/>
    <w:rsid w:val="004E57EB"/>
    <w:rsid w:val="004E5A9C"/>
    <w:rsid w:val="004E5BDF"/>
    <w:rsid w:val="004E5F9B"/>
    <w:rsid w:val="004E6641"/>
    <w:rsid w:val="004E6821"/>
    <w:rsid w:val="004E7074"/>
    <w:rsid w:val="004E7119"/>
    <w:rsid w:val="004E7710"/>
    <w:rsid w:val="004E7C08"/>
    <w:rsid w:val="004F0DC7"/>
    <w:rsid w:val="004F0E13"/>
    <w:rsid w:val="004F1D35"/>
    <w:rsid w:val="004F2356"/>
    <w:rsid w:val="004F3798"/>
    <w:rsid w:val="004F3D28"/>
    <w:rsid w:val="004F41B6"/>
    <w:rsid w:val="004F41D1"/>
    <w:rsid w:val="004F4321"/>
    <w:rsid w:val="004F4F9E"/>
    <w:rsid w:val="004F5A00"/>
    <w:rsid w:val="004F6725"/>
    <w:rsid w:val="004F67F3"/>
    <w:rsid w:val="004F7030"/>
    <w:rsid w:val="004F724E"/>
    <w:rsid w:val="004F7446"/>
    <w:rsid w:val="004F7B14"/>
    <w:rsid w:val="00500CBD"/>
    <w:rsid w:val="00500F36"/>
    <w:rsid w:val="00501584"/>
    <w:rsid w:val="005019AB"/>
    <w:rsid w:val="00501AAF"/>
    <w:rsid w:val="00501EF7"/>
    <w:rsid w:val="005020D6"/>
    <w:rsid w:val="0050306B"/>
    <w:rsid w:val="00503746"/>
    <w:rsid w:val="005038C2"/>
    <w:rsid w:val="00503F9B"/>
    <w:rsid w:val="005045DD"/>
    <w:rsid w:val="0050498D"/>
    <w:rsid w:val="005049EF"/>
    <w:rsid w:val="00505A7D"/>
    <w:rsid w:val="00505B59"/>
    <w:rsid w:val="00506518"/>
    <w:rsid w:val="005067B5"/>
    <w:rsid w:val="00506F54"/>
    <w:rsid w:val="005073C3"/>
    <w:rsid w:val="00507B80"/>
    <w:rsid w:val="00510847"/>
    <w:rsid w:val="00511497"/>
    <w:rsid w:val="00511690"/>
    <w:rsid w:val="00511A35"/>
    <w:rsid w:val="00511E97"/>
    <w:rsid w:val="005126F8"/>
    <w:rsid w:val="00512889"/>
    <w:rsid w:val="00512A10"/>
    <w:rsid w:val="00512B6E"/>
    <w:rsid w:val="00513302"/>
    <w:rsid w:val="00513690"/>
    <w:rsid w:val="005136DF"/>
    <w:rsid w:val="00513BF7"/>
    <w:rsid w:val="00513E1F"/>
    <w:rsid w:val="00513F0F"/>
    <w:rsid w:val="00514454"/>
    <w:rsid w:val="0051569F"/>
    <w:rsid w:val="00515B83"/>
    <w:rsid w:val="00515C30"/>
    <w:rsid w:val="005178F6"/>
    <w:rsid w:val="005203D6"/>
    <w:rsid w:val="00520AB3"/>
    <w:rsid w:val="00520EB5"/>
    <w:rsid w:val="00521409"/>
    <w:rsid w:val="00521678"/>
    <w:rsid w:val="005219AE"/>
    <w:rsid w:val="005222F2"/>
    <w:rsid w:val="005229AF"/>
    <w:rsid w:val="00522F19"/>
    <w:rsid w:val="00522FB5"/>
    <w:rsid w:val="0052306C"/>
    <w:rsid w:val="005237B5"/>
    <w:rsid w:val="00523FAE"/>
    <w:rsid w:val="0052406E"/>
    <w:rsid w:val="00524956"/>
    <w:rsid w:val="00524CFD"/>
    <w:rsid w:val="00524F17"/>
    <w:rsid w:val="00525214"/>
    <w:rsid w:val="00525CB1"/>
    <w:rsid w:val="00525DA2"/>
    <w:rsid w:val="00526170"/>
    <w:rsid w:val="00526DC4"/>
    <w:rsid w:val="00526E51"/>
    <w:rsid w:val="0052722B"/>
    <w:rsid w:val="00527360"/>
    <w:rsid w:val="00527446"/>
    <w:rsid w:val="0053043F"/>
    <w:rsid w:val="00530F35"/>
    <w:rsid w:val="00531093"/>
    <w:rsid w:val="005315E3"/>
    <w:rsid w:val="005317EC"/>
    <w:rsid w:val="005318C4"/>
    <w:rsid w:val="00531C54"/>
    <w:rsid w:val="00532ECE"/>
    <w:rsid w:val="00532F88"/>
    <w:rsid w:val="00533044"/>
    <w:rsid w:val="00533228"/>
    <w:rsid w:val="00533C71"/>
    <w:rsid w:val="005346CB"/>
    <w:rsid w:val="005347E9"/>
    <w:rsid w:val="00534D69"/>
    <w:rsid w:val="00535395"/>
    <w:rsid w:val="00535413"/>
    <w:rsid w:val="0053568E"/>
    <w:rsid w:val="005362E9"/>
    <w:rsid w:val="00536365"/>
    <w:rsid w:val="005364BD"/>
    <w:rsid w:val="00537BAB"/>
    <w:rsid w:val="00541F21"/>
    <w:rsid w:val="0054202C"/>
    <w:rsid w:val="00542CB8"/>
    <w:rsid w:val="00543145"/>
    <w:rsid w:val="0054390C"/>
    <w:rsid w:val="0054395D"/>
    <w:rsid w:val="005439EC"/>
    <w:rsid w:val="00543FC8"/>
    <w:rsid w:val="0054403B"/>
    <w:rsid w:val="0054408C"/>
    <w:rsid w:val="00544447"/>
    <w:rsid w:val="00544AE9"/>
    <w:rsid w:val="00544EFA"/>
    <w:rsid w:val="00545504"/>
    <w:rsid w:val="00545755"/>
    <w:rsid w:val="005458EE"/>
    <w:rsid w:val="00545919"/>
    <w:rsid w:val="005467B6"/>
    <w:rsid w:val="005467C7"/>
    <w:rsid w:val="00547E51"/>
    <w:rsid w:val="0055010F"/>
    <w:rsid w:val="005505A3"/>
    <w:rsid w:val="005507ED"/>
    <w:rsid w:val="00550F0C"/>
    <w:rsid w:val="0055176D"/>
    <w:rsid w:val="0055185B"/>
    <w:rsid w:val="00552108"/>
    <w:rsid w:val="00552509"/>
    <w:rsid w:val="0055306F"/>
    <w:rsid w:val="00553091"/>
    <w:rsid w:val="00553272"/>
    <w:rsid w:val="005533C7"/>
    <w:rsid w:val="00553580"/>
    <w:rsid w:val="0055385C"/>
    <w:rsid w:val="00554CD2"/>
    <w:rsid w:val="00554CE3"/>
    <w:rsid w:val="00554DE2"/>
    <w:rsid w:val="0055545C"/>
    <w:rsid w:val="005559EB"/>
    <w:rsid w:val="00555F74"/>
    <w:rsid w:val="005565AC"/>
    <w:rsid w:val="00556B97"/>
    <w:rsid w:val="00556DB0"/>
    <w:rsid w:val="00556FE6"/>
    <w:rsid w:val="0055781B"/>
    <w:rsid w:val="00557B4B"/>
    <w:rsid w:val="00557FFA"/>
    <w:rsid w:val="005606C9"/>
    <w:rsid w:val="00560A75"/>
    <w:rsid w:val="0056164E"/>
    <w:rsid w:val="0056177E"/>
    <w:rsid w:val="00561E70"/>
    <w:rsid w:val="00562688"/>
    <w:rsid w:val="00562D97"/>
    <w:rsid w:val="005631A7"/>
    <w:rsid w:val="0056341F"/>
    <w:rsid w:val="00563523"/>
    <w:rsid w:val="00563FC9"/>
    <w:rsid w:val="00564342"/>
    <w:rsid w:val="0056459C"/>
    <w:rsid w:val="00564688"/>
    <w:rsid w:val="00564D04"/>
    <w:rsid w:val="005650B7"/>
    <w:rsid w:val="0056521D"/>
    <w:rsid w:val="00565419"/>
    <w:rsid w:val="00565653"/>
    <w:rsid w:val="00565741"/>
    <w:rsid w:val="00565DA4"/>
    <w:rsid w:val="00566DCF"/>
    <w:rsid w:val="005673F6"/>
    <w:rsid w:val="0056777A"/>
    <w:rsid w:val="00567844"/>
    <w:rsid w:val="00567D95"/>
    <w:rsid w:val="00570069"/>
    <w:rsid w:val="00570457"/>
    <w:rsid w:val="005707DE"/>
    <w:rsid w:val="00570E7B"/>
    <w:rsid w:val="00571000"/>
    <w:rsid w:val="00572942"/>
    <w:rsid w:val="00572CD6"/>
    <w:rsid w:val="00572F48"/>
    <w:rsid w:val="0057330A"/>
    <w:rsid w:val="00573898"/>
    <w:rsid w:val="0057412D"/>
    <w:rsid w:val="00574470"/>
    <w:rsid w:val="005746DC"/>
    <w:rsid w:val="005748F2"/>
    <w:rsid w:val="00574F0B"/>
    <w:rsid w:val="00575D3C"/>
    <w:rsid w:val="005764A0"/>
    <w:rsid w:val="00576649"/>
    <w:rsid w:val="00576751"/>
    <w:rsid w:val="005769B9"/>
    <w:rsid w:val="00576C9B"/>
    <w:rsid w:val="00577156"/>
    <w:rsid w:val="005774AC"/>
    <w:rsid w:val="00577912"/>
    <w:rsid w:val="00580C8E"/>
    <w:rsid w:val="00581777"/>
    <w:rsid w:val="00581B40"/>
    <w:rsid w:val="00581FB4"/>
    <w:rsid w:val="0058313B"/>
    <w:rsid w:val="005834E0"/>
    <w:rsid w:val="00583785"/>
    <w:rsid w:val="00583908"/>
    <w:rsid w:val="00583EED"/>
    <w:rsid w:val="00584370"/>
    <w:rsid w:val="005844DF"/>
    <w:rsid w:val="0058461A"/>
    <w:rsid w:val="00584D12"/>
    <w:rsid w:val="005850CC"/>
    <w:rsid w:val="005852D2"/>
    <w:rsid w:val="0058544B"/>
    <w:rsid w:val="00586142"/>
    <w:rsid w:val="0058675C"/>
    <w:rsid w:val="00587D2B"/>
    <w:rsid w:val="00590012"/>
    <w:rsid w:val="00590977"/>
    <w:rsid w:val="00590EC9"/>
    <w:rsid w:val="00591A22"/>
    <w:rsid w:val="00592223"/>
    <w:rsid w:val="00592D5B"/>
    <w:rsid w:val="005932AF"/>
    <w:rsid w:val="005937D9"/>
    <w:rsid w:val="005939FC"/>
    <w:rsid w:val="00594199"/>
    <w:rsid w:val="00594BDF"/>
    <w:rsid w:val="00594C37"/>
    <w:rsid w:val="00594EC9"/>
    <w:rsid w:val="0059575D"/>
    <w:rsid w:val="00595EA5"/>
    <w:rsid w:val="005962D7"/>
    <w:rsid w:val="00596A4F"/>
    <w:rsid w:val="00596E5E"/>
    <w:rsid w:val="005976F9"/>
    <w:rsid w:val="00597A17"/>
    <w:rsid w:val="00597F33"/>
    <w:rsid w:val="00597FC5"/>
    <w:rsid w:val="005A087D"/>
    <w:rsid w:val="005A17F9"/>
    <w:rsid w:val="005A1809"/>
    <w:rsid w:val="005A1998"/>
    <w:rsid w:val="005A1A51"/>
    <w:rsid w:val="005A1ACE"/>
    <w:rsid w:val="005A2472"/>
    <w:rsid w:val="005A2773"/>
    <w:rsid w:val="005A286D"/>
    <w:rsid w:val="005A2E57"/>
    <w:rsid w:val="005A4567"/>
    <w:rsid w:val="005A46F4"/>
    <w:rsid w:val="005A4A2D"/>
    <w:rsid w:val="005A5035"/>
    <w:rsid w:val="005A53E0"/>
    <w:rsid w:val="005A5A64"/>
    <w:rsid w:val="005A5B87"/>
    <w:rsid w:val="005A617F"/>
    <w:rsid w:val="005A645D"/>
    <w:rsid w:val="005A6B5C"/>
    <w:rsid w:val="005A7A03"/>
    <w:rsid w:val="005B02A3"/>
    <w:rsid w:val="005B1655"/>
    <w:rsid w:val="005B17D2"/>
    <w:rsid w:val="005B1F47"/>
    <w:rsid w:val="005B1FEF"/>
    <w:rsid w:val="005B2269"/>
    <w:rsid w:val="005B300F"/>
    <w:rsid w:val="005B3866"/>
    <w:rsid w:val="005B3901"/>
    <w:rsid w:val="005B46C1"/>
    <w:rsid w:val="005B48A7"/>
    <w:rsid w:val="005B57E8"/>
    <w:rsid w:val="005B5852"/>
    <w:rsid w:val="005B58C0"/>
    <w:rsid w:val="005B65EF"/>
    <w:rsid w:val="005B67B5"/>
    <w:rsid w:val="005B69E3"/>
    <w:rsid w:val="005B773C"/>
    <w:rsid w:val="005B7B9C"/>
    <w:rsid w:val="005C0284"/>
    <w:rsid w:val="005C034E"/>
    <w:rsid w:val="005C0856"/>
    <w:rsid w:val="005C09FA"/>
    <w:rsid w:val="005C0B02"/>
    <w:rsid w:val="005C0CE8"/>
    <w:rsid w:val="005C0E8C"/>
    <w:rsid w:val="005C0F87"/>
    <w:rsid w:val="005C12DA"/>
    <w:rsid w:val="005C1527"/>
    <w:rsid w:val="005C165E"/>
    <w:rsid w:val="005C17F4"/>
    <w:rsid w:val="005C1C66"/>
    <w:rsid w:val="005C1DD7"/>
    <w:rsid w:val="005C1FE7"/>
    <w:rsid w:val="005C2293"/>
    <w:rsid w:val="005C2333"/>
    <w:rsid w:val="005C23CC"/>
    <w:rsid w:val="005C2814"/>
    <w:rsid w:val="005C2EB0"/>
    <w:rsid w:val="005C3243"/>
    <w:rsid w:val="005C3BDC"/>
    <w:rsid w:val="005C3D4E"/>
    <w:rsid w:val="005C4156"/>
    <w:rsid w:val="005C445F"/>
    <w:rsid w:val="005C47EA"/>
    <w:rsid w:val="005C4840"/>
    <w:rsid w:val="005C5269"/>
    <w:rsid w:val="005C526B"/>
    <w:rsid w:val="005C5288"/>
    <w:rsid w:val="005C5719"/>
    <w:rsid w:val="005C5738"/>
    <w:rsid w:val="005C5988"/>
    <w:rsid w:val="005C5FA5"/>
    <w:rsid w:val="005C6053"/>
    <w:rsid w:val="005C6538"/>
    <w:rsid w:val="005C66E7"/>
    <w:rsid w:val="005C6884"/>
    <w:rsid w:val="005C6B56"/>
    <w:rsid w:val="005C7488"/>
    <w:rsid w:val="005C762E"/>
    <w:rsid w:val="005C797F"/>
    <w:rsid w:val="005D0454"/>
    <w:rsid w:val="005D06F7"/>
    <w:rsid w:val="005D166D"/>
    <w:rsid w:val="005D16E0"/>
    <w:rsid w:val="005D197A"/>
    <w:rsid w:val="005D1EE4"/>
    <w:rsid w:val="005D2180"/>
    <w:rsid w:val="005D21F0"/>
    <w:rsid w:val="005D2275"/>
    <w:rsid w:val="005D2480"/>
    <w:rsid w:val="005D2923"/>
    <w:rsid w:val="005D2D47"/>
    <w:rsid w:val="005D2D80"/>
    <w:rsid w:val="005D3793"/>
    <w:rsid w:val="005D3B3F"/>
    <w:rsid w:val="005D3D05"/>
    <w:rsid w:val="005D3D10"/>
    <w:rsid w:val="005D44CC"/>
    <w:rsid w:val="005D4A7C"/>
    <w:rsid w:val="005D51BC"/>
    <w:rsid w:val="005D53BF"/>
    <w:rsid w:val="005D5401"/>
    <w:rsid w:val="005D588D"/>
    <w:rsid w:val="005D5B45"/>
    <w:rsid w:val="005D6F76"/>
    <w:rsid w:val="005D7CFB"/>
    <w:rsid w:val="005E0AEF"/>
    <w:rsid w:val="005E0CD8"/>
    <w:rsid w:val="005E1A94"/>
    <w:rsid w:val="005E1B03"/>
    <w:rsid w:val="005E207F"/>
    <w:rsid w:val="005E2CEB"/>
    <w:rsid w:val="005E2D34"/>
    <w:rsid w:val="005E3539"/>
    <w:rsid w:val="005E393F"/>
    <w:rsid w:val="005E3D0C"/>
    <w:rsid w:val="005E3F67"/>
    <w:rsid w:val="005E4180"/>
    <w:rsid w:val="005E4C53"/>
    <w:rsid w:val="005E50B8"/>
    <w:rsid w:val="005E54BD"/>
    <w:rsid w:val="005E5AF2"/>
    <w:rsid w:val="005E6554"/>
    <w:rsid w:val="005E65EC"/>
    <w:rsid w:val="005E6BE7"/>
    <w:rsid w:val="005E6FE5"/>
    <w:rsid w:val="005E7718"/>
    <w:rsid w:val="005E7F57"/>
    <w:rsid w:val="005F06D9"/>
    <w:rsid w:val="005F0A45"/>
    <w:rsid w:val="005F13B2"/>
    <w:rsid w:val="005F146E"/>
    <w:rsid w:val="005F1A99"/>
    <w:rsid w:val="005F1DF1"/>
    <w:rsid w:val="005F230A"/>
    <w:rsid w:val="005F2C9B"/>
    <w:rsid w:val="005F2EEF"/>
    <w:rsid w:val="005F33FD"/>
    <w:rsid w:val="005F3D75"/>
    <w:rsid w:val="005F40A4"/>
    <w:rsid w:val="005F45D9"/>
    <w:rsid w:val="005F4648"/>
    <w:rsid w:val="005F4F1B"/>
    <w:rsid w:val="005F5124"/>
    <w:rsid w:val="005F5673"/>
    <w:rsid w:val="005F58A8"/>
    <w:rsid w:val="005F5DA5"/>
    <w:rsid w:val="005F6485"/>
    <w:rsid w:val="005F6BE6"/>
    <w:rsid w:val="005F6D8E"/>
    <w:rsid w:val="005F71BC"/>
    <w:rsid w:val="005F71E0"/>
    <w:rsid w:val="005F7258"/>
    <w:rsid w:val="005F73BA"/>
    <w:rsid w:val="005F741A"/>
    <w:rsid w:val="005F75A2"/>
    <w:rsid w:val="005F7C89"/>
    <w:rsid w:val="005F7E5A"/>
    <w:rsid w:val="00600462"/>
    <w:rsid w:val="006004B2"/>
    <w:rsid w:val="0060081D"/>
    <w:rsid w:val="006012A2"/>
    <w:rsid w:val="006013B2"/>
    <w:rsid w:val="006015A5"/>
    <w:rsid w:val="00601A99"/>
    <w:rsid w:val="006026F9"/>
    <w:rsid w:val="00602837"/>
    <w:rsid w:val="00603832"/>
    <w:rsid w:val="00603E44"/>
    <w:rsid w:val="00603EDE"/>
    <w:rsid w:val="00604B57"/>
    <w:rsid w:val="00604CA9"/>
    <w:rsid w:val="00604E0D"/>
    <w:rsid w:val="0060500E"/>
    <w:rsid w:val="0060543B"/>
    <w:rsid w:val="00605CB4"/>
    <w:rsid w:val="00605E46"/>
    <w:rsid w:val="0060630A"/>
    <w:rsid w:val="00606659"/>
    <w:rsid w:val="00606C29"/>
    <w:rsid w:val="0060710C"/>
    <w:rsid w:val="00607635"/>
    <w:rsid w:val="00610477"/>
    <w:rsid w:val="0061072B"/>
    <w:rsid w:val="00610742"/>
    <w:rsid w:val="0061075C"/>
    <w:rsid w:val="00610888"/>
    <w:rsid w:val="006108BC"/>
    <w:rsid w:val="0061193F"/>
    <w:rsid w:val="00611F3C"/>
    <w:rsid w:val="0061226C"/>
    <w:rsid w:val="00612BB7"/>
    <w:rsid w:val="00612F9C"/>
    <w:rsid w:val="00613BA3"/>
    <w:rsid w:val="00613FAC"/>
    <w:rsid w:val="0061451E"/>
    <w:rsid w:val="00614533"/>
    <w:rsid w:val="006146FD"/>
    <w:rsid w:val="00614B08"/>
    <w:rsid w:val="0061526C"/>
    <w:rsid w:val="006153FD"/>
    <w:rsid w:val="00615D92"/>
    <w:rsid w:val="006165E7"/>
    <w:rsid w:val="00616E94"/>
    <w:rsid w:val="00617158"/>
    <w:rsid w:val="00617438"/>
    <w:rsid w:val="00620592"/>
    <w:rsid w:val="0062064C"/>
    <w:rsid w:val="00620A46"/>
    <w:rsid w:val="00622068"/>
    <w:rsid w:val="00622339"/>
    <w:rsid w:val="0062238D"/>
    <w:rsid w:val="00623171"/>
    <w:rsid w:val="0062328A"/>
    <w:rsid w:val="006232F9"/>
    <w:rsid w:val="006243E2"/>
    <w:rsid w:val="0062459B"/>
    <w:rsid w:val="006245AB"/>
    <w:rsid w:val="006247F8"/>
    <w:rsid w:val="00625414"/>
    <w:rsid w:val="0062682E"/>
    <w:rsid w:val="00626B8E"/>
    <w:rsid w:val="00626B90"/>
    <w:rsid w:val="00626F77"/>
    <w:rsid w:val="00627243"/>
    <w:rsid w:val="006273AC"/>
    <w:rsid w:val="00627C26"/>
    <w:rsid w:val="00627CDB"/>
    <w:rsid w:val="0063037F"/>
    <w:rsid w:val="0063054F"/>
    <w:rsid w:val="0063211A"/>
    <w:rsid w:val="006321B6"/>
    <w:rsid w:val="00632808"/>
    <w:rsid w:val="006339F0"/>
    <w:rsid w:val="00633E4A"/>
    <w:rsid w:val="00633F47"/>
    <w:rsid w:val="0063407F"/>
    <w:rsid w:val="00634AAB"/>
    <w:rsid w:val="00634AFC"/>
    <w:rsid w:val="00634B7E"/>
    <w:rsid w:val="00635178"/>
    <w:rsid w:val="00635281"/>
    <w:rsid w:val="00635678"/>
    <w:rsid w:val="006356A1"/>
    <w:rsid w:val="0063582C"/>
    <w:rsid w:val="00635CD7"/>
    <w:rsid w:val="00636129"/>
    <w:rsid w:val="006365B8"/>
    <w:rsid w:val="006366DB"/>
    <w:rsid w:val="006367B6"/>
    <w:rsid w:val="00637363"/>
    <w:rsid w:val="006376F1"/>
    <w:rsid w:val="00640443"/>
    <w:rsid w:val="006407B2"/>
    <w:rsid w:val="006408C7"/>
    <w:rsid w:val="00640A66"/>
    <w:rsid w:val="00640EE9"/>
    <w:rsid w:val="00640FAC"/>
    <w:rsid w:val="0064139E"/>
    <w:rsid w:val="006433DF"/>
    <w:rsid w:val="00643749"/>
    <w:rsid w:val="006439BC"/>
    <w:rsid w:val="00644490"/>
    <w:rsid w:val="00644619"/>
    <w:rsid w:val="006447F2"/>
    <w:rsid w:val="006455FC"/>
    <w:rsid w:val="006456F3"/>
    <w:rsid w:val="00645877"/>
    <w:rsid w:val="006460D7"/>
    <w:rsid w:val="00646B7D"/>
    <w:rsid w:val="00646E6A"/>
    <w:rsid w:val="00646FF5"/>
    <w:rsid w:val="006504C9"/>
    <w:rsid w:val="006506D2"/>
    <w:rsid w:val="00650E3A"/>
    <w:rsid w:val="00650F2B"/>
    <w:rsid w:val="00651867"/>
    <w:rsid w:val="00652162"/>
    <w:rsid w:val="00652776"/>
    <w:rsid w:val="00652F7B"/>
    <w:rsid w:val="0065351D"/>
    <w:rsid w:val="00654034"/>
    <w:rsid w:val="0065412B"/>
    <w:rsid w:val="006548A5"/>
    <w:rsid w:val="00654CF0"/>
    <w:rsid w:val="00654D62"/>
    <w:rsid w:val="0065572F"/>
    <w:rsid w:val="00655994"/>
    <w:rsid w:val="00655D14"/>
    <w:rsid w:val="00657614"/>
    <w:rsid w:val="00657838"/>
    <w:rsid w:val="00657F22"/>
    <w:rsid w:val="00657FE8"/>
    <w:rsid w:val="006603D2"/>
    <w:rsid w:val="00660EB1"/>
    <w:rsid w:val="0066140A"/>
    <w:rsid w:val="00661A6D"/>
    <w:rsid w:val="0066266A"/>
    <w:rsid w:val="00662841"/>
    <w:rsid w:val="006631C0"/>
    <w:rsid w:val="0066337A"/>
    <w:rsid w:val="00663CC3"/>
    <w:rsid w:val="00663F65"/>
    <w:rsid w:val="0066404E"/>
    <w:rsid w:val="006643C5"/>
    <w:rsid w:val="0066493B"/>
    <w:rsid w:val="006649A4"/>
    <w:rsid w:val="00664A59"/>
    <w:rsid w:val="006651D7"/>
    <w:rsid w:val="00665455"/>
    <w:rsid w:val="0066650F"/>
    <w:rsid w:val="00666C19"/>
    <w:rsid w:val="00667179"/>
    <w:rsid w:val="00670014"/>
    <w:rsid w:val="00670766"/>
    <w:rsid w:val="00671189"/>
    <w:rsid w:val="00671204"/>
    <w:rsid w:val="00671743"/>
    <w:rsid w:val="006718F5"/>
    <w:rsid w:val="006719C9"/>
    <w:rsid w:val="00671B2B"/>
    <w:rsid w:val="00671DF0"/>
    <w:rsid w:val="0067207C"/>
    <w:rsid w:val="006724DF"/>
    <w:rsid w:val="006729E1"/>
    <w:rsid w:val="00672ADA"/>
    <w:rsid w:val="00673C2E"/>
    <w:rsid w:val="00673F32"/>
    <w:rsid w:val="00674287"/>
    <w:rsid w:val="00674314"/>
    <w:rsid w:val="00674B7A"/>
    <w:rsid w:val="00674C7D"/>
    <w:rsid w:val="00674FA8"/>
    <w:rsid w:val="00674FB8"/>
    <w:rsid w:val="00675017"/>
    <w:rsid w:val="00675A33"/>
    <w:rsid w:val="006768D7"/>
    <w:rsid w:val="00676B82"/>
    <w:rsid w:val="00676CDF"/>
    <w:rsid w:val="0067F829"/>
    <w:rsid w:val="00680593"/>
    <w:rsid w:val="00680829"/>
    <w:rsid w:val="006808C8"/>
    <w:rsid w:val="006808CB"/>
    <w:rsid w:val="00680A55"/>
    <w:rsid w:val="00680D52"/>
    <w:rsid w:val="0068130A"/>
    <w:rsid w:val="00681417"/>
    <w:rsid w:val="00681862"/>
    <w:rsid w:val="00681C09"/>
    <w:rsid w:val="00681D03"/>
    <w:rsid w:val="006822FA"/>
    <w:rsid w:val="00682485"/>
    <w:rsid w:val="006825D8"/>
    <w:rsid w:val="00682DA0"/>
    <w:rsid w:val="0068313B"/>
    <w:rsid w:val="006833DF"/>
    <w:rsid w:val="00683B5C"/>
    <w:rsid w:val="00683D23"/>
    <w:rsid w:val="00683EB2"/>
    <w:rsid w:val="00684388"/>
    <w:rsid w:val="00684A8F"/>
    <w:rsid w:val="006850E4"/>
    <w:rsid w:val="0068572A"/>
    <w:rsid w:val="00685819"/>
    <w:rsid w:val="00685ADB"/>
    <w:rsid w:val="006863A0"/>
    <w:rsid w:val="00686A78"/>
    <w:rsid w:val="00686BFF"/>
    <w:rsid w:val="00687102"/>
    <w:rsid w:val="006871E3"/>
    <w:rsid w:val="00687454"/>
    <w:rsid w:val="00687657"/>
    <w:rsid w:val="00687667"/>
    <w:rsid w:val="0068799B"/>
    <w:rsid w:val="00687D8F"/>
    <w:rsid w:val="00690186"/>
    <w:rsid w:val="00690EC3"/>
    <w:rsid w:val="006918FD"/>
    <w:rsid w:val="00691C40"/>
    <w:rsid w:val="00691DD9"/>
    <w:rsid w:val="0069216A"/>
    <w:rsid w:val="0069229F"/>
    <w:rsid w:val="0069238F"/>
    <w:rsid w:val="006928FA"/>
    <w:rsid w:val="00692991"/>
    <w:rsid w:val="0069353A"/>
    <w:rsid w:val="00693AD6"/>
    <w:rsid w:val="00694920"/>
    <w:rsid w:val="006955E6"/>
    <w:rsid w:val="00695C26"/>
    <w:rsid w:val="00695D5E"/>
    <w:rsid w:val="006966CD"/>
    <w:rsid w:val="006969F8"/>
    <w:rsid w:val="00696D4C"/>
    <w:rsid w:val="00696F15"/>
    <w:rsid w:val="006973AB"/>
    <w:rsid w:val="00697607"/>
    <w:rsid w:val="006A0025"/>
    <w:rsid w:val="006A02D4"/>
    <w:rsid w:val="006A0307"/>
    <w:rsid w:val="006A05F4"/>
    <w:rsid w:val="006A1737"/>
    <w:rsid w:val="006A1C64"/>
    <w:rsid w:val="006A2201"/>
    <w:rsid w:val="006A230C"/>
    <w:rsid w:val="006A236B"/>
    <w:rsid w:val="006A248D"/>
    <w:rsid w:val="006A2A50"/>
    <w:rsid w:val="006A2F7A"/>
    <w:rsid w:val="006A2FF2"/>
    <w:rsid w:val="006A30D7"/>
    <w:rsid w:val="006A45E6"/>
    <w:rsid w:val="006A4A3A"/>
    <w:rsid w:val="006A6241"/>
    <w:rsid w:val="006A63E1"/>
    <w:rsid w:val="006A6FD5"/>
    <w:rsid w:val="006A7093"/>
    <w:rsid w:val="006A7A3C"/>
    <w:rsid w:val="006A7AF4"/>
    <w:rsid w:val="006A7D30"/>
    <w:rsid w:val="006B040B"/>
    <w:rsid w:val="006B07D8"/>
    <w:rsid w:val="006B0AD7"/>
    <w:rsid w:val="006B0C7A"/>
    <w:rsid w:val="006B1087"/>
    <w:rsid w:val="006B16AA"/>
    <w:rsid w:val="006B1BA6"/>
    <w:rsid w:val="006B1D01"/>
    <w:rsid w:val="006B1F13"/>
    <w:rsid w:val="006B2C16"/>
    <w:rsid w:val="006B2EAB"/>
    <w:rsid w:val="006B2F2E"/>
    <w:rsid w:val="006B332E"/>
    <w:rsid w:val="006B3614"/>
    <w:rsid w:val="006B382B"/>
    <w:rsid w:val="006B3CA9"/>
    <w:rsid w:val="006B3CF0"/>
    <w:rsid w:val="006B447B"/>
    <w:rsid w:val="006B4599"/>
    <w:rsid w:val="006B5417"/>
    <w:rsid w:val="006B55ED"/>
    <w:rsid w:val="006B5626"/>
    <w:rsid w:val="006B596B"/>
    <w:rsid w:val="006B5D60"/>
    <w:rsid w:val="006B67DE"/>
    <w:rsid w:val="006B695C"/>
    <w:rsid w:val="006B69E6"/>
    <w:rsid w:val="006B6AB9"/>
    <w:rsid w:val="006B6C6C"/>
    <w:rsid w:val="006B6E95"/>
    <w:rsid w:val="006B6EF4"/>
    <w:rsid w:val="006B7DD9"/>
    <w:rsid w:val="006C036A"/>
    <w:rsid w:val="006C0400"/>
    <w:rsid w:val="006C0D3A"/>
    <w:rsid w:val="006C15B2"/>
    <w:rsid w:val="006C15F5"/>
    <w:rsid w:val="006C1F37"/>
    <w:rsid w:val="006C1FAF"/>
    <w:rsid w:val="006C28B1"/>
    <w:rsid w:val="006C2C63"/>
    <w:rsid w:val="006C3193"/>
    <w:rsid w:val="006C4FA6"/>
    <w:rsid w:val="006C54D2"/>
    <w:rsid w:val="006C5C4A"/>
    <w:rsid w:val="006C65FB"/>
    <w:rsid w:val="006C695E"/>
    <w:rsid w:val="006C6F55"/>
    <w:rsid w:val="006C7B41"/>
    <w:rsid w:val="006C7DE7"/>
    <w:rsid w:val="006D0142"/>
    <w:rsid w:val="006D0515"/>
    <w:rsid w:val="006D0F0B"/>
    <w:rsid w:val="006D1DCA"/>
    <w:rsid w:val="006D243D"/>
    <w:rsid w:val="006D2489"/>
    <w:rsid w:val="006D255F"/>
    <w:rsid w:val="006D265A"/>
    <w:rsid w:val="006D29CC"/>
    <w:rsid w:val="006D4325"/>
    <w:rsid w:val="006D5959"/>
    <w:rsid w:val="006D5F05"/>
    <w:rsid w:val="006D6118"/>
    <w:rsid w:val="006D7740"/>
    <w:rsid w:val="006D7931"/>
    <w:rsid w:val="006E00D4"/>
    <w:rsid w:val="006E01C4"/>
    <w:rsid w:val="006E03C4"/>
    <w:rsid w:val="006E08E3"/>
    <w:rsid w:val="006E08FB"/>
    <w:rsid w:val="006E0BFD"/>
    <w:rsid w:val="006E0C36"/>
    <w:rsid w:val="006E0F2D"/>
    <w:rsid w:val="006E161D"/>
    <w:rsid w:val="006E1E77"/>
    <w:rsid w:val="006E20AD"/>
    <w:rsid w:val="006E20E6"/>
    <w:rsid w:val="006E2443"/>
    <w:rsid w:val="006E2540"/>
    <w:rsid w:val="006E2914"/>
    <w:rsid w:val="006E2CAA"/>
    <w:rsid w:val="006E33F9"/>
    <w:rsid w:val="006E4040"/>
    <w:rsid w:val="006E431B"/>
    <w:rsid w:val="006E44D4"/>
    <w:rsid w:val="006E5680"/>
    <w:rsid w:val="006E5AD0"/>
    <w:rsid w:val="006E60B4"/>
    <w:rsid w:val="006E6933"/>
    <w:rsid w:val="006E7C12"/>
    <w:rsid w:val="006E7C46"/>
    <w:rsid w:val="006E7D92"/>
    <w:rsid w:val="006F04EC"/>
    <w:rsid w:val="006F090F"/>
    <w:rsid w:val="006F099F"/>
    <w:rsid w:val="006F142C"/>
    <w:rsid w:val="006F1A31"/>
    <w:rsid w:val="006F21E5"/>
    <w:rsid w:val="006F26AE"/>
    <w:rsid w:val="006F2EAB"/>
    <w:rsid w:val="006F2F05"/>
    <w:rsid w:val="006F3020"/>
    <w:rsid w:val="006F303C"/>
    <w:rsid w:val="006F4D1D"/>
    <w:rsid w:val="006F50D3"/>
    <w:rsid w:val="006F50E4"/>
    <w:rsid w:val="006F5416"/>
    <w:rsid w:val="006F655F"/>
    <w:rsid w:val="006F65BA"/>
    <w:rsid w:val="006F6990"/>
    <w:rsid w:val="006F6BC6"/>
    <w:rsid w:val="006F7141"/>
    <w:rsid w:val="006F771E"/>
    <w:rsid w:val="0070052B"/>
    <w:rsid w:val="00700845"/>
    <w:rsid w:val="00700A09"/>
    <w:rsid w:val="00701966"/>
    <w:rsid w:val="00701A0F"/>
    <w:rsid w:val="00701B1E"/>
    <w:rsid w:val="00702713"/>
    <w:rsid w:val="00703481"/>
    <w:rsid w:val="00703555"/>
    <w:rsid w:val="007036A8"/>
    <w:rsid w:val="0070373C"/>
    <w:rsid w:val="00703922"/>
    <w:rsid w:val="007047D6"/>
    <w:rsid w:val="007054A9"/>
    <w:rsid w:val="00705796"/>
    <w:rsid w:val="00705AA9"/>
    <w:rsid w:val="00705AEB"/>
    <w:rsid w:val="00706225"/>
    <w:rsid w:val="00706CE3"/>
    <w:rsid w:val="007070BC"/>
    <w:rsid w:val="007070F4"/>
    <w:rsid w:val="00707243"/>
    <w:rsid w:val="0070744A"/>
    <w:rsid w:val="0070753B"/>
    <w:rsid w:val="00707571"/>
    <w:rsid w:val="00707632"/>
    <w:rsid w:val="007079C7"/>
    <w:rsid w:val="00707B2C"/>
    <w:rsid w:val="00707BA1"/>
    <w:rsid w:val="00707CDB"/>
    <w:rsid w:val="007100CD"/>
    <w:rsid w:val="00710864"/>
    <w:rsid w:val="00711439"/>
    <w:rsid w:val="00711A62"/>
    <w:rsid w:val="00712458"/>
    <w:rsid w:val="0071323F"/>
    <w:rsid w:val="007136A8"/>
    <w:rsid w:val="007137B8"/>
    <w:rsid w:val="00713B42"/>
    <w:rsid w:val="00714386"/>
    <w:rsid w:val="007143A7"/>
    <w:rsid w:val="00714DDB"/>
    <w:rsid w:val="0071524D"/>
    <w:rsid w:val="00715913"/>
    <w:rsid w:val="007159FC"/>
    <w:rsid w:val="00715BA0"/>
    <w:rsid w:val="00716083"/>
    <w:rsid w:val="0071628C"/>
    <w:rsid w:val="0071658D"/>
    <w:rsid w:val="00716C6F"/>
    <w:rsid w:val="00716CC2"/>
    <w:rsid w:val="00717288"/>
    <w:rsid w:val="00717530"/>
    <w:rsid w:val="0071776B"/>
    <w:rsid w:val="00717D82"/>
    <w:rsid w:val="0072122F"/>
    <w:rsid w:val="0072244C"/>
    <w:rsid w:val="00722462"/>
    <w:rsid w:val="007229FD"/>
    <w:rsid w:val="007232E3"/>
    <w:rsid w:val="0072341B"/>
    <w:rsid w:val="00723504"/>
    <w:rsid w:val="00723B96"/>
    <w:rsid w:val="00723C19"/>
    <w:rsid w:val="00724690"/>
    <w:rsid w:val="00724D19"/>
    <w:rsid w:val="00725095"/>
    <w:rsid w:val="00725FDB"/>
    <w:rsid w:val="00726FC1"/>
    <w:rsid w:val="0072708C"/>
    <w:rsid w:val="0073053D"/>
    <w:rsid w:val="00730CF5"/>
    <w:rsid w:val="0073178A"/>
    <w:rsid w:val="00731C34"/>
    <w:rsid w:val="00731D72"/>
    <w:rsid w:val="00731F32"/>
    <w:rsid w:val="00732225"/>
    <w:rsid w:val="00733360"/>
    <w:rsid w:val="007333C2"/>
    <w:rsid w:val="007336ED"/>
    <w:rsid w:val="00734018"/>
    <w:rsid w:val="0073519D"/>
    <w:rsid w:val="0073520B"/>
    <w:rsid w:val="00735466"/>
    <w:rsid w:val="007354DE"/>
    <w:rsid w:val="007358C1"/>
    <w:rsid w:val="00735A4F"/>
    <w:rsid w:val="00736AFB"/>
    <w:rsid w:val="00736F8B"/>
    <w:rsid w:val="0073765C"/>
    <w:rsid w:val="007379DA"/>
    <w:rsid w:val="007404C5"/>
    <w:rsid w:val="00740B72"/>
    <w:rsid w:val="007416B8"/>
    <w:rsid w:val="00741A6A"/>
    <w:rsid w:val="00741B8B"/>
    <w:rsid w:val="00742378"/>
    <w:rsid w:val="007428A7"/>
    <w:rsid w:val="00743014"/>
    <w:rsid w:val="007432CC"/>
    <w:rsid w:val="007434F0"/>
    <w:rsid w:val="007438AF"/>
    <w:rsid w:val="00744C9C"/>
    <w:rsid w:val="00744FBF"/>
    <w:rsid w:val="00745C70"/>
    <w:rsid w:val="00745F82"/>
    <w:rsid w:val="007469E2"/>
    <w:rsid w:val="00747042"/>
    <w:rsid w:val="0074707F"/>
    <w:rsid w:val="0074731D"/>
    <w:rsid w:val="0074734F"/>
    <w:rsid w:val="007479C5"/>
    <w:rsid w:val="00747CAF"/>
    <w:rsid w:val="00747D73"/>
    <w:rsid w:val="00750097"/>
    <w:rsid w:val="00750E8C"/>
    <w:rsid w:val="0075185D"/>
    <w:rsid w:val="0075186E"/>
    <w:rsid w:val="00751881"/>
    <w:rsid w:val="00751D64"/>
    <w:rsid w:val="00752192"/>
    <w:rsid w:val="0075239E"/>
    <w:rsid w:val="00752A32"/>
    <w:rsid w:val="00753875"/>
    <w:rsid w:val="00754666"/>
    <w:rsid w:val="007547E1"/>
    <w:rsid w:val="00754876"/>
    <w:rsid w:val="00754AB1"/>
    <w:rsid w:val="00755433"/>
    <w:rsid w:val="00755C68"/>
    <w:rsid w:val="007569C8"/>
    <w:rsid w:val="00757197"/>
    <w:rsid w:val="00757328"/>
    <w:rsid w:val="00757F23"/>
    <w:rsid w:val="00760A33"/>
    <w:rsid w:val="00760A42"/>
    <w:rsid w:val="00760B40"/>
    <w:rsid w:val="00760C12"/>
    <w:rsid w:val="00760FC7"/>
    <w:rsid w:val="00762283"/>
    <w:rsid w:val="007627E5"/>
    <w:rsid w:val="00762F3C"/>
    <w:rsid w:val="00763310"/>
    <w:rsid w:val="0076369B"/>
    <w:rsid w:val="00764132"/>
    <w:rsid w:val="00764411"/>
    <w:rsid w:val="00764566"/>
    <w:rsid w:val="0076515D"/>
    <w:rsid w:val="00765412"/>
    <w:rsid w:val="0076565D"/>
    <w:rsid w:val="007656AA"/>
    <w:rsid w:val="00765C0E"/>
    <w:rsid w:val="00765D85"/>
    <w:rsid w:val="00765E7B"/>
    <w:rsid w:val="00766D5F"/>
    <w:rsid w:val="0076732C"/>
    <w:rsid w:val="0076736D"/>
    <w:rsid w:val="00767A0A"/>
    <w:rsid w:val="00770577"/>
    <w:rsid w:val="00770CC3"/>
    <w:rsid w:val="00770F7A"/>
    <w:rsid w:val="0077110A"/>
    <w:rsid w:val="0077141E"/>
    <w:rsid w:val="007715AE"/>
    <w:rsid w:val="007720ED"/>
    <w:rsid w:val="0077249E"/>
    <w:rsid w:val="007743E4"/>
    <w:rsid w:val="0077464D"/>
    <w:rsid w:val="007748C1"/>
    <w:rsid w:val="007751AF"/>
    <w:rsid w:val="007753D9"/>
    <w:rsid w:val="00775618"/>
    <w:rsid w:val="00775B9A"/>
    <w:rsid w:val="00776E66"/>
    <w:rsid w:val="0077736B"/>
    <w:rsid w:val="0078073A"/>
    <w:rsid w:val="00780889"/>
    <w:rsid w:val="00780BC2"/>
    <w:rsid w:val="00780CDD"/>
    <w:rsid w:val="00780EC0"/>
    <w:rsid w:val="007815FC"/>
    <w:rsid w:val="007819C9"/>
    <w:rsid w:val="00781A03"/>
    <w:rsid w:val="007822AD"/>
    <w:rsid w:val="007826A4"/>
    <w:rsid w:val="007827F2"/>
    <w:rsid w:val="00782B18"/>
    <w:rsid w:val="00782E01"/>
    <w:rsid w:val="00782E5A"/>
    <w:rsid w:val="007831F7"/>
    <w:rsid w:val="0078336F"/>
    <w:rsid w:val="0078354D"/>
    <w:rsid w:val="007838A1"/>
    <w:rsid w:val="00784245"/>
    <w:rsid w:val="007848D2"/>
    <w:rsid w:val="007852D1"/>
    <w:rsid w:val="0078544A"/>
    <w:rsid w:val="007859D4"/>
    <w:rsid w:val="007860E8"/>
    <w:rsid w:val="007863C1"/>
    <w:rsid w:val="007869C4"/>
    <w:rsid w:val="00786CA7"/>
    <w:rsid w:val="007870A5"/>
    <w:rsid w:val="00787592"/>
    <w:rsid w:val="00787A46"/>
    <w:rsid w:val="00787E5E"/>
    <w:rsid w:val="00790369"/>
    <w:rsid w:val="007905BE"/>
    <w:rsid w:val="00790689"/>
    <w:rsid w:val="00790F2A"/>
    <w:rsid w:val="00791107"/>
    <w:rsid w:val="00791473"/>
    <w:rsid w:val="00791A30"/>
    <w:rsid w:val="00791B6A"/>
    <w:rsid w:val="007920E2"/>
    <w:rsid w:val="00792913"/>
    <w:rsid w:val="00794266"/>
    <w:rsid w:val="00794B0F"/>
    <w:rsid w:val="00794F2C"/>
    <w:rsid w:val="007966AB"/>
    <w:rsid w:val="007971A5"/>
    <w:rsid w:val="0079722D"/>
    <w:rsid w:val="007978EF"/>
    <w:rsid w:val="007A0606"/>
    <w:rsid w:val="007A0E4B"/>
    <w:rsid w:val="007A13BB"/>
    <w:rsid w:val="007A1B94"/>
    <w:rsid w:val="007A2483"/>
    <w:rsid w:val="007A2803"/>
    <w:rsid w:val="007A29E7"/>
    <w:rsid w:val="007A2E50"/>
    <w:rsid w:val="007A2F23"/>
    <w:rsid w:val="007A3B6D"/>
    <w:rsid w:val="007A3E3B"/>
    <w:rsid w:val="007A4508"/>
    <w:rsid w:val="007A4996"/>
    <w:rsid w:val="007A4ED0"/>
    <w:rsid w:val="007A64F4"/>
    <w:rsid w:val="007A66B0"/>
    <w:rsid w:val="007A6864"/>
    <w:rsid w:val="007A71A5"/>
    <w:rsid w:val="007A75A2"/>
    <w:rsid w:val="007A7736"/>
    <w:rsid w:val="007A7A8C"/>
    <w:rsid w:val="007B0746"/>
    <w:rsid w:val="007B0C36"/>
    <w:rsid w:val="007B1288"/>
    <w:rsid w:val="007B18D1"/>
    <w:rsid w:val="007B1DC1"/>
    <w:rsid w:val="007B1FE4"/>
    <w:rsid w:val="007B20A2"/>
    <w:rsid w:val="007B2331"/>
    <w:rsid w:val="007B26A3"/>
    <w:rsid w:val="007B2754"/>
    <w:rsid w:val="007B2869"/>
    <w:rsid w:val="007B2DE9"/>
    <w:rsid w:val="007B3E6C"/>
    <w:rsid w:val="007B44F2"/>
    <w:rsid w:val="007B476E"/>
    <w:rsid w:val="007B4ADD"/>
    <w:rsid w:val="007B4F0C"/>
    <w:rsid w:val="007B6126"/>
    <w:rsid w:val="007B6426"/>
    <w:rsid w:val="007B65E1"/>
    <w:rsid w:val="007B727F"/>
    <w:rsid w:val="007B76F8"/>
    <w:rsid w:val="007B7CE6"/>
    <w:rsid w:val="007B7E6E"/>
    <w:rsid w:val="007C00FC"/>
    <w:rsid w:val="007C0803"/>
    <w:rsid w:val="007C096D"/>
    <w:rsid w:val="007C0AB9"/>
    <w:rsid w:val="007C12AD"/>
    <w:rsid w:val="007C1944"/>
    <w:rsid w:val="007C1F1F"/>
    <w:rsid w:val="007C252C"/>
    <w:rsid w:val="007C2776"/>
    <w:rsid w:val="007C29A3"/>
    <w:rsid w:val="007C378C"/>
    <w:rsid w:val="007C438D"/>
    <w:rsid w:val="007C53BF"/>
    <w:rsid w:val="007C5691"/>
    <w:rsid w:val="007C5AEE"/>
    <w:rsid w:val="007C604F"/>
    <w:rsid w:val="007C662B"/>
    <w:rsid w:val="007C684C"/>
    <w:rsid w:val="007C6923"/>
    <w:rsid w:val="007C74D9"/>
    <w:rsid w:val="007C7873"/>
    <w:rsid w:val="007C7A77"/>
    <w:rsid w:val="007C7E0E"/>
    <w:rsid w:val="007D077C"/>
    <w:rsid w:val="007D080A"/>
    <w:rsid w:val="007D1DA9"/>
    <w:rsid w:val="007D2234"/>
    <w:rsid w:val="007D29AF"/>
    <w:rsid w:val="007D2FCB"/>
    <w:rsid w:val="007D31FA"/>
    <w:rsid w:val="007D3269"/>
    <w:rsid w:val="007D3B33"/>
    <w:rsid w:val="007D49A5"/>
    <w:rsid w:val="007D4F3A"/>
    <w:rsid w:val="007D4F54"/>
    <w:rsid w:val="007D5163"/>
    <w:rsid w:val="007D529B"/>
    <w:rsid w:val="007D53C0"/>
    <w:rsid w:val="007D5FC1"/>
    <w:rsid w:val="007D6164"/>
    <w:rsid w:val="007D6B29"/>
    <w:rsid w:val="007D6E47"/>
    <w:rsid w:val="007D7181"/>
    <w:rsid w:val="007D727F"/>
    <w:rsid w:val="007D7330"/>
    <w:rsid w:val="007D7531"/>
    <w:rsid w:val="007E0BFC"/>
    <w:rsid w:val="007E0C4C"/>
    <w:rsid w:val="007E1004"/>
    <w:rsid w:val="007E153F"/>
    <w:rsid w:val="007E183C"/>
    <w:rsid w:val="007E1C2B"/>
    <w:rsid w:val="007E1C3E"/>
    <w:rsid w:val="007E2348"/>
    <w:rsid w:val="007E2ED5"/>
    <w:rsid w:val="007E3539"/>
    <w:rsid w:val="007E3A22"/>
    <w:rsid w:val="007E3BBD"/>
    <w:rsid w:val="007E4328"/>
    <w:rsid w:val="007E52B5"/>
    <w:rsid w:val="007E5A9A"/>
    <w:rsid w:val="007E70BB"/>
    <w:rsid w:val="007E7A6F"/>
    <w:rsid w:val="007E7B8F"/>
    <w:rsid w:val="007E7E16"/>
    <w:rsid w:val="007E7EB0"/>
    <w:rsid w:val="007F0395"/>
    <w:rsid w:val="007F05B5"/>
    <w:rsid w:val="007F0EE0"/>
    <w:rsid w:val="007F13B1"/>
    <w:rsid w:val="007F1F0F"/>
    <w:rsid w:val="007F1F6D"/>
    <w:rsid w:val="007F2047"/>
    <w:rsid w:val="007F2051"/>
    <w:rsid w:val="007F23BC"/>
    <w:rsid w:val="007F24D4"/>
    <w:rsid w:val="007F24DE"/>
    <w:rsid w:val="007F38AF"/>
    <w:rsid w:val="007F48B2"/>
    <w:rsid w:val="007F4AB1"/>
    <w:rsid w:val="007F4BC1"/>
    <w:rsid w:val="007F4CEA"/>
    <w:rsid w:val="007F4D6F"/>
    <w:rsid w:val="007F52C9"/>
    <w:rsid w:val="007F5E70"/>
    <w:rsid w:val="007F625A"/>
    <w:rsid w:val="007F62C5"/>
    <w:rsid w:val="007F6899"/>
    <w:rsid w:val="007F68F6"/>
    <w:rsid w:val="007F72B4"/>
    <w:rsid w:val="007F7354"/>
    <w:rsid w:val="008007B0"/>
    <w:rsid w:val="00800DEA"/>
    <w:rsid w:val="008010A0"/>
    <w:rsid w:val="00801885"/>
    <w:rsid w:val="008025AA"/>
    <w:rsid w:val="00802D69"/>
    <w:rsid w:val="00803F1E"/>
    <w:rsid w:val="008040BA"/>
    <w:rsid w:val="008044E1"/>
    <w:rsid w:val="00804D1F"/>
    <w:rsid w:val="00804DB2"/>
    <w:rsid w:val="008050C4"/>
    <w:rsid w:val="0080517A"/>
    <w:rsid w:val="00805497"/>
    <w:rsid w:val="008056E0"/>
    <w:rsid w:val="00806087"/>
    <w:rsid w:val="00806654"/>
    <w:rsid w:val="0080715E"/>
    <w:rsid w:val="008078E6"/>
    <w:rsid w:val="008079E4"/>
    <w:rsid w:val="0081004A"/>
    <w:rsid w:val="0081069E"/>
    <w:rsid w:val="00810AB3"/>
    <w:rsid w:val="00810C00"/>
    <w:rsid w:val="008114F4"/>
    <w:rsid w:val="008116CD"/>
    <w:rsid w:val="00811ACB"/>
    <w:rsid w:val="00811BD2"/>
    <w:rsid w:val="00811D2F"/>
    <w:rsid w:val="00811D88"/>
    <w:rsid w:val="00811DD2"/>
    <w:rsid w:val="00811FB3"/>
    <w:rsid w:val="0081298B"/>
    <w:rsid w:val="00812D69"/>
    <w:rsid w:val="00814725"/>
    <w:rsid w:val="008148B8"/>
    <w:rsid w:val="00814C5B"/>
    <w:rsid w:val="00814D81"/>
    <w:rsid w:val="0081508D"/>
    <w:rsid w:val="00815327"/>
    <w:rsid w:val="008158D5"/>
    <w:rsid w:val="0081622C"/>
    <w:rsid w:val="00816B3C"/>
    <w:rsid w:val="00816BA2"/>
    <w:rsid w:val="00817640"/>
    <w:rsid w:val="008179ED"/>
    <w:rsid w:val="0082012E"/>
    <w:rsid w:val="008215D5"/>
    <w:rsid w:val="00821ECB"/>
    <w:rsid w:val="00822262"/>
    <w:rsid w:val="008223E6"/>
    <w:rsid w:val="00822431"/>
    <w:rsid w:val="0082270D"/>
    <w:rsid w:val="00822DBF"/>
    <w:rsid w:val="00823025"/>
    <w:rsid w:val="0082311A"/>
    <w:rsid w:val="00823641"/>
    <w:rsid w:val="00823703"/>
    <w:rsid w:val="00823CE1"/>
    <w:rsid w:val="00823F0C"/>
    <w:rsid w:val="00824D12"/>
    <w:rsid w:val="00825098"/>
    <w:rsid w:val="008256B2"/>
    <w:rsid w:val="00825917"/>
    <w:rsid w:val="00825954"/>
    <w:rsid w:val="00825AC8"/>
    <w:rsid w:val="00825D7A"/>
    <w:rsid w:val="008269E0"/>
    <w:rsid w:val="008275ED"/>
    <w:rsid w:val="00827F28"/>
    <w:rsid w:val="00830180"/>
    <w:rsid w:val="008305E4"/>
    <w:rsid w:val="0083161A"/>
    <w:rsid w:val="008318F9"/>
    <w:rsid w:val="00831EA1"/>
    <w:rsid w:val="0083288A"/>
    <w:rsid w:val="00832DD7"/>
    <w:rsid w:val="00833553"/>
    <w:rsid w:val="00833947"/>
    <w:rsid w:val="00833A3E"/>
    <w:rsid w:val="00833CEE"/>
    <w:rsid w:val="0083430A"/>
    <w:rsid w:val="00834343"/>
    <w:rsid w:val="00834674"/>
    <w:rsid w:val="008348A8"/>
    <w:rsid w:val="008348BA"/>
    <w:rsid w:val="00835FF2"/>
    <w:rsid w:val="008361C1"/>
    <w:rsid w:val="008366B5"/>
    <w:rsid w:val="008377EC"/>
    <w:rsid w:val="00837C2A"/>
    <w:rsid w:val="00840272"/>
    <w:rsid w:val="00840390"/>
    <w:rsid w:val="0084100C"/>
    <w:rsid w:val="008412CF"/>
    <w:rsid w:val="008414D8"/>
    <w:rsid w:val="008418D8"/>
    <w:rsid w:val="0084196A"/>
    <w:rsid w:val="00842005"/>
    <w:rsid w:val="0084270E"/>
    <w:rsid w:val="008427EB"/>
    <w:rsid w:val="00842CC2"/>
    <w:rsid w:val="0084345C"/>
    <w:rsid w:val="008436E9"/>
    <w:rsid w:val="00843D0E"/>
    <w:rsid w:val="00844183"/>
    <w:rsid w:val="008444AE"/>
    <w:rsid w:val="00844694"/>
    <w:rsid w:val="00844A48"/>
    <w:rsid w:val="008455EF"/>
    <w:rsid w:val="00845B3F"/>
    <w:rsid w:val="00846AC7"/>
    <w:rsid w:val="00846AEC"/>
    <w:rsid w:val="00847049"/>
    <w:rsid w:val="00847245"/>
    <w:rsid w:val="008476BF"/>
    <w:rsid w:val="0085188E"/>
    <w:rsid w:val="00852AA2"/>
    <w:rsid w:val="008535E4"/>
    <w:rsid w:val="00854916"/>
    <w:rsid w:val="00854F63"/>
    <w:rsid w:val="008558C1"/>
    <w:rsid w:val="00855D2A"/>
    <w:rsid w:val="008565D6"/>
    <w:rsid w:val="00857385"/>
    <w:rsid w:val="008575F5"/>
    <w:rsid w:val="008578C1"/>
    <w:rsid w:val="00857B9C"/>
    <w:rsid w:val="00857BC0"/>
    <w:rsid w:val="00857D5D"/>
    <w:rsid w:val="00857FE7"/>
    <w:rsid w:val="008602B3"/>
    <w:rsid w:val="00860365"/>
    <w:rsid w:val="008604E3"/>
    <w:rsid w:val="00860790"/>
    <w:rsid w:val="00860EDE"/>
    <w:rsid w:val="00860F16"/>
    <w:rsid w:val="00861636"/>
    <w:rsid w:val="00861B58"/>
    <w:rsid w:val="00861D50"/>
    <w:rsid w:val="00862744"/>
    <w:rsid w:val="00862757"/>
    <w:rsid w:val="0086324A"/>
    <w:rsid w:val="00863DF3"/>
    <w:rsid w:val="00864206"/>
    <w:rsid w:val="0086490B"/>
    <w:rsid w:val="00864C92"/>
    <w:rsid w:val="00864DEF"/>
    <w:rsid w:val="0086534C"/>
    <w:rsid w:val="00865608"/>
    <w:rsid w:val="008657B9"/>
    <w:rsid w:val="008661EF"/>
    <w:rsid w:val="008663D1"/>
    <w:rsid w:val="00866F77"/>
    <w:rsid w:val="0086773E"/>
    <w:rsid w:val="008703BB"/>
    <w:rsid w:val="00870F67"/>
    <w:rsid w:val="00870FB3"/>
    <w:rsid w:val="0087173F"/>
    <w:rsid w:val="00871ECF"/>
    <w:rsid w:val="00871F63"/>
    <w:rsid w:val="00872074"/>
    <w:rsid w:val="00872429"/>
    <w:rsid w:val="008725AA"/>
    <w:rsid w:val="00872835"/>
    <w:rsid w:val="008728AF"/>
    <w:rsid w:val="00872AD8"/>
    <w:rsid w:val="00872C9D"/>
    <w:rsid w:val="00872DC9"/>
    <w:rsid w:val="00872F80"/>
    <w:rsid w:val="008731E6"/>
    <w:rsid w:val="008735E3"/>
    <w:rsid w:val="008738DA"/>
    <w:rsid w:val="00873ADE"/>
    <w:rsid w:val="00873B08"/>
    <w:rsid w:val="008740ED"/>
    <w:rsid w:val="008741D9"/>
    <w:rsid w:val="00875A2E"/>
    <w:rsid w:val="00876AE1"/>
    <w:rsid w:val="00876EE9"/>
    <w:rsid w:val="0087738C"/>
    <w:rsid w:val="00877801"/>
    <w:rsid w:val="00877D51"/>
    <w:rsid w:val="00877F9C"/>
    <w:rsid w:val="00880385"/>
    <w:rsid w:val="00880C1B"/>
    <w:rsid w:val="008818D0"/>
    <w:rsid w:val="00882BE7"/>
    <w:rsid w:val="00882C03"/>
    <w:rsid w:val="00882F70"/>
    <w:rsid w:val="0088346B"/>
    <w:rsid w:val="00883738"/>
    <w:rsid w:val="00883B95"/>
    <w:rsid w:val="00883E14"/>
    <w:rsid w:val="00883F10"/>
    <w:rsid w:val="00884011"/>
    <w:rsid w:val="00884318"/>
    <w:rsid w:val="00884488"/>
    <w:rsid w:val="0088453F"/>
    <w:rsid w:val="00884F5D"/>
    <w:rsid w:val="00885092"/>
    <w:rsid w:val="00885644"/>
    <w:rsid w:val="0088616F"/>
    <w:rsid w:val="00886784"/>
    <w:rsid w:val="008872EE"/>
    <w:rsid w:val="00887339"/>
    <w:rsid w:val="008900E8"/>
    <w:rsid w:val="008917AE"/>
    <w:rsid w:val="00891935"/>
    <w:rsid w:val="00891AAC"/>
    <w:rsid w:val="0089228C"/>
    <w:rsid w:val="008925D5"/>
    <w:rsid w:val="00892C4B"/>
    <w:rsid w:val="00892C98"/>
    <w:rsid w:val="008933FC"/>
    <w:rsid w:val="00893868"/>
    <w:rsid w:val="0089393C"/>
    <w:rsid w:val="00893E45"/>
    <w:rsid w:val="0089454B"/>
    <w:rsid w:val="00894A51"/>
    <w:rsid w:val="00894BB7"/>
    <w:rsid w:val="0089513B"/>
    <w:rsid w:val="0089513C"/>
    <w:rsid w:val="00895549"/>
    <w:rsid w:val="00895801"/>
    <w:rsid w:val="008962D9"/>
    <w:rsid w:val="00896A89"/>
    <w:rsid w:val="00896D3F"/>
    <w:rsid w:val="008972FC"/>
    <w:rsid w:val="00897DF4"/>
    <w:rsid w:val="008A081C"/>
    <w:rsid w:val="008A1B73"/>
    <w:rsid w:val="008A23DA"/>
    <w:rsid w:val="008A23F0"/>
    <w:rsid w:val="008A2844"/>
    <w:rsid w:val="008A303E"/>
    <w:rsid w:val="008A3D1D"/>
    <w:rsid w:val="008A4D46"/>
    <w:rsid w:val="008A50A7"/>
    <w:rsid w:val="008A5631"/>
    <w:rsid w:val="008A577C"/>
    <w:rsid w:val="008A589A"/>
    <w:rsid w:val="008A5CB4"/>
    <w:rsid w:val="008A617A"/>
    <w:rsid w:val="008A649E"/>
    <w:rsid w:val="008A6803"/>
    <w:rsid w:val="008A6A24"/>
    <w:rsid w:val="008A6BC4"/>
    <w:rsid w:val="008A6DDD"/>
    <w:rsid w:val="008A7BB8"/>
    <w:rsid w:val="008B00E7"/>
    <w:rsid w:val="008B02F4"/>
    <w:rsid w:val="008B03F5"/>
    <w:rsid w:val="008B1E43"/>
    <w:rsid w:val="008B1ECF"/>
    <w:rsid w:val="008B2363"/>
    <w:rsid w:val="008B2E18"/>
    <w:rsid w:val="008B31D6"/>
    <w:rsid w:val="008B34AD"/>
    <w:rsid w:val="008B3525"/>
    <w:rsid w:val="008B367D"/>
    <w:rsid w:val="008B40A8"/>
    <w:rsid w:val="008B4853"/>
    <w:rsid w:val="008B532B"/>
    <w:rsid w:val="008B533F"/>
    <w:rsid w:val="008B5486"/>
    <w:rsid w:val="008B5C53"/>
    <w:rsid w:val="008B5DD6"/>
    <w:rsid w:val="008B6554"/>
    <w:rsid w:val="008B66AD"/>
    <w:rsid w:val="008B6B1B"/>
    <w:rsid w:val="008B7D37"/>
    <w:rsid w:val="008C0066"/>
    <w:rsid w:val="008C05FC"/>
    <w:rsid w:val="008C089A"/>
    <w:rsid w:val="008C0C83"/>
    <w:rsid w:val="008C12C5"/>
    <w:rsid w:val="008C1988"/>
    <w:rsid w:val="008C1E32"/>
    <w:rsid w:val="008C20B8"/>
    <w:rsid w:val="008C2198"/>
    <w:rsid w:val="008C23E4"/>
    <w:rsid w:val="008C2601"/>
    <w:rsid w:val="008C2C17"/>
    <w:rsid w:val="008C2DF5"/>
    <w:rsid w:val="008C32FD"/>
    <w:rsid w:val="008C398E"/>
    <w:rsid w:val="008C3E82"/>
    <w:rsid w:val="008C41F1"/>
    <w:rsid w:val="008C4201"/>
    <w:rsid w:val="008C5CE5"/>
    <w:rsid w:val="008C5EF2"/>
    <w:rsid w:val="008C6103"/>
    <w:rsid w:val="008C62AE"/>
    <w:rsid w:val="008C663B"/>
    <w:rsid w:val="008C6A15"/>
    <w:rsid w:val="008C6DFA"/>
    <w:rsid w:val="008C7071"/>
    <w:rsid w:val="008C7885"/>
    <w:rsid w:val="008C7EEE"/>
    <w:rsid w:val="008C7F2C"/>
    <w:rsid w:val="008C7FD1"/>
    <w:rsid w:val="008D02D2"/>
    <w:rsid w:val="008D25DE"/>
    <w:rsid w:val="008D2612"/>
    <w:rsid w:val="008D2750"/>
    <w:rsid w:val="008D2F8F"/>
    <w:rsid w:val="008D344D"/>
    <w:rsid w:val="008D363C"/>
    <w:rsid w:val="008D38A1"/>
    <w:rsid w:val="008D3902"/>
    <w:rsid w:val="008D4124"/>
    <w:rsid w:val="008D4DBA"/>
    <w:rsid w:val="008D505B"/>
    <w:rsid w:val="008D6433"/>
    <w:rsid w:val="008D6559"/>
    <w:rsid w:val="008D6A21"/>
    <w:rsid w:val="008D6A6D"/>
    <w:rsid w:val="008D7319"/>
    <w:rsid w:val="008E035A"/>
    <w:rsid w:val="008E04A0"/>
    <w:rsid w:val="008E05C3"/>
    <w:rsid w:val="008E08D9"/>
    <w:rsid w:val="008E1901"/>
    <w:rsid w:val="008E1B9D"/>
    <w:rsid w:val="008E1F0C"/>
    <w:rsid w:val="008E2020"/>
    <w:rsid w:val="008E27BD"/>
    <w:rsid w:val="008E2AFA"/>
    <w:rsid w:val="008E33B5"/>
    <w:rsid w:val="008E35F8"/>
    <w:rsid w:val="008E409F"/>
    <w:rsid w:val="008E447B"/>
    <w:rsid w:val="008E46C0"/>
    <w:rsid w:val="008E4DA2"/>
    <w:rsid w:val="008E4E69"/>
    <w:rsid w:val="008E5023"/>
    <w:rsid w:val="008E51E8"/>
    <w:rsid w:val="008E5623"/>
    <w:rsid w:val="008E64D5"/>
    <w:rsid w:val="008E65D8"/>
    <w:rsid w:val="008E66F8"/>
    <w:rsid w:val="008E67F7"/>
    <w:rsid w:val="008E71B8"/>
    <w:rsid w:val="008E71D8"/>
    <w:rsid w:val="008E7699"/>
    <w:rsid w:val="008EE2A8"/>
    <w:rsid w:val="008F013F"/>
    <w:rsid w:val="008F069D"/>
    <w:rsid w:val="008F07A8"/>
    <w:rsid w:val="008F0E1D"/>
    <w:rsid w:val="008F151F"/>
    <w:rsid w:val="008F1E96"/>
    <w:rsid w:val="008F2832"/>
    <w:rsid w:val="008F38D9"/>
    <w:rsid w:val="008F3BAE"/>
    <w:rsid w:val="008F3ED3"/>
    <w:rsid w:val="008F4145"/>
    <w:rsid w:val="008F4215"/>
    <w:rsid w:val="008F5169"/>
    <w:rsid w:val="008F5226"/>
    <w:rsid w:val="008F6319"/>
    <w:rsid w:val="008F6436"/>
    <w:rsid w:val="008F6453"/>
    <w:rsid w:val="008F648D"/>
    <w:rsid w:val="008F65D5"/>
    <w:rsid w:val="008F6845"/>
    <w:rsid w:val="008F6FED"/>
    <w:rsid w:val="008F781E"/>
    <w:rsid w:val="008F7916"/>
    <w:rsid w:val="008F7F38"/>
    <w:rsid w:val="009002B6"/>
    <w:rsid w:val="0090092D"/>
    <w:rsid w:val="00900B79"/>
    <w:rsid w:val="00900E80"/>
    <w:rsid w:val="0090177B"/>
    <w:rsid w:val="00901AA6"/>
    <w:rsid w:val="009023EE"/>
    <w:rsid w:val="0090249A"/>
    <w:rsid w:val="00902E2F"/>
    <w:rsid w:val="0090346A"/>
    <w:rsid w:val="00903DFD"/>
    <w:rsid w:val="009040CA"/>
    <w:rsid w:val="009043D7"/>
    <w:rsid w:val="009046E2"/>
    <w:rsid w:val="00905178"/>
    <w:rsid w:val="009051DE"/>
    <w:rsid w:val="00905447"/>
    <w:rsid w:val="00905E56"/>
    <w:rsid w:val="00906895"/>
    <w:rsid w:val="00907807"/>
    <w:rsid w:val="00907A15"/>
    <w:rsid w:val="00910283"/>
    <w:rsid w:val="009107A2"/>
    <w:rsid w:val="00911084"/>
    <w:rsid w:val="0091130F"/>
    <w:rsid w:val="00911423"/>
    <w:rsid w:val="0091154F"/>
    <w:rsid w:val="00911812"/>
    <w:rsid w:val="009123E4"/>
    <w:rsid w:val="009133A6"/>
    <w:rsid w:val="0091348F"/>
    <w:rsid w:val="009139CC"/>
    <w:rsid w:val="00913A62"/>
    <w:rsid w:val="00914A6F"/>
    <w:rsid w:val="00914C4F"/>
    <w:rsid w:val="00914CDD"/>
    <w:rsid w:val="00914D7B"/>
    <w:rsid w:val="0091569B"/>
    <w:rsid w:val="00915FF5"/>
    <w:rsid w:val="009163CD"/>
    <w:rsid w:val="00916711"/>
    <w:rsid w:val="00916786"/>
    <w:rsid w:val="00916863"/>
    <w:rsid w:val="00916A9C"/>
    <w:rsid w:val="00916B7F"/>
    <w:rsid w:val="0091753B"/>
    <w:rsid w:val="00920926"/>
    <w:rsid w:val="00920D28"/>
    <w:rsid w:val="00920D49"/>
    <w:rsid w:val="00921D41"/>
    <w:rsid w:val="009231A1"/>
    <w:rsid w:val="00923276"/>
    <w:rsid w:val="009235BE"/>
    <w:rsid w:val="00923830"/>
    <w:rsid w:val="00923AA9"/>
    <w:rsid w:val="00923DFF"/>
    <w:rsid w:val="00924986"/>
    <w:rsid w:val="009249D3"/>
    <w:rsid w:val="00924CB6"/>
    <w:rsid w:val="00924F3B"/>
    <w:rsid w:val="009250F5"/>
    <w:rsid w:val="0092575E"/>
    <w:rsid w:val="009259F1"/>
    <w:rsid w:val="00925D09"/>
    <w:rsid w:val="00925D19"/>
    <w:rsid w:val="00926257"/>
    <w:rsid w:val="009271A6"/>
    <w:rsid w:val="00927C0C"/>
    <w:rsid w:val="00927EDF"/>
    <w:rsid w:val="0093027D"/>
    <w:rsid w:val="00930583"/>
    <w:rsid w:val="009310BA"/>
    <w:rsid w:val="009313C7"/>
    <w:rsid w:val="00931842"/>
    <w:rsid w:val="00931C1A"/>
    <w:rsid w:val="00931DF1"/>
    <w:rsid w:val="009320C0"/>
    <w:rsid w:val="009324B2"/>
    <w:rsid w:val="009325D3"/>
    <w:rsid w:val="00932EF2"/>
    <w:rsid w:val="00932F18"/>
    <w:rsid w:val="00933694"/>
    <w:rsid w:val="00933B03"/>
    <w:rsid w:val="00933B4A"/>
    <w:rsid w:val="00933CA4"/>
    <w:rsid w:val="00933CF1"/>
    <w:rsid w:val="00933DB9"/>
    <w:rsid w:val="009342A1"/>
    <w:rsid w:val="009348EB"/>
    <w:rsid w:val="00934B5F"/>
    <w:rsid w:val="00935BA2"/>
    <w:rsid w:val="00935EFC"/>
    <w:rsid w:val="00935FA1"/>
    <w:rsid w:val="00936809"/>
    <w:rsid w:val="009373C7"/>
    <w:rsid w:val="00937A19"/>
    <w:rsid w:val="00937A54"/>
    <w:rsid w:val="00937B4D"/>
    <w:rsid w:val="00940672"/>
    <w:rsid w:val="009407CD"/>
    <w:rsid w:val="00940945"/>
    <w:rsid w:val="00940AE3"/>
    <w:rsid w:val="009411E5"/>
    <w:rsid w:val="00941DE0"/>
    <w:rsid w:val="00941E72"/>
    <w:rsid w:val="00942243"/>
    <w:rsid w:val="009427CC"/>
    <w:rsid w:val="0094324B"/>
    <w:rsid w:val="009439DF"/>
    <w:rsid w:val="00943B58"/>
    <w:rsid w:val="0094430F"/>
    <w:rsid w:val="009446DD"/>
    <w:rsid w:val="00944A03"/>
    <w:rsid w:val="00945608"/>
    <w:rsid w:val="00945679"/>
    <w:rsid w:val="00945B8E"/>
    <w:rsid w:val="00946582"/>
    <w:rsid w:val="00946612"/>
    <w:rsid w:val="00946DBB"/>
    <w:rsid w:val="009473E1"/>
    <w:rsid w:val="00947A94"/>
    <w:rsid w:val="00950A92"/>
    <w:rsid w:val="00950C31"/>
    <w:rsid w:val="009516DF"/>
    <w:rsid w:val="00951B00"/>
    <w:rsid w:val="00952115"/>
    <w:rsid w:val="009525A9"/>
    <w:rsid w:val="0095277B"/>
    <w:rsid w:val="00952780"/>
    <w:rsid w:val="00953E66"/>
    <w:rsid w:val="0095421B"/>
    <w:rsid w:val="009548D9"/>
    <w:rsid w:val="00954CFC"/>
    <w:rsid w:val="009569EF"/>
    <w:rsid w:val="00956C66"/>
    <w:rsid w:val="00956CD5"/>
    <w:rsid w:val="0095711D"/>
    <w:rsid w:val="009574A2"/>
    <w:rsid w:val="00957597"/>
    <w:rsid w:val="00957BEE"/>
    <w:rsid w:val="00957D99"/>
    <w:rsid w:val="00960002"/>
    <w:rsid w:val="0096030B"/>
    <w:rsid w:val="00960637"/>
    <w:rsid w:val="00960F33"/>
    <w:rsid w:val="00961186"/>
    <w:rsid w:val="00961635"/>
    <w:rsid w:val="00961716"/>
    <w:rsid w:val="00962126"/>
    <w:rsid w:val="009632B7"/>
    <w:rsid w:val="00963F87"/>
    <w:rsid w:val="009643B3"/>
    <w:rsid w:val="009647E6"/>
    <w:rsid w:val="00964BF7"/>
    <w:rsid w:val="00964E22"/>
    <w:rsid w:val="00964F3C"/>
    <w:rsid w:val="009654DB"/>
    <w:rsid w:val="009654F0"/>
    <w:rsid w:val="00965BEF"/>
    <w:rsid w:val="009662C9"/>
    <w:rsid w:val="00966696"/>
    <w:rsid w:val="00966E36"/>
    <w:rsid w:val="0096730F"/>
    <w:rsid w:val="009700EA"/>
    <w:rsid w:val="00970EA0"/>
    <w:rsid w:val="0097136F"/>
    <w:rsid w:val="0097139E"/>
    <w:rsid w:val="00971774"/>
    <w:rsid w:val="00971B62"/>
    <w:rsid w:val="00971EDC"/>
    <w:rsid w:val="00971F76"/>
    <w:rsid w:val="00972A88"/>
    <w:rsid w:val="00972C6E"/>
    <w:rsid w:val="00972CCE"/>
    <w:rsid w:val="00972E2A"/>
    <w:rsid w:val="00973588"/>
    <w:rsid w:val="00973653"/>
    <w:rsid w:val="00974182"/>
    <w:rsid w:val="0097484F"/>
    <w:rsid w:val="00974C75"/>
    <w:rsid w:val="0097512B"/>
    <w:rsid w:val="0097521F"/>
    <w:rsid w:val="0097536E"/>
    <w:rsid w:val="00975534"/>
    <w:rsid w:val="00977208"/>
    <w:rsid w:val="00980932"/>
    <w:rsid w:val="00980BA3"/>
    <w:rsid w:val="009810AE"/>
    <w:rsid w:val="0098127A"/>
    <w:rsid w:val="00981503"/>
    <w:rsid w:val="009816B7"/>
    <w:rsid w:val="0098254D"/>
    <w:rsid w:val="009829B2"/>
    <w:rsid w:val="00982D91"/>
    <w:rsid w:val="00982EF3"/>
    <w:rsid w:val="009835CD"/>
    <w:rsid w:val="00983D5D"/>
    <w:rsid w:val="00983F90"/>
    <w:rsid w:val="009840F9"/>
    <w:rsid w:val="009848A2"/>
    <w:rsid w:val="00984AB4"/>
    <w:rsid w:val="00985127"/>
    <w:rsid w:val="0098514E"/>
    <w:rsid w:val="0098528A"/>
    <w:rsid w:val="009852B8"/>
    <w:rsid w:val="00985F6F"/>
    <w:rsid w:val="00985FCB"/>
    <w:rsid w:val="00986304"/>
    <w:rsid w:val="0098632C"/>
    <w:rsid w:val="0098678E"/>
    <w:rsid w:val="009868C9"/>
    <w:rsid w:val="00987E14"/>
    <w:rsid w:val="00987FA3"/>
    <w:rsid w:val="009913F3"/>
    <w:rsid w:val="0099179C"/>
    <w:rsid w:val="009917FF"/>
    <w:rsid w:val="00991CAF"/>
    <w:rsid w:val="00991F46"/>
    <w:rsid w:val="0099276C"/>
    <w:rsid w:val="00992884"/>
    <w:rsid w:val="009928BE"/>
    <w:rsid w:val="00992EB9"/>
    <w:rsid w:val="00993AA7"/>
    <w:rsid w:val="00994A2F"/>
    <w:rsid w:val="0099554A"/>
    <w:rsid w:val="009964BE"/>
    <w:rsid w:val="0099682E"/>
    <w:rsid w:val="00996D96"/>
    <w:rsid w:val="00996DA0"/>
    <w:rsid w:val="00996DA8"/>
    <w:rsid w:val="00997643"/>
    <w:rsid w:val="00997E86"/>
    <w:rsid w:val="009A1351"/>
    <w:rsid w:val="009A1380"/>
    <w:rsid w:val="009A13BB"/>
    <w:rsid w:val="009A148D"/>
    <w:rsid w:val="009A179D"/>
    <w:rsid w:val="009A1843"/>
    <w:rsid w:val="009A1A85"/>
    <w:rsid w:val="009A206C"/>
    <w:rsid w:val="009A2232"/>
    <w:rsid w:val="009A2396"/>
    <w:rsid w:val="009A23C0"/>
    <w:rsid w:val="009A254A"/>
    <w:rsid w:val="009A256E"/>
    <w:rsid w:val="009A33F3"/>
    <w:rsid w:val="009A3778"/>
    <w:rsid w:val="009A3A17"/>
    <w:rsid w:val="009A3E1F"/>
    <w:rsid w:val="009A3EC9"/>
    <w:rsid w:val="009A3EF2"/>
    <w:rsid w:val="009A41D9"/>
    <w:rsid w:val="009A44F4"/>
    <w:rsid w:val="009A4D13"/>
    <w:rsid w:val="009A50F4"/>
    <w:rsid w:val="009A53F9"/>
    <w:rsid w:val="009A5781"/>
    <w:rsid w:val="009A58F1"/>
    <w:rsid w:val="009A6B28"/>
    <w:rsid w:val="009A6D21"/>
    <w:rsid w:val="009A7091"/>
    <w:rsid w:val="009A72B8"/>
    <w:rsid w:val="009A7D0E"/>
    <w:rsid w:val="009A7E80"/>
    <w:rsid w:val="009B036D"/>
    <w:rsid w:val="009B0E03"/>
    <w:rsid w:val="009B121B"/>
    <w:rsid w:val="009B1A41"/>
    <w:rsid w:val="009B1E64"/>
    <w:rsid w:val="009B23DC"/>
    <w:rsid w:val="009B47D4"/>
    <w:rsid w:val="009B4CD6"/>
    <w:rsid w:val="009B4FF5"/>
    <w:rsid w:val="009B5B6F"/>
    <w:rsid w:val="009B6376"/>
    <w:rsid w:val="009B65F0"/>
    <w:rsid w:val="009B6B42"/>
    <w:rsid w:val="009B6FEA"/>
    <w:rsid w:val="009B7571"/>
    <w:rsid w:val="009B7B70"/>
    <w:rsid w:val="009C06BF"/>
    <w:rsid w:val="009C0A8B"/>
    <w:rsid w:val="009C0F54"/>
    <w:rsid w:val="009C1A4E"/>
    <w:rsid w:val="009C1C72"/>
    <w:rsid w:val="009C1CFB"/>
    <w:rsid w:val="009C1E3F"/>
    <w:rsid w:val="009C25BD"/>
    <w:rsid w:val="009C3A84"/>
    <w:rsid w:val="009C3F23"/>
    <w:rsid w:val="009C4194"/>
    <w:rsid w:val="009C447A"/>
    <w:rsid w:val="009C50D5"/>
    <w:rsid w:val="009C530E"/>
    <w:rsid w:val="009C5541"/>
    <w:rsid w:val="009C57F8"/>
    <w:rsid w:val="009C6170"/>
    <w:rsid w:val="009C6566"/>
    <w:rsid w:val="009C661B"/>
    <w:rsid w:val="009C703C"/>
    <w:rsid w:val="009C728A"/>
    <w:rsid w:val="009C73AF"/>
    <w:rsid w:val="009C77A8"/>
    <w:rsid w:val="009C79DB"/>
    <w:rsid w:val="009C7E8F"/>
    <w:rsid w:val="009D0096"/>
    <w:rsid w:val="009D01A3"/>
    <w:rsid w:val="009D09DB"/>
    <w:rsid w:val="009D0C8B"/>
    <w:rsid w:val="009D10C1"/>
    <w:rsid w:val="009D23E1"/>
    <w:rsid w:val="009D2405"/>
    <w:rsid w:val="009D25B7"/>
    <w:rsid w:val="009D2833"/>
    <w:rsid w:val="009D3776"/>
    <w:rsid w:val="009D37E5"/>
    <w:rsid w:val="009D3C12"/>
    <w:rsid w:val="009D3F41"/>
    <w:rsid w:val="009D3F44"/>
    <w:rsid w:val="009D3FF8"/>
    <w:rsid w:val="009D40C6"/>
    <w:rsid w:val="009D4A4A"/>
    <w:rsid w:val="009D4C9A"/>
    <w:rsid w:val="009D50CC"/>
    <w:rsid w:val="009D51C9"/>
    <w:rsid w:val="009D5730"/>
    <w:rsid w:val="009D59E4"/>
    <w:rsid w:val="009D5D74"/>
    <w:rsid w:val="009D60BF"/>
    <w:rsid w:val="009D6513"/>
    <w:rsid w:val="009D656D"/>
    <w:rsid w:val="009D65BB"/>
    <w:rsid w:val="009D725A"/>
    <w:rsid w:val="009D739E"/>
    <w:rsid w:val="009D739F"/>
    <w:rsid w:val="009D745B"/>
    <w:rsid w:val="009D780F"/>
    <w:rsid w:val="009D7FEB"/>
    <w:rsid w:val="009E0018"/>
    <w:rsid w:val="009E0479"/>
    <w:rsid w:val="009E0BDE"/>
    <w:rsid w:val="009E11E9"/>
    <w:rsid w:val="009E18BF"/>
    <w:rsid w:val="009E2041"/>
    <w:rsid w:val="009E25CD"/>
    <w:rsid w:val="009E2957"/>
    <w:rsid w:val="009E3453"/>
    <w:rsid w:val="009E3912"/>
    <w:rsid w:val="009E4A5E"/>
    <w:rsid w:val="009E4B91"/>
    <w:rsid w:val="009E4D3D"/>
    <w:rsid w:val="009E4F6F"/>
    <w:rsid w:val="009E6058"/>
    <w:rsid w:val="009E6152"/>
    <w:rsid w:val="009E6379"/>
    <w:rsid w:val="009E6B17"/>
    <w:rsid w:val="009E70B4"/>
    <w:rsid w:val="009E738A"/>
    <w:rsid w:val="009E7448"/>
    <w:rsid w:val="009E76B1"/>
    <w:rsid w:val="009E79BE"/>
    <w:rsid w:val="009F02E8"/>
    <w:rsid w:val="009F0937"/>
    <w:rsid w:val="009F0BC8"/>
    <w:rsid w:val="009F0FE8"/>
    <w:rsid w:val="009F19F8"/>
    <w:rsid w:val="009F1EC4"/>
    <w:rsid w:val="009F2320"/>
    <w:rsid w:val="009F25CE"/>
    <w:rsid w:val="009F283E"/>
    <w:rsid w:val="009F2C4F"/>
    <w:rsid w:val="009F2F2F"/>
    <w:rsid w:val="009F401E"/>
    <w:rsid w:val="009F4CB6"/>
    <w:rsid w:val="009F510D"/>
    <w:rsid w:val="009F533C"/>
    <w:rsid w:val="009F536C"/>
    <w:rsid w:val="009F5A83"/>
    <w:rsid w:val="009F5C28"/>
    <w:rsid w:val="009F5C9B"/>
    <w:rsid w:val="009F6C1D"/>
    <w:rsid w:val="009F7AE7"/>
    <w:rsid w:val="009F7B33"/>
    <w:rsid w:val="009F7FC3"/>
    <w:rsid w:val="00A00574"/>
    <w:rsid w:val="00A00630"/>
    <w:rsid w:val="00A00E98"/>
    <w:rsid w:val="00A00F38"/>
    <w:rsid w:val="00A00F89"/>
    <w:rsid w:val="00A01910"/>
    <w:rsid w:val="00A01A91"/>
    <w:rsid w:val="00A0236D"/>
    <w:rsid w:val="00A024A7"/>
    <w:rsid w:val="00A028F6"/>
    <w:rsid w:val="00A029D9"/>
    <w:rsid w:val="00A02D0C"/>
    <w:rsid w:val="00A02D24"/>
    <w:rsid w:val="00A032CA"/>
    <w:rsid w:val="00A0383B"/>
    <w:rsid w:val="00A03896"/>
    <w:rsid w:val="00A03ADA"/>
    <w:rsid w:val="00A03E48"/>
    <w:rsid w:val="00A03E90"/>
    <w:rsid w:val="00A03FC3"/>
    <w:rsid w:val="00A041D8"/>
    <w:rsid w:val="00A04AF0"/>
    <w:rsid w:val="00A04D04"/>
    <w:rsid w:val="00A04D73"/>
    <w:rsid w:val="00A05124"/>
    <w:rsid w:val="00A051DE"/>
    <w:rsid w:val="00A05A1F"/>
    <w:rsid w:val="00A05D09"/>
    <w:rsid w:val="00A0678E"/>
    <w:rsid w:val="00A06C27"/>
    <w:rsid w:val="00A06EB6"/>
    <w:rsid w:val="00A06F0D"/>
    <w:rsid w:val="00A07A6E"/>
    <w:rsid w:val="00A105FE"/>
    <w:rsid w:val="00A10C77"/>
    <w:rsid w:val="00A11192"/>
    <w:rsid w:val="00A11805"/>
    <w:rsid w:val="00A119FA"/>
    <w:rsid w:val="00A11A18"/>
    <w:rsid w:val="00A11FB0"/>
    <w:rsid w:val="00A126DA"/>
    <w:rsid w:val="00A128C1"/>
    <w:rsid w:val="00A128F3"/>
    <w:rsid w:val="00A13511"/>
    <w:rsid w:val="00A13C07"/>
    <w:rsid w:val="00A14FAE"/>
    <w:rsid w:val="00A1508A"/>
    <w:rsid w:val="00A15F1E"/>
    <w:rsid w:val="00A1620F"/>
    <w:rsid w:val="00A1664E"/>
    <w:rsid w:val="00A1678B"/>
    <w:rsid w:val="00A16A0F"/>
    <w:rsid w:val="00A16C60"/>
    <w:rsid w:val="00A17313"/>
    <w:rsid w:val="00A1768A"/>
    <w:rsid w:val="00A1770F"/>
    <w:rsid w:val="00A2020C"/>
    <w:rsid w:val="00A20A54"/>
    <w:rsid w:val="00A2112E"/>
    <w:rsid w:val="00A21499"/>
    <w:rsid w:val="00A21698"/>
    <w:rsid w:val="00A21B5E"/>
    <w:rsid w:val="00A21D9F"/>
    <w:rsid w:val="00A21F5C"/>
    <w:rsid w:val="00A22025"/>
    <w:rsid w:val="00A22433"/>
    <w:rsid w:val="00A22A71"/>
    <w:rsid w:val="00A22E3F"/>
    <w:rsid w:val="00A23099"/>
    <w:rsid w:val="00A234E7"/>
    <w:rsid w:val="00A23A2D"/>
    <w:rsid w:val="00A23BE8"/>
    <w:rsid w:val="00A24898"/>
    <w:rsid w:val="00A24DED"/>
    <w:rsid w:val="00A24FFA"/>
    <w:rsid w:val="00A251C2"/>
    <w:rsid w:val="00A25CFB"/>
    <w:rsid w:val="00A25FAD"/>
    <w:rsid w:val="00A26247"/>
    <w:rsid w:val="00A26819"/>
    <w:rsid w:val="00A26843"/>
    <w:rsid w:val="00A27434"/>
    <w:rsid w:val="00A276D9"/>
    <w:rsid w:val="00A277EF"/>
    <w:rsid w:val="00A3023C"/>
    <w:rsid w:val="00A3088A"/>
    <w:rsid w:val="00A30AAF"/>
    <w:rsid w:val="00A30D03"/>
    <w:rsid w:val="00A30EEF"/>
    <w:rsid w:val="00A312C4"/>
    <w:rsid w:val="00A312D8"/>
    <w:rsid w:val="00A31659"/>
    <w:rsid w:val="00A31B8D"/>
    <w:rsid w:val="00A31BF2"/>
    <w:rsid w:val="00A32149"/>
    <w:rsid w:val="00A32794"/>
    <w:rsid w:val="00A358F4"/>
    <w:rsid w:val="00A37828"/>
    <w:rsid w:val="00A37C27"/>
    <w:rsid w:val="00A37CA2"/>
    <w:rsid w:val="00A4005F"/>
    <w:rsid w:val="00A40207"/>
    <w:rsid w:val="00A40448"/>
    <w:rsid w:val="00A40893"/>
    <w:rsid w:val="00A408D6"/>
    <w:rsid w:val="00A40A21"/>
    <w:rsid w:val="00A4286C"/>
    <w:rsid w:val="00A42A96"/>
    <w:rsid w:val="00A42E28"/>
    <w:rsid w:val="00A43313"/>
    <w:rsid w:val="00A43920"/>
    <w:rsid w:val="00A439D8"/>
    <w:rsid w:val="00A439E3"/>
    <w:rsid w:val="00A43AF4"/>
    <w:rsid w:val="00A43C1C"/>
    <w:rsid w:val="00A44B6C"/>
    <w:rsid w:val="00A44C75"/>
    <w:rsid w:val="00A44E73"/>
    <w:rsid w:val="00A452BD"/>
    <w:rsid w:val="00A452CC"/>
    <w:rsid w:val="00A45AEA"/>
    <w:rsid w:val="00A45C1B"/>
    <w:rsid w:val="00A45FE0"/>
    <w:rsid w:val="00A4708A"/>
    <w:rsid w:val="00A501CF"/>
    <w:rsid w:val="00A5061F"/>
    <w:rsid w:val="00A50830"/>
    <w:rsid w:val="00A50DEF"/>
    <w:rsid w:val="00A5107E"/>
    <w:rsid w:val="00A514B2"/>
    <w:rsid w:val="00A51BB6"/>
    <w:rsid w:val="00A51D4A"/>
    <w:rsid w:val="00A52C79"/>
    <w:rsid w:val="00A52CDA"/>
    <w:rsid w:val="00A52D4F"/>
    <w:rsid w:val="00A53608"/>
    <w:rsid w:val="00A53A8F"/>
    <w:rsid w:val="00A53B58"/>
    <w:rsid w:val="00A54096"/>
    <w:rsid w:val="00A544CF"/>
    <w:rsid w:val="00A54D99"/>
    <w:rsid w:val="00A55048"/>
    <w:rsid w:val="00A55072"/>
    <w:rsid w:val="00A5543A"/>
    <w:rsid w:val="00A55907"/>
    <w:rsid w:val="00A55F26"/>
    <w:rsid w:val="00A5667B"/>
    <w:rsid w:val="00A56927"/>
    <w:rsid w:val="00A56AD0"/>
    <w:rsid w:val="00A56DDD"/>
    <w:rsid w:val="00A57545"/>
    <w:rsid w:val="00A57909"/>
    <w:rsid w:val="00A57A09"/>
    <w:rsid w:val="00A60146"/>
    <w:rsid w:val="00A603CE"/>
    <w:rsid w:val="00A60D03"/>
    <w:rsid w:val="00A60EEC"/>
    <w:rsid w:val="00A612D1"/>
    <w:rsid w:val="00A61386"/>
    <w:rsid w:val="00A61872"/>
    <w:rsid w:val="00A61DDF"/>
    <w:rsid w:val="00A620E5"/>
    <w:rsid w:val="00A624EA"/>
    <w:rsid w:val="00A62C7E"/>
    <w:rsid w:val="00A6305E"/>
    <w:rsid w:val="00A634D1"/>
    <w:rsid w:val="00A636BD"/>
    <w:rsid w:val="00A63826"/>
    <w:rsid w:val="00A63DC2"/>
    <w:rsid w:val="00A6466F"/>
    <w:rsid w:val="00A64BB4"/>
    <w:rsid w:val="00A64DCF"/>
    <w:rsid w:val="00A64EE3"/>
    <w:rsid w:val="00A657F3"/>
    <w:rsid w:val="00A6617F"/>
    <w:rsid w:val="00A666A7"/>
    <w:rsid w:val="00A66706"/>
    <w:rsid w:val="00A6717E"/>
    <w:rsid w:val="00A678D8"/>
    <w:rsid w:val="00A67D05"/>
    <w:rsid w:val="00A70527"/>
    <w:rsid w:val="00A72006"/>
    <w:rsid w:val="00A7205D"/>
    <w:rsid w:val="00A72168"/>
    <w:rsid w:val="00A726FA"/>
    <w:rsid w:val="00A7274C"/>
    <w:rsid w:val="00A72923"/>
    <w:rsid w:val="00A729E4"/>
    <w:rsid w:val="00A72ABF"/>
    <w:rsid w:val="00A73955"/>
    <w:rsid w:val="00A73AB5"/>
    <w:rsid w:val="00A73B15"/>
    <w:rsid w:val="00A73D83"/>
    <w:rsid w:val="00A7452E"/>
    <w:rsid w:val="00A74B2C"/>
    <w:rsid w:val="00A74C4F"/>
    <w:rsid w:val="00A7618A"/>
    <w:rsid w:val="00A76586"/>
    <w:rsid w:val="00A769BA"/>
    <w:rsid w:val="00A76C12"/>
    <w:rsid w:val="00A76FB6"/>
    <w:rsid w:val="00A77523"/>
    <w:rsid w:val="00A77862"/>
    <w:rsid w:val="00A77946"/>
    <w:rsid w:val="00A779B9"/>
    <w:rsid w:val="00A807ED"/>
    <w:rsid w:val="00A81E42"/>
    <w:rsid w:val="00A81F60"/>
    <w:rsid w:val="00A82420"/>
    <w:rsid w:val="00A82695"/>
    <w:rsid w:val="00A82AC0"/>
    <w:rsid w:val="00A83310"/>
    <w:rsid w:val="00A83655"/>
    <w:rsid w:val="00A836A6"/>
    <w:rsid w:val="00A838BC"/>
    <w:rsid w:val="00A838E4"/>
    <w:rsid w:val="00A83A63"/>
    <w:rsid w:val="00A83CFA"/>
    <w:rsid w:val="00A83D93"/>
    <w:rsid w:val="00A8406F"/>
    <w:rsid w:val="00A8411E"/>
    <w:rsid w:val="00A845ED"/>
    <w:rsid w:val="00A84684"/>
    <w:rsid w:val="00A84820"/>
    <w:rsid w:val="00A85179"/>
    <w:rsid w:val="00A85CC7"/>
    <w:rsid w:val="00A86256"/>
    <w:rsid w:val="00A862C9"/>
    <w:rsid w:val="00A87634"/>
    <w:rsid w:val="00A8787E"/>
    <w:rsid w:val="00A878A2"/>
    <w:rsid w:val="00A87E2B"/>
    <w:rsid w:val="00A90183"/>
    <w:rsid w:val="00A904C2"/>
    <w:rsid w:val="00A90AAB"/>
    <w:rsid w:val="00A9129F"/>
    <w:rsid w:val="00A91460"/>
    <w:rsid w:val="00A916DC"/>
    <w:rsid w:val="00A91CE9"/>
    <w:rsid w:val="00A91E6F"/>
    <w:rsid w:val="00A925E1"/>
    <w:rsid w:val="00A9262A"/>
    <w:rsid w:val="00A929A3"/>
    <w:rsid w:val="00A92B99"/>
    <w:rsid w:val="00A9329C"/>
    <w:rsid w:val="00A932DE"/>
    <w:rsid w:val="00A932DF"/>
    <w:rsid w:val="00A9349C"/>
    <w:rsid w:val="00A935FA"/>
    <w:rsid w:val="00A93CCF"/>
    <w:rsid w:val="00A94681"/>
    <w:rsid w:val="00A94985"/>
    <w:rsid w:val="00A94CC0"/>
    <w:rsid w:val="00A94FA4"/>
    <w:rsid w:val="00A9507C"/>
    <w:rsid w:val="00A958DE"/>
    <w:rsid w:val="00A9592B"/>
    <w:rsid w:val="00A95B0A"/>
    <w:rsid w:val="00A95E1C"/>
    <w:rsid w:val="00A9667F"/>
    <w:rsid w:val="00A9683A"/>
    <w:rsid w:val="00A975AE"/>
    <w:rsid w:val="00A97742"/>
    <w:rsid w:val="00A97B7E"/>
    <w:rsid w:val="00A97EC0"/>
    <w:rsid w:val="00AA022E"/>
    <w:rsid w:val="00AA03B7"/>
    <w:rsid w:val="00AA041C"/>
    <w:rsid w:val="00AA17E7"/>
    <w:rsid w:val="00AA1D58"/>
    <w:rsid w:val="00AA1EB5"/>
    <w:rsid w:val="00AA26F2"/>
    <w:rsid w:val="00AA2C71"/>
    <w:rsid w:val="00AA2F8D"/>
    <w:rsid w:val="00AA35EB"/>
    <w:rsid w:val="00AA378E"/>
    <w:rsid w:val="00AA3E3D"/>
    <w:rsid w:val="00AA45BF"/>
    <w:rsid w:val="00AA48B9"/>
    <w:rsid w:val="00AA5556"/>
    <w:rsid w:val="00AA66AB"/>
    <w:rsid w:val="00AA7352"/>
    <w:rsid w:val="00AA7B59"/>
    <w:rsid w:val="00AA7C31"/>
    <w:rsid w:val="00AA7C40"/>
    <w:rsid w:val="00AA7C44"/>
    <w:rsid w:val="00AA7DCF"/>
    <w:rsid w:val="00AA7DDB"/>
    <w:rsid w:val="00AA7E72"/>
    <w:rsid w:val="00AB0245"/>
    <w:rsid w:val="00AB038F"/>
    <w:rsid w:val="00AB07A7"/>
    <w:rsid w:val="00AB11C0"/>
    <w:rsid w:val="00AB1502"/>
    <w:rsid w:val="00AB1719"/>
    <w:rsid w:val="00AB1CB6"/>
    <w:rsid w:val="00AB210B"/>
    <w:rsid w:val="00AB26B3"/>
    <w:rsid w:val="00AB291A"/>
    <w:rsid w:val="00AB2FF3"/>
    <w:rsid w:val="00AB3831"/>
    <w:rsid w:val="00AB396A"/>
    <w:rsid w:val="00AB3D13"/>
    <w:rsid w:val="00AB432E"/>
    <w:rsid w:val="00AB4407"/>
    <w:rsid w:val="00AB57F1"/>
    <w:rsid w:val="00AB5A99"/>
    <w:rsid w:val="00AB5F0C"/>
    <w:rsid w:val="00AB6934"/>
    <w:rsid w:val="00AB6C83"/>
    <w:rsid w:val="00AB6EC4"/>
    <w:rsid w:val="00AB76F9"/>
    <w:rsid w:val="00AC1120"/>
    <w:rsid w:val="00AC1409"/>
    <w:rsid w:val="00AC163C"/>
    <w:rsid w:val="00AC1B3F"/>
    <w:rsid w:val="00AC1EEA"/>
    <w:rsid w:val="00AC2490"/>
    <w:rsid w:val="00AC2D2E"/>
    <w:rsid w:val="00AC2F28"/>
    <w:rsid w:val="00AC2FA7"/>
    <w:rsid w:val="00AC392F"/>
    <w:rsid w:val="00AC3EA0"/>
    <w:rsid w:val="00AC3FB0"/>
    <w:rsid w:val="00AC419D"/>
    <w:rsid w:val="00AC423B"/>
    <w:rsid w:val="00AC4581"/>
    <w:rsid w:val="00AC4FC6"/>
    <w:rsid w:val="00AC531F"/>
    <w:rsid w:val="00AC54A6"/>
    <w:rsid w:val="00AC5E3A"/>
    <w:rsid w:val="00AC6971"/>
    <w:rsid w:val="00AC720A"/>
    <w:rsid w:val="00AC7922"/>
    <w:rsid w:val="00AC7A04"/>
    <w:rsid w:val="00AC7ED3"/>
    <w:rsid w:val="00AD0AC1"/>
    <w:rsid w:val="00AD11F1"/>
    <w:rsid w:val="00AD195C"/>
    <w:rsid w:val="00AD2133"/>
    <w:rsid w:val="00AD24EF"/>
    <w:rsid w:val="00AD3036"/>
    <w:rsid w:val="00AD3599"/>
    <w:rsid w:val="00AD3681"/>
    <w:rsid w:val="00AD38BD"/>
    <w:rsid w:val="00AD4A0F"/>
    <w:rsid w:val="00AD4FF8"/>
    <w:rsid w:val="00AD5078"/>
    <w:rsid w:val="00AD5AC0"/>
    <w:rsid w:val="00AD5CEF"/>
    <w:rsid w:val="00AD601B"/>
    <w:rsid w:val="00AD6078"/>
    <w:rsid w:val="00AD6224"/>
    <w:rsid w:val="00AD627A"/>
    <w:rsid w:val="00AD6544"/>
    <w:rsid w:val="00AD7845"/>
    <w:rsid w:val="00AE0193"/>
    <w:rsid w:val="00AE0921"/>
    <w:rsid w:val="00AE1D37"/>
    <w:rsid w:val="00AE2160"/>
    <w:rsid w:val="00AE21FC"/>
    <w:rsid w:val="00AE2A1A"/>
    <w:rsid w:val="00AE2AEE"/>
    <w:rsid w:val="00AE2E24"/>
    <w:rsid w:val="00AE2E5A"/>
    <w:rsid w:val="00AE30F5"/>
    <w:rsid w:val="00AE3389"/>
    <w:rsid w:val="00AE4236"/>
    <w:rsid w:val="00AE4BF3"/>
    <w:rsid w:val="00AE4C84"/>
    <w:rsid w:val="00AE4D39"/>
    <w:rsid w:val="00AE55D7"/>
    <w:rsid w:val="00AE59D6"/>
    <w:rsid w:val="00AE59DD"/>
    <w:rsid w:val="00AE5E15"/>
    <w:rsid w:val="00AE60E6"/>
    <w:rsid w:val="00AE617F"/>
    <w:rsid w:val="00AE64EF"/>
    <w:rsid w:val="00AE658A"/>
    <w:rsid w:val="00AE6B71"/>
    <w:rsid w:val="00AE6E69"/>
    <w:rsid w:val="00AE7894"/>
    <w:rsid w:val="00AE7B94"/>
    <w:rsid w:val="00AE7DA5"/>
    <w:rsid w:val="00AE7F68"/>
    <w:rsid w:val="00AF0E7E"/>
    <w:rsid w:val="00AF192A"/>
    <w:rsid w:val="00AF1D43"/>
    <w:rsid w:val="00AF1FC6"/>
    <w:rsid w:val="00AF24A9"/>
    <w:rsid w:val="00AF25A8"/>
    <w:rsid w:val="00AF2906"/>
    <w:rsid w:val="00AF34F9"/>
    <w:rsid w:val="00AF3906"/>
    <w:rsid w:val="00AF3D26"/>
    <w:rsid w:val="00AF3EF6"/>
    <w:rsid w:val="00AF4926"/>
    <w:rsid w:val="00AF4BE9"/>
    <w:rsid w:val="00AF4F40"/>
    <w:rsid w:val="00AF52D7"/>
    <w:rsid w:val="00AF619F"/>
    <w:rsid w:val="00AF623D"/>
    <w:rsid w:val="00AF64B8"/>
    <w:rsid w:val="00AF64D3"/>
    <w:rsid w:val="00AF69A0"/>
    <w:rsid w:val="00AF7523"/>
    <w:rsid w:val="00B0008D"/>
    <w:rsid w:val="00B00C0E"/>
    <w:rsid w:val="00B00FF1"/>
    <w:rsid w:val="00B0104F"/>
    <w:rsid w:val="00B01170"/>
    <w:rsid w:val="00B013A1"/>
    <w:rsid w:val="00B0143C"/>
    <w:rsid w:val="00B01A7F"/>
    <w:rsid w:val="00B01B61"/>
    <w:rsid w:val="00B0257D"/>
    <w:rsid w:val="00B02C03"/>
    <w:rsid w:val="00B03FE9"/>
    <w:rsid w:val="00B04976"/>
    <w:rsid w:val="00B05C35"/>
    <w:rsid w:val="00B05E6D"/>
    <w:rsid w:val="00B05FCD"/>
    <w:rsid w:val="00B066CD"/>
    <w:rsid w:val="00B068D7"/>
    <w:rsid w:val="00B07D02"/>
    <w:rsid w:val="00B107AC"/>
    <w:rsid w:val="00B111A7"/>
    <w:rsid w:val="00B1124C"/>
    <w:rsid w:val="00B11609"/>
    <w:rsid w:val="00B118D9"/>
    <w:rsid w:val="00B11BF5"/>
    <w:rsid w:val="00B1203C"/>
    <w:rsid w:val="00B12719"/>
    <w:rsid w:val="00B129F2"/>
    <w:rsid w:val="00B12F21"/>
    <w:rsid w:val="00B13205"/>
    <w:rsid w:val="00B13BEA"/>
    <w:rsid w:val="00B14352"/>
    <w:rsid w:val="00B14D3A"/>
    <w:rsid w:val="00B14D96"/>
    <w:rsid w:val="00B14DC5"/>
    <w:rsid w:val="00B14EBC"/>
    <w:rsid w:val="00B15460"/>
    <w:rsid w:val="00B15988"/>
    <w:rsid w:val="00B15B4B"/>
    <w:rsid w:val="00B15D4D"/>
    <w:rsid w:val="00B167DC"/>
    <w:rsid w:val="00B16E43"/>
    <w:rsid w:val="00B17579"/>
    <w:rsid w:val="00B17FAB"/>
    <w:rsid w:val="00B20BED"/>
    <w:rsid w:val="00B21F4C"/>
    <w:rsid w:val="00B22265"/>
    <w:rsid w:val="00B223EC"/>
    <w:rsid w:val="00B2354B"/>
    <w:rsid w:val="00B23A30"/>
    <w:rsid w:val="00B249E7"/>
    <w:rsid w:val="00B24BC9"/>
    <w:rsid w:val="00B24F25"/>
    <w:rsid w:val="00B251E0"/>
    <w:rsid w:val="00B251FD"/>
    <w:rsid w:val="00B25208"/>
    <w:rsid w:val="00B2611E"/>
    <w:rsid w:val="00B2655F"/>
    <w:rsid w:val="00B268D3"/>
    <w:rsid w:val="00B27391"/>
    <w:rsid w:val="00B277D0"/>
    <w:rsid w:val="00B27C4A"/>
    <w:rsid w:val="00B310C1"/>
    <w:rsid w:val="00B311F7"/>
    <w:rsid w:val="00B317B9"/>
    <w:rsid w:val="00B31CAB"/>
    <w:rsid w:val="00B32C32"/>
    <w:rsid w:val="00B334AF"/>
    <w:rsid w:val="00B33617"/>
    <w:rsid w:val="00B3367D"/>
    <w:rsid w:val="00B339EC"/>
    <w:rsid w:val="00B343FB"/>
    <w:rsid w:val="00B357E6"/>
    <w:rsid w:val="00B35AD3"/>
    <w:rsid w:val="00B35B9C"/>
    <w:rsid w:val="00B36B94"/>
    <w:rsid w:val="00B3774A"/>
    <w:rsid w:val="00B37B39"/>
    <w:rsid w:val="00B37F37"/>
    <w:rsid w:val="00B40BA9"/>
    <w:rsid w:val="00B4126D"/>
    <w:rsid w:val="00B4187F"/>
    <w:rsid w:val="00B419F1"/>
    <w:rsid w:val="00B41CED"/>
    <w:rsid w:val="00B4215D"/>
    <w:rsid w:val="00B4260D"/>
    <w:rsid w:val="00B42768"/>
    <w:rsid w:val="00B42942"/>
    <w:rsid w:val="00B42E4C"/>
    <w:rsid w:val="00B43015"/>
    <w:rsid w:val="00B43987"/>
    <w:rsid w:val="00B43A08"/>
    <w:rsid w:val="00B451EE"/>
    <w:rsid w:val="00B4544C"/>
    <w:rsid w:val="00B456AD"/>
    <w:rsid w:val="00B45739"/>
    <w:rsid w:val="00B45A93"/>
    <w:rsid w:val="00B45D6A"/>
    <w:rsid w:val="00B45D9E"/>
    <w:rsid w:val="00B463F0"/>
    <w:rsid w:val="00B46869"/>
    <w:rsid w:val="00B46993"/>
    <w:rsid w:val="00B46A8D"/>
    <w:rsid w:val="00B47114"/>
    <w:rsid w:val="00B4711C"/>
    <w:rsid w:val="00B47194"/>
    <w:rsid w:val="00B478E0"/>
    <w:rsid w:val="00B47B00"/>
    <w:rsid w:val="00B50010"/>
    <w:rsid w:val="00B50CAA"/>
    <w:rsid w:val="00B50FAA"/>
    <w:rsid w:val="00B51007"/>
    <w:rsid w:val="00B516DC"/>
    <w:rsid w:val="00B52733"/>
    <w:rsid w:val="00B534D4"/>
    <w:rsid w:val="00B5350B"/>
    <w:rsid w:val="00B53BFF"/>
    <w:rsid w:val="00B53EC0"/>
    <w:rsid w:val="00B53F87"/>
    <w:rsid w:val="00B54466"/>
    <w:rsid w:val="00B5496E"/>
    <w:rsid w:val="00B54ED2"/>
    <w:rsid w:val="00B5526D"/>
    <w:rsid w:val="00B55EA6"/>
    <w:rsid w:val="00B56326"/>
    <w:rsid w:val="00B563F5"/>
    <w:rsid w:val="00B56E31"/>
    <w:rsid w:val="00B575FC"/>
    <w:rsid w:val="00B57995"/>
    <w:rsid w:val="00B57C54"/>
    <w:rsid w:val="00B606A8"/>
    <w:rsid w:val="00B6148C"/>
    <w:rsid w:val="00B61827"/>
    <w:rsid w:val="00B6239E"/>
    <w:rsid w:val="00B62E29"/>
    <w:rsid w:val="00B632E5"/>
    <w:rsid w:val="00B6364E"/>
    <w:rsid w:val="00B642F3"/>
    <w:rsid w:val="00B64453"/>
    <w:rsid w:val="00B64A9A"/>
    <w:rsid w:val="00B64DB1"/>
    <w:rsid w:val="00B650F3"/>
    <w:rsid w:val="00B656A5"/>
    <w:rsid w:val="00B661CB"/>
    <w:rsid w:val="00B668C8"/>
    <w:rsid w:val="00B66DC0"/>
    <w:rsid w:val="00B671D5"/>
    <w:rsid w:val="00B676BA"/>
    <w:rsid w:val="00B6792E"/>
    <w:rsid w:val="00B67B65"/>
    <w:rsid w:val="00B70893"/>
    <w:rsid w:val="00B70B5A"/>
    <w:rsid w:val="00B70E77"/>
    <w:rsid w:val="00B71213"/>
    <w:rsid w:val="00B715BB"/>
    <w:rsid w:val="00B71751"/>
    <w:rsid w:val="00B71773"/>
    <w:rsid w:val="00B71E39"/>
    <w:rsid w:val="00B725E0"/>
    <w:rsid w:val="00B727A5"/>
    <w:rsid w:val="00B7376D"/>
    <w:rsid w:val="00B73B26"/>
    <w:rsid w:val="00B73DFF"/>
    <w:rsid w:val="00B74868"/>
    <w:rsid w:val="00B758C4"/>
    <w:rsid w:val="00B76CE6"/>
    <w:rsid w:val="00B7707B"/>
    <w:rsid w:val="00B77644"/>
    <w:rsid w:val="00B77AB3"/>
    <w:rsid w:val="00B8036E"/>
    <w:rsid w:val="00B80415"/>
    <w:rsid w:val="00B8068F"/>
    <w:rsid w:val="00B80A1A"/>
    <w:rsid w:val="00B80AC9"/>
    <w:rsid w:val="00B80C15"/>
    <w:rsid w:val="00B8231C"/>
    <w:rsid w:val="00B833C9"/>
    <w:rsid w:val="00B83E0B"/>
    <w:rsid w:val="00B83EA9"/>
    <w:rsid w:val="00B840A9"/>
    <w:rsid w:val="00B84859"/>
    <w:rsid w:val="00B84C52"/>
    <w:rsid w:val="00B8553F"/>
    <w:rsid w:val="00B856E7"/>
    <w:rsid w:val="00B858CE"/>
    <w:rsid w:val="00B8621C"/>
    <w:rsid w:val="00B8622C"/>
    <w:rsid w:val="00B8660B"/>
    <w:rsid w:val="00B86801"/>
    <w:rsid w:val="00B86A0B"/>
    <w:rsid w:val="00B86F00"/>
    <w:rsid w:val="00B87091"/>
    <w:rsid w:val="00B87220"/>
    <w:rsid w:val="00B9010B"/>
    <w:rsid w:val="00B9034A"/>
    <w:rsid w:val="00B9053D"/>
    <w:rsid w:val="00B905AC"/>
    <w:rsid w:val="00B9080A"/>
    <w:rsid w:val="00B91172"/>
    <w:rsid w:val="00B916B9"/>
    <w:rsid w:val="00B91AE5"/>
    <w:rsid w:val="00B91DD2"/>
    <w:rsid w:val="00B924F7"/>
    <w:rsid w:val="00B92835"/>
    <w:rsid w:val="00B92D46"/>
    <w:rsid w:val="00B931F8"/>
    <w:rsid w:val="00B93765"/>
    <w:rsid w:val="00B937AB"/>
    <w:rsid w:val="00B938A7"/>
    <w:rsid w:val="00B93938"/>
    <w:rsid w:val="00B94A9F"/>
    <w:rsid w:val="00B94B8A"/>
    <w:rsid w:val="00B956E0"/>
    <w:rsid w:val="00B95B1F"/>
    <w:rsid w:val="00B95DED"/>
    <w:rsid w:val="00B962DA"/>
    <w:rsid w:val="00B96785"/>
    <w:rsid w:val="00B9685E"/>
    <w:rsid w:val="00B968FD"/>
    <w:rsid w:val="00B97ECB"/>
    <w:rsid w:val="00B97F0E"/>
    <w:rsid w:val="00BA08D8"/>
    <w:rsid w:val="00BA0C03"/>
    <w:rsid w:val="00BA0F56"/>
    <w:rsid w:val="00BA103A"/>
    <w:rsid w:val="00BA1524"/>
    <w:rsid w:val="00BA1582"/>
    <w:rsid w:val="00BA1676"/>
    <w:rsid w:val="00BA1E1B"/>
    <w:rsid w:val="00BA2376"/>
    <w:rsid w:val="00BA2516"/>
    <w:rsid w:val="00BA2767"/>
    <w:rsid w:val="00BA28B5"/>
    <w:rsid w:val="00BA2BB9"/>
    <w:rsid w:val="00BA2C7C"/>
    <w:rsid w:val="00BA2FF7"/>
    <w:rsid w:val="00BA3696"/>
    <w:rsid w:val="00BA395D"/>
    <w:rsid w:val="00BA4428"/>
    <w:rsid w:val="00BA45FB"/>
    <w:rsid w:val="00BA4DF9"/>
    <w:rsid w:val="00BA4E09"/>
    <w:rsid w:val="00BA5428"/>
    <w:rsid w:val="00BA5A46"/>
    <w:rsid w:val="00BA5CA2"/>
    <w:rsid w:val="00BA6035"/>
    <w:rsid w:val="00BA61D9"/>
    <w:rsid w:val="00BA6797"/>
    <w:rsid w:val="00BA7EAA"/>
    <w:rsid w:val="00BB032A"/>
    <w:rsid w:val="00BB0668"/>
    <w:rsid w:val="00BB0BCA"/>
    <w:rsid w:val="00BB1323"/>
    <w:rsid w:val="00BB1A8A"/>
    <w:rsid w:val="00BB1DD4"/>
    <w:rsid w:val="00BB1FC7"/>
    <w:rsid w:val="00BB21D7"/>
    <w:rsid w:val="00BB2B22"/>
    <w:rsid w:val="00BB32DE"/>
    <w:rsid w:val="00BB34AA"/>
    <w:rsid w:val="00BB38E1"/>
    <w:rsid w:val="00BB413B"/>
    <w:rsid w:val="00BB41A5"/>
    <w:rsid w:val="00BB4286"/>
    <w:rsid w:val="00BB4596"/>
    <w:rsid w:val="00BB4A6E"/>
    <w:rsid w:val="00BB4B9A"/>
    <w:rsid w:val="00BB50FB"/>
    <w:rsid w:val="00BB592F"/>
    <w:rsid w:val="00BB5B22"/>
    <w:rsid w:val="00BB6824"/>
    <w:rsid w:val="00BB69DC"/>
    <w:rsid w:val="00BB7863"/>
    <w:rsid w:val="00BB7A01"/>
    <w:rsid w:val="00BC0509"/>
    <w:rsid w:val="00BC099C"/>
    <w:rsid w:val="00BC17A5"/>
    <w:rsid w:val="00BC19F0"/>
    <w:rsid w:val="00BC1F4E"/>
    <w:rsid w:val="00BC2194"/>
    <w:rsid w:val="00BC2E73"/>
    <w:rsid w:val="00BC3ACB"/>
    <w:rsid w:val="00BC4307"/>
    <w:rsid w:val="00BC4ADC"/>
    <w:rsid w:val="00BC4B4B"/>
    <w:rsid w:val="00BC4ED4"/>
    <w:rsid w:val="00BC5053"/>
    <w:rsid w:val="00BC6288"/>
    <w:rsid w:val="00BC6806"/>
    <w:rsid w:val="00BC6963"/>
    <w:rsid w:val="00BC7016"/>
    <w:rsid w:val="00BC75C4"/>
    <w:rsid w:val="00BC7716"/>
    <w:rsid w:val="00BD044F"/>
    <w:rsid w:val="00BD0684"/>
    <w:rsid w:val="00BD125B"/>
    <w:rsid w:val="00BD13C9"/>
    <w:rsid w:val="00BD1453"/>
    <w:rsid w:val="00BD1A3F"/>
    <w:rsid w:val="00BD1DFE"/>
    <w:rsid w:val="00BD2EE0"/>
    <w:rsid w:val="00BD3EF3"/>
    <w:rsid w:val="00BD4F50"/>
    <w:rsid w:val="00BD5164"/>
    <w:rsid w:val="00BD598D"/>
    <w:rsid w:val="00BD5C30"/>
    <w:rsid w:val="00BD5C7F"/>
    <w:rsid w:val="00BD5C90"/>
    <w:rsid w:val="00BD6057"/>
    <w:rsid w:val="00BD61B3"/>
    <w:rsid w:val="00BD6456"/>
    <w:rsid w:val="00BD67CA"/>
    <w:rsid w:val="00BD790F"/>
    <w:rsid w:val="00BD7ACF"/>
    <w:rsid w:val="00BD7BC6"/>
    <w:rsid w:val="00BD7EA3"/>
    <w:rsid w:val="00BE02B6"/>
    <w:rsid w:val="00BE0C4B"/>
    <w:rsid w:val="00BE0E7D"/>
    <w:rsid w:val="00BE1155"/>
    <w:rsid w:val="00BE17CC"/>
    <w:rsid w:val="00BE1BA6"/>
    <w:rsid w:val="00BE1D60"/>
    <w:rsid w:val="00BE1FB2"/>
    <w:rsid w:val="00BE21BF"/>
    <w:rsid w:val="00BE2BD0"/>
    <w:rsid w:val="00BE3033"/>
    <w:rsid w:val="00BE34C5"/>
    <w:rsid w:val="00BE35F0"/>
    <w:rsid w:val="00BE3B71"/>
    <w:rsid w:val="00BE44F1"/>
    <w:rsid w:val="00BE590D"/>
    <w:rsid w:val="00BE5C08"/>
    <w:rsid w:val="00BE6C38"/>
    <w:rsid w:val="00BE6E4D"/>
    <w:rsid w:val="00BE708A"/>
    <w:rsid w:val="00BE7283"/>
    <w:rsid w:val="00BF04D2"/>
    <w:rsid w:val="00BF0D51"/>
    <w:rsid w:val="00BF12FD"/>
    <w:rsid w:val="00BF1B5E"/>
    <w:rsid w:val="00BF1EBF"/>
    <w:rsid w:val="00BF2054"/>
    <w:rsid w:val="00BF22D7"/>
    <w:rsid w:val="00BF26D1"/>
    <w:rsid w:val="00BF2BF3"/>
    <w:rsid w:val="00BF3040"/>
    <w:rsid w:val="00BF3505"/>
    <w:rsid w:val="00BF3721"/>
    <w:rsid w:val="00BF403B"/>
    <w:rsid w:val="00BF442C"/>
    <w:rsid w:val="00BF477C"/>
    <w:rsid w:val="00BF47A2"/>
    <w:rsid w:val="00BF4F29"/>
    <w:rsid w:val="00BF5879"/>
    <w:rsid w:val="00BF5AD8"/>
    <w:rsid w:val="00BF5AFC"/>
    <w:rsid w:val="00BF5B72"/>
    <w:rsid w:val="00BF624B"/>
    <w:rsid w:val="00BF667E"/>
    <w:rsid w:val="00BF6AD2"/>
    <w:rsid w:val="00BF6E58"/>
    <w:rsid w:val="00BF7B4F"/>
    <w:rsid w:val="00C0076D"/>
    <w:rsid w:val="00C008AF"/>
    <w:rsid w:val="00C0113B"/>
    <w:rsid w:val="00C0182F"/>
    <w:rsid w:val="00C01EF5"/>
    <w:rsid w:val="00C02EC9"/>
    <w:rsid w:val="00C034AD"/>
    <w:rsid w:val="00C0370F"/>
    <w:rsid w:val="00C03ACA"/>
    <w:rsid w:val="00C03B67"/>
    <w:rsid w:val="00C03F97"/>
    <w:rsid w:val="00C04004"/>
    <w:rsid w:val="00C040D5"/>
    <w:rsid w:val="00C04219"/>
    <w:rsid w:val="00C043D0"/>
    <w:rsid w:val="00C04F79"/>
    <w:rsid w:val="00C0602B"/>
    <w:rsid w:val="00C062C7"/>
    <w:rsid w:val="00C074BC"/>
    <w:rsid w:val="00C07727"/>
    <w:rsid w:val="00C078F4"/>
    <w:rsid w:val="00C1001F"/>
    <w:rsid w:val="00C10078"/>
    <w:rsid w:val="00C1024D"/>
    <w:rsid w:val="00C10F9A"/>
    <w:rsid w:val="00C110ED"/>
    <w:rsid w:val="00C11E9F"/>
    <w:rsid w:val="00C1266F"/>
    <w:rsid w:val="00C12C58"/>
    <w:rsid w:val="00C136DE"/>
    <w:rsid w:val="00C13B18"/>
    <w:rsid w:val="00C14179"/>
    <w:rsid w:val="00C1456E"/>
    <w:rsid w:val="00C1465E"/>
    <w:rsid w:val="00C146A2"/>
    <w:rsid w:val="00C14707"/>
    <w:rsid w:val="00C14A79"/>
    <w:rsid w:val="00C15182"/>
    <w:rsid w:val="00C15DF3"/>
    <w:rsid w:val="00C1618B"/>
    <w:rsid w:val="00C1637C"/>
    <w:rsid w:val="00C1640C"/>
    <w:rsid w:val="00C1649E"/>
    <w:rsid w:val="00C1650E"/>
    <w:rsid w:val="00C17774"/>
    <w:rsid w:val="00C17AF2"/>
    <w:rsid w:val="00C17C2B"/>
    <w:rsid w:val="00C20294"/>
    <w:rsid w:val="00C20591"/>
    <w:rsid w:val="00C20D2E"/>
    <w:rsid w:val="00C20D59"/>
    <w:rsid w:val="00C20DB9"/>
    <w:rsid w:val="00C21432"/>
    <w:rsid w:val="00C21AAF"/>
    <w:rsid w:val="00C21FDC"/>
    <w:rsid w:val="00C223F2"/>
    <w:rsid w:val="00C226CD"/>
    <w:rsid w:val="00C22A80"/>
    <w:rsid w:val="00C2320E"/>
    <w:rsid w:val="00C23A28"/>
    <w:rsid w:val="00C23E37"/>
    <w:rsid w:val="00C23ECE"/>
    <w:rsid w:val="00C24149"/>
    <w:rsid w:val="00C249E8"/>
    <w:rsid w:val="00C24D00"/>
    <w:rsid w:val="00C24DA6"/>
    <w:rsid w:val="00C251C4"/>
    <w:rsid w:val="00C25A04"/>
    <w:rsid w:val="00C25E66"/>
    <w:rsid w:val="00C2605A"/>
    <w:rsid w:val="00C260AA"/>
    <w:rsid w:val="00C2637B"/>
    <w:rsid w:val="00C2677F"/>
    <w:rsid w:val="00C26C2A"/>
    <w:rsid w:val="00C272F8"/>
    <w:rsid w:val="00C27520"/>
    <w:rsid w:val="00C27611"/>
    <w:rsid w:val="00C278E7"/>
    <w:rsid w:val="00C30377"/>
    <w:rsid w:val="00C30DA3"/>
    <w:rsid w:val="00C31080"/>
    <w:rsid w:val="00C311D4"/>
    <w:rsid w:val="00C31228"/>
    <w:rsid w:val="00C31DE5"/>
    <w:rsid w:val="00C31EA5"/>
    <w:rsid w:val="00C321EA"/>
    <w:rsid w:val="00C3265D"/>
    <w:rsid w:val="00C326CC"/>
    <w:rsid w:val="00C328C7"/>
    <w:rsid w:val="00C3379F"/>
    <w:rsid w:val="00C34AC3"/>
    <w:rsid w:val="00C34C83"/>
    <w:rsid w:val="00C34DC7"/>
    <w:rsid w:val="00C354CE"/>
    <w:rsid w:val="00C355FB"/>
    <w:rsid w:val="00C357FE"/>
    <w:rsid w:val="00C35D17"/>
    <w:rsid w:val="00C35D80"/>
    <w:rsid w:val="00C36269"/>
    <w:rsid w:val="00C36538"/>
    <w:rsid w:val="00C36755"/>
    <w:rsid w:val="00C374C5"/>
    <w:rsid w:val="00C37D17"/>
    <w:rsid w:val="00C40428"/>
    <w:rsid w:val="00C40D40"/>
    <w:rsid w:val="00C40DB5"/>
    <w:rsid w:val="00C41078"/>
    <w:rsid w:val="00C413B3"/>
    <w:rsid w:val="00C414DE"/>
    <w:rsid w:val="00C41838"/>
    <w:rsid w:val="00C4197F"/>
    <w:rsid w:val="00C420D3"/>
    <w:rsid w:val="00C424DF"/>
    <w:rsid w:val="00C42FE6"/>
    <w:rsid w:val="00C43112"/>
    <w:rsid w:val="00C43A4F"/>
    <w:rsid w:val="00C442AF"/>
    <w:rsid w:val="00C44654"/>
    <w:rsid w:val="00C454BA"/>
    <w:rsid w:val="00C4614C"/>
    <w:rsid w:val="00C464B7"/>
    <w:rsid w:val="00C4685E"/>
    <w:rsid w:val="00C46E89"/>
    <w:rsid w:val="00C47345"/>
    <w:rsid w:val="00C5047E"/>
    <w:rsid w:val="00C50EA9"/>
    <w:rsid w:val="00C51185"/>
    <w:rsid w:val="00C512C4"/>
    <w:rsid w:val="00C51E33"/>
    <w:rsid w:val="00C520BA"/>
    <w:rsid w:val="00C520F4"/>
    <w:rsid w:val="00C52824"/>
    <w:rsid w:val="00C549FB"/>
    <w:rsid w:val="00C54B38"/>
    <w:rsid w:val="00C54C0F"/>
    <w:rsid w:val="00C551D8"/>
    <w:rsid w:val="00C56684"/>
    <w:rsid w:val="00C56DE0"/>
    <w:rsid w:val="00C571E1"/>
    <w:rsid w:val="00C578B4"/>
    <w:rsid w:val="00C57BBC"/>
    <w:rsid w:val="00C60453"/>
    <w:rsid w:val="00C6162F"/>
    <w:rsid w:val="00C6185D"/>
    <w:rsid w:val="00C621C9"/>
    <w:rsid w:val="00C62210"/>
    <w:rsid w:val="00C62D78"/>
    <w:rsid w:val="00C62E83"/>
    <w:rsid w:val="00C642AA"/>
    <w:rsid w:val="00C65BED"/>
    <w:rsid w:val="00C663EC"/>
    <w:rsid w:val="00C666C4"/>
    <w:rsid w:val="00C667F7"/>
    <w:rsid w:val="00C67413"/>
    <w:rsid w:val="00C6767C"/>
    <w:rsid w:val="00C70F2D"/>
    <w:rsid w:val="00C71250"/>
    <w:rsid w:val="00C71C8B"/>
    <w:rsid w:val="00C71E50"/>
    <w:rsid w:val="00C72768"/>
    <w:rsid w:val="00C734BC"/>
    <w:rsid w:val="00C74487"/>
    <w:rsid w:val="00C7489B"/>
    <w:rsid w:val="00C74C6F"/>
    <w:rsid w:val="00C74EE3"/>
    <w:rsid w:val="00C750FE"/>
    <w:rsid w:val="00C75C74"/>
    <w:rsid w:val="00C75F69"/>
    <w:rsid w:val="00C76317"/>
    <w:rsid w:val="00C76530"/>
    <w:rsid w:val="00C76908"/>
    <w:rsid w:val="00C80193"/>
    <w:rsid w:val="00C807A6"/>
    <w:rsid w:val="00C81359"/>
    <w:rsid w:val="00C814FF"/>
    <w:rsid w:val="00C81C8D"/>
    <w:rsid w:val="00C81D14"/>
    <w:rsid w:val="00C81E99"/>
    <w:rsid w:val="00C831B8"/>
    <w:rsid w:val="00C8358D"/>
    <w:rsid w:val="00C84D52"/>
    <w:rsid w:val="00C84DAE"/>
    <w:rsid w:val="00C84E61"/>
    <w:rsid w:val="00C85501"/>
    <w:rsid w:val="00C87B78"/>
    <w:rsid w:val="00C87BDE"/>
    <w:rsid w:val="00C90067"/>
    <w:rsid w:val="00C90233"/>
    <w:rsid w:val="00C90281"/>
    <w:rsid w:val="00C90289"/>
    <w:rsid w:val="00C908B1"/>
    <w:rsid w:val="00C90BE0"/>
    <w:rsid w:val="00C90D47"/>
    <w:rsid w:val="00C91844"/>
    <w:rsid w:val="00C91966"/>
    <w:rsid w:val="00C92055"/>
    <w:rsid w:val="00C921E8"/>
    <w:rsid w:val="00C92B82"/>
    <w:rsid w:val="00C92C03"/>
    <w:rsid w:val="00C93596"/>
    <w:rsid w:val="00C93A63"/>
    <w:rsid w:val="00C93BB7"/>
    <w:rsid w:val="00C93E19"/>
    <w:rsid w:val="00C944AB"/>
    <w:rsid w:val="00C9460F"/>
    <w:rsid w:val="00C9469A"/>
    <w:rsid w:val="00C9485A"/>
    <w:rsid w:val="00C948A1"/>
    <w:rsid w:val="00C94DEA"/>
    <w:rsid w:val="00C95487"/>
    <w:rsid w:val="00C95557"/>
    <w:rsid w:val="00C95A37"/>
    <w:rsid w:val="00C95BE6"/>
    <w:rsid w:val="00C95EB8"/>
    <w:rsid w:val="00C9604B"/>
    <w:rsid w:val="00C9632D"/>
    <w:rsid w:val="00C96AAF"/>
    <w:rsid w:val="00C97B17"/>
    <w:rsid w:val="00CA0158"/>
    <w:rsid w:val="00CA0814"/>
    <w:rsid w:val="00CA0E29"/>
    <w:rsid w:val="00CA11A6"/>
    <w:rsid w:val="00CA17DB"/>
    <w:rsid w:val="00CA1CF7"/>
    <w:rsid w:val="00CA1D99"/>
    <w:rsid w:val="00CA2162"/>
    <w:rsid w:val="00CA229F"/>
    <w:rsid w:val="00CA26C8"/>
    <w:rsid w:val="00CA33D7"/>
    <w:rsid w:val="00CA481C"/>
    <w:rsid w:val="00CA55EB"/>
    <w:rsid w:val="00CA64F9"/>
    <w:rsid w:val="00CA6608"/>
    <w:rsid w:val="00CA67BB"/>
    <w:rsid w:val="00CA6F61"/>
    <w:rsid w:val="00CA75CD"/>
    <w:rsid w:val="00CB0495"/>
    <w:rsid w:val="00CB06EC"/>
    <w:rsid w:val="00CB09AC"/>
    <w:rsid w:val="00CB0EAA"/>
    <w:rsid w:val="00CB0EAB"/>
    <w:rsid w:val="00CB1071"/>
    <w:rsid w:val="00CB115E"/>
    <w:rsid w:val="00CB19FA"/>
    <w:rsid w:val="00CB1AA3"/>
    <w:rsid w:val="00CB1ADC"/>
    <w:rsid w:val="00CB21DB"/>
    <w:rsid w:val="00CB2E1C"/>
    <w:rsid w:val="00CB2FD9"/>
    <w:rsid w:val="00CB3635"/>
    <w:rsid w:val="00CB3A3A"/>
    <w:rsid w:val="00CB3AD1"/>
    <w:rsid w:val="00CB423C"/>
    <w:rsid w:val="00CB5599"/>
    <w:rsid w:val="00CB5EDF"/>
    <w:rsid w:val="00CB5F26"/>
    <w:rsid w:val="00CB67E3"/>
    <w:rsid w:val="00CB6AFF"/>
    <w:rsid w:val="00CB6F4D"/>
    <w:rsid w:val="00CB7187"/>
    <w:rsid w:val="00CB76B2"/>
    <w:rsid w:val="00CB7990"/>
    <w:rsid w:val="00CB7ACB"/>
    <w:rsid w:val="00CB7FAF"/>
    <w:rsid w:val="00CC0586"/>
    <w:rsid w:val="00CC0980"/>
    <w:rsid w:val="00CC1D23"/>
    <w:rsid w:val="00CC2A6A"/>
    <w:rsid w:val="00CC2CA8"/>
    <w:rsid w:val="00CC2D0D"/>
    <w:rsid w:val="00CC3140"/>
    <w:rsid w:val="00CC3254"/>
    <w:rsid w:val="00CC4AF3"/>
    <w:rsid w:val="00CC525D"/>
    <w:rsid w:val="00CC57C3"/>
    <w:rsid w:val="00CC5BA3"/>
    <w:rsid w:val="00CC622B"/>
    <w:rsid w:val="00CC63AF"/>
    <w:rsid w:val="00CC6981"/>
    <w:rsid w:val="00CC78E9"/>
    <w:rsid w:val="00CC790B"/>
    <w:rsid w:val="00CC79E7"/>
    <w:rsid w:val="00CC7EC1"/>
    <w:rsid w:val="00CD043F"/>
    <w:rsid w:val="00CD0574"/>
    <w:rsid w:val="00CD0CA7"/>
    <w:rsid w:val="00CD186B"/>
    <w:rsid w:val="00CD1C3B"/>
    <w:rsid w:val="00CD2AFA"/>
    <w:rsid w:val="00CD2BEE"/>
    <w:rsid w:val="00CD2C2F"/>
    <w:rsid w:val="00CD2FE3"/>
    <w:rsid w:val="00CD321C"/>
    <w:rsid w:val="00CD36AC"/>
    <w:rsid w:val="00CD4558"/>
    <w:rsid w:val="00CD4616"/>
    <w:rsid w:val="00CD4E5D"/>
    <w:rsid w:val="00CD4FFB"/>
    <w:rsid w:val="00CD519F"/>
    <w:rsid w:val="00CD52CF"/>
    <w:rsid w:val="00CD5D9F"/>
    <w:rsid w:val="00CD64D4"/>
    <w:rsid w:val="00CD6744"/>
    <w:rsid w:val="00CD7232"/>
    <w:rsid w:val="00CD733C"/>
    <w:rsid w:val="00CD745B"/>
    <w:rsid w:val="00CD78E7"/>
    <w:rsid w:val="00CD79C7"/>
    <w:rsid w:val="00CE0073"/>
    <w:rsid w:val="00CE0418"/>
    <w:rsid w:val="00CE144D"/>
    <w:rsid w:val="00CE1452"/>
    <w:rsid w:val="00CE18BE"/>
    <w:rsid w:val="00CE1AF0"/>
    <w:rsid w:val="00CE1FFF"/>
    <w:rsid w:val="00CE274D"/>
    <w:rsid w:val="00CE3265"/>
    <w:rsid w:val="00CE3531"/>
    <w:rsid w:val="00CE3FCF"/>
    <w:rsid w:val="00CE42BF"/>
    <w:rsid w:val="00CE5964"/>
    <w:rsid w:val="00CE5B78"/>
    <w:rsid w:val="00CE5E94"/>
    <w:rsid w:val="00CE5F41"/>
    <w:rsid w:val="00CE64AF"/>
    <w:rsid w:val="00CE6B81"/>
    <w:rsid w:val="00CF0197"/>
    <w:rsid w:val="00CF0309"/>
    <w:rsid w:val="00CF0C58"/>
    <w:rsid w:val="00CF12A2"/>
    <w:rsid w:val="00CF143D"/>
    <w:rsid w:val="00CF1972"/>
    <w:rsid w:val="00CF1A13"/>
    <w:rsid w:val="00CF1AEC"/>
    <w:rsid w:val="00CF1C7D"/>
    <w:rsid w:val="00CF1DA6"/>
    <w:rsid w:val="00CF2A72"/>
    <w:rsid w:val="00CF3114"/>
    <w:rsid w:val="00CF32D0"/>
    <w:rsid w:val="00CF3917"/>
    <w:rsid w:val="00CF3B80"/>
    <w:rsid w:val="00CF52ED"/>
    <w:rsid w:val="00CF5379"/>
    <w:rsid w:val="00CF5EF4"/>
    <w:rsid w:val="00CF5FFC"/>
    <w:rsid w:val="00CF6315"/>
    <w:rsid w:val="00CF64B8"/>
    <w:rsid w:val="00CF6A82"/>
    <w:rsid w:val="00CF6E19"/>
    <w:rsid w:val="00CF6FC5"/>
    <w:rsid w:val="00CF7B0A"/>
    <w:rsid w:val="00CF7BE1"/>
    <w:rsid w:val="00D0074B"/>
    <w:rsid w:val="00D00833"/>
    <w:rsid w:val="00D00CF4"/>
    <w:rsid w:val="00D0129F"/>
    <w:rsid w:val="00D018D0"/>
    <w:rsid w:val="00D019E4"/>
    <w:rsid w:val="00D0292D"/>
    <w:rsid w:val="00D0296C"/>
    <w:rsid w:val="00D02BB5"/>
    <w:rsid w:val="00D02E25"/>
    <w:rsid w:val="00D035FB"/>
    <w:rsid w:val="00D03BF2"/>
    <w:rsid w:val="00D04782"/>
    <w:rsid w:val="00D049A0"/>
    <w:rsid w:val="00D0554E"/>
    <w:rsid w:val="00D05AC2"/>
    <w:rsid w:val="00D05EB2"/>
    <w:rsid w:val="00D06113"/>
    <w:rsid w:val="00D061A1"/>
    <w:rsid w:val="00D0653C"/>
    <w:rsid w:val="00D06B40"/>
    <w:rsid w:val="00D06C53"/>
    <w:rsid w:val="00D06E82"/>
    <w:rsid w:val="00D0716E"/>
    <w:rsid w:val="00D0777A"/>
    <w:rsid w:val="00D079E6"/>
    <w:rsid w:val="00D07C61"/>
    <w:rsid w:val="00D07E38"/>
    <w:rsid w:val="00D07FD6"/>
    <w:rsid w:val="00D10B82"/>
    <w:rsid w:val="00D1105F"/>
    <w:rsid w:val="00D114D8"/>
    <w:rsid w:val="00D1190A"/>
    <w:rsid w:val="00D11D0C"/>
    <w:rsid w:val="00D122D2"/>
    <w:rsid w:val="00D1240C"/>
    <w:rsid w:val="00D129BF"/>
    <w:rsid w:val="00D12A8A"/>
    <w:rsid w:val="00D139CD"/>
    <w:rsid w:val="00D13FA6"/>
    <w:rsid w:val="00D14146"/>
    <w:rsid w:val="00D14368"/>
    <w:rsid w:val="00D14527"/>
    <w:rsid w:val="00D14F94"/>
    <w:rsid w:val="00D1534B"/>
    <w:rsid w:val="00D16514"/>
    <w:rsid w:val="00D167D4"/>
    <w:rsid w:val="00D168A8"/>
    <w:rsid w:val="00D16A5A"/>
    <w:rsid w:val="00D17079"/>
    <w:rsid w:val="00D1718D"/>
    <w:rsid w:val="00D17689"/>
    <w:rsid w:val="00D179DC"/>
    <w:rsid w:val="00D17C12"/>
    <w:rsid w:val="00D17F29"/>
    <w:rsid w:val="00D17F7E"/>
    <w:rsid w:val="00D201B0"/>
    <w:rsid w:val="00D20429"/>
    <w:rsid w:val="00D20898"/>
    <w:rsid w:val="00D2099F"/>
    <w:rsid w:val="00D20A36"/>
    <w:rsid w:val="00D2155C"/>
    <w:rsid w:val="00D21609"/>
    <w:rsid w:val="00D21CD8"/>
    <w:rsid w:val="00D220A2"/>
    <w:rsid w:val="00D22983"/>
    <w:rsid w:val="00D22C59"/>
    <w:rsid w:val="00D23820"/>
    <w:rsid w:val="00D23C2F"/>
    <w:rsid w:val="00D243EB"/>
    <w:rsid w:val="00D246F6"/>
    <w:rsid w:val="00D24AD9"/>
    <w:rsid w:val="00D24D12"/>
    <w:rsid w:val="00D24F29"/>
    <w:rsid w:val="00D26AE5"/>
    <w:rsid w:val="00D26D68"/>
    <w:rsid w:val="00D27204"/>
    <w:rsid w:val="00D2742B"/>
    <w:rsid w:val="00D27AD0"/>
    <w:rsid w:val="00D304BC"/>
    <w:rsid w:val="00D30FA5"/>
    <w:rsid w:val="00D311B6"/>
    <w:rsid w:val="00D31C36"/>
    <w:rsid w:val="00D31CC4"/>
    <w:rsid w:val="00D3204F"/>
    <w:rsid w:val="00D32274"/>
    <w:rsid w:val="00D32613"/>
    <w:rsid w:val="00D337C7"/>
    <w:rsid w:val="00D34141"/>
    <w:rsid w:val="00D344DC"/>
    <w:rsid w:val="00D34519"/>
    <w:rsid w:val="00D34A29"/>
    <w:rsid w:val="00D34C52"/>
    <w:rsid w:val="00D34CCD"/>
    <w:rsid w:val="00D352C0"/>
    <w:rsid w:val="00D353AE"/>
    <w:rsid w:val="00D35FA8"/>
    <w:rsid w:val="00D3622B"/>
    <w:rsid w:val="00D3767B"/>
    <w:rsid w:val="00D37BE3"/>
    <w:rsid w:val="00D37C53"/>
    <w:rsid w:val="00D37D51"/>
    <w:rsid w:val="00D37D60"/>
    <w:rsid w:val="00D40007"/>
    <w:rsid w:val="00D4051C"/>
    <w:rsid w:val="00D40665"/>
    <w:rsid w:val="00D412FE"/>
    <w:rsid w:val="00D4233E"/>
    <w:rsid w:val="00D4243B"/>
    <w:rsid w:val="00D42D12"/>
    <w:rsid w:val="00D43E02"/>
    <w:rsid w:val="00D43F6B"/>
    <w:rsid w:val="00D440AF"/>
    <w:rsid w:val="00D4414F"/>
    <w:rsid w:val="00D441B7"/>
    <w:rsid w:val="00D44483"/>
    <w:rsid w:val="00D446EF"/>
    <w:rsid w:val="00D4484A"/>
    <w:rsid w:val="00D44A91"/>
    <w:rsid w:val="00D457F6"/>
    <w:rsid w:val="00D45955"/>
    <w:rsid w:val="00D45A01"/>
    <w:rsid w:val="00D45D7D"/>
    <w:rsid w:val="00D46214"/>
    <w:rsid w:val="00D464CD"/>
    <w:rsid w:val="00D46B3B"/>
    <w:rsid w:val="00D47053"/>
    <w:rsid w:val="00D473C5"/>
    <w:rsid w:val="00D47D7A"/>
    <w:rsid w:val="00D47FF3"/>
    <w:rsid w:val="00D50556"/>
    <w:rsid w:val="00D50F54"/>
    <w:rsid w:val="00D50F5A"/>
    <w:rsid w:val="00D5135D"/>
    <w:rsid w:val="00D51ED6"/>
    <w:rsid w:val="00D52647"/>
    <w:rsid w:val="00D52ADB"/>
    <w:rsid w:val="00D532E7"/>
    <w:rsid w:val="00D53F74"/>
    <w:rsid w:val="00D541BB"/>
    <w:rsid w:val="00D5429E"/>
    <w:rsid w:val="00D54EFE"/>
    <w:rsid w:val="00D5512F"/>
    <w:rsid w:val="00D551B6"/>
    <w:rsid w:val="00D55F69"/>
    <w:rsid w:val="00D56A16"/>
    <w:rsid w:val="00D576EA"/>
    <w:rsid w:val="00D57C98"/>
    <w:rsid w:val="00D6023E"/>
    <w:rsid w:val="00D60348"/>
    <w:rsid w:val="00D61421"/>
    <w:rsid w:val="00D61A2E"/>
    <w:rsid w:val="00D61FFC"/>
    <w:rsid w:val="00D62C67"/>
    <w:rsid w:val="00D62F8A"/>
    <w:rsid w:val="00D63BD7"/>
    <w:rsid w:val="00D63CC6"/>
    <w:rsid w:val="00D6418E"/>
    <w:rsid w:val="00D64524"/>
    <w:rsid w:val="00D64F26"/>
    <w:rsid w:val="00D651BE"/>
    <w:rsid w:val="00D65267"/>
    <w:rsid w:val="00D65703"/>
    <w:rsid w:val="00D6600B"/>
    <w:rsid w:val="00D6704F"/>
    <w:rsid w:val="00D675FD"/>
    <w:rsid w:val="00D679F1"/>
    <w:rsid w:val="00D67D05"/>
    <w:rsid w:val="00D67ECF"/>
    <w:rsid w:val="00D703C9"/>
    <w:rsid w:val="00D7070A"/>
    <w:rsid w:val="00D70D6C"/>
    <w:rsid w:val="00D70E7D"/>
    <w:rsid w:val="00D71375"/>
    <w:rsid w:val="00D71558"/>
    <w:rsid w:val="00D717FF"/>
    <w:rsid w:val="00D72678"/>
    <w:rsid w:val="00D72A2A"/>
    <w:rsid w:val="00D73248"/>
    <w:rsid w:val="00D736C7"/>
    <w:rsid w:val="00D7432F"/>
    <w:rsid w:val="00D746BD"/>
    <w:rsid w:val="00D753F6"/>
    <w:rsid w:val="00D76699"/>
    <w:rsid w:val="00D76A49"/>
    <w:rsid w:val="00D76B3A"/>
    <w:rsid w:val="00D772F4"/>
    <w:rsid w:val="00D773E6"/>
    <w:rsid w:val="00D805E3"/>
    <w:rsid w:val="00D81445"/>
    <w:rsid w:val="00D8265F"/>
    <w:rsid w:val="00D82790"/>
    <w:rsid w:val="00D82BF0"/>
    <w:rsid w:val="00D82C7E"/>
    <w:rsid w:val="00D82E11"/>
    <w:rsid w:val="00D832FC"/>
    <w:rsid w:val="00D8362E"/>
    <w:rsid w:val="00D8373A"/>
    <w:rsid w:val="00D8380A"/>
    <w:rsid w:val="00D83B32"/>
    <w:rsid w:val="00D8407A"/>
    <w:rsid w:val="00D84534"/>
    <w:rsid w:val="00D84975"/>
    <w:rsid w:val="00D84D05"/>
    <w:rsid w:val="00D84D2C"/>
    <w:rsid w:val="00D85AAB"/>
    <w:rsid w:val="00D863B0"/>
    <w:rsid w:val="00D86F10"/>
    <w:rsid w:val="00D8723F"/>
    <w:rsid w:val="00D87295"/>
    <w:rsid w:val="00D87BF5"/>
    <w:rsid w:val="00D91793"/>
    <w:rsid w:val="00D91896"/>
    <w:rsid w:val="00D923D8"/>
    <w:rsid w:val="00D929D1"/>
    <w:rsid w:val="00D92C81"/>
    <w:rsid w:val="00D930AB"/>
    <w:rsid w:val="00D93542"/>
    <w:rsid w:val="00D938E4"/>
    <w:rsid w:val="00D94160"/>
    <w:rsid w:val="00D95A07"/>
    <w:rsid w:val="00D95D88"/>
    <w:rsid w:val="00D9668F"/>
    <w:rsid w:val="00D96FCE"/>
    <w:rsid w:val="00D9755B"/>
    <w:rsid w:val="00D97860"/>
    <w:rsid w:val="00DA04FF"/>
    <w:rsid w:val="00DA06A0"/>
    <w:rsid w:val="00DA07CD"/>
    <w:rsid w:val="00DA0843"/>
    <w:rsid w:val="00DA0A6A"/>
    <w:rsid w:val="00DA1159"/>
    <w:rsid w:val="00DA1265"/>
    <w:rsid w:val="00DA1511"/>
    <w:rsid w:val="00DA1C40"/>
    <w:rsid w:val="00DA1E6E"/>
    <w:rsid w:val="00DA202B"/>
    <w:rsid w:val="00DA2734"/>
    <w:rsid w:val="00DA2F81"/>
    <w:rsid w:val="00DA2FB3"/>
    <w:rsid w:val="00DA3138"/>
    <w:rsid w:val="00DA31C6"/>
    <w:rsid w:val="00DA32E8"/>
    <w:rsid w:val="00DA33DD"/>
    <w:rsid w:val="00DA3935"/>
    <w:rsid w:val="00DA4982"/>
    <w:rsid w:val="00DA4CED"/>
    <w:rsid w:val="00DA4FB2"/>
    <w:rsid w:val="00DA523F"/>
    <w:rsid w:val="00DA5394"/>
    <w:rsid w:val="00DA5482"/>
    <w:rsid w:val="00DA58F6"/>
    <w:rsid w:val="00DA5995"/>
    <w:rsid w:val="00DA5F2F"/>
    <w:rsid w:val="00DA6C76"/>
    <w:rsid w:val="00DA701E"/>
    <w:rsid w:val="00DA7126"/>
    <w:rsid w:val="00DB0081"/>
    <w:rsid w:val="00DB08F7"/>
    <w:rsid w:val="00DB0C9C"/>
    <w:rsid w:val="00DB0DFE"/>
    <w:rsid w:val="00DB1336"/>
    <w:rsid w:val="00DB1693"/>
    <w:rsid w:val="00DB1B9D"/>
    <w:rsid w:val="00DB2057"/>
    <w:rsid w:val="00DB2B6B"/>
    <w:rsid w:val="00DB320B"/>
    <w:rsid w:val="00DB3347"/>
    <w:rsid w:val="00DB38D4"/>
    <w:rsid w:val="00DB3C99"/>
    <w:rsid w:val="00DB4037"/>
    <w:rsid w:val="00DB4E83"/>
    <w:rsid w:val="00DB5461"/>
    <w:rsid w:val="00DB559E"/>
    <w:rsid w:val="00DB578F"/>
    <w:rsid w:val="00DB5AE8"/>
    <w:rsid w:val="00DB5E28"/>
    <w:rsid w:val="00DB64C8"/>
    <w:rsid w:val="00DB67B3"/>
    <w:rsid w:val="00DB743C"/>
    <w:rsid w:val="00DB7679"/>
    <w:rsid w:val="00DB7FA7"/>
    <w:rsid w:val="00DC0039"/>
    <w:rsid w:val="00DC093E"/>
    <w:rsid w:val="00DC0C91"/>
    <w:rsid w:val="00DC0CAB"/>
    <w:rsid w:val="00DC0D52"/>
    <w:rsid w:val="00DC1275"/>
    <w:rsid w:val="00DC1C11"/>
    <w:rsid w:val="00DC1F2C"/>
    <w:rsid w:val="00DC1FE5"/>
    <w:rsid w:val="00DC23FB"/>
    <w:rsid w:val="00DC2BBA"/>
    <w:rsid w:val="00DC386D"/>
    <w:rsid w:val="00DC3931"/>
    <w:rsid w:val="00DC3AD3"/>
    <w:rsid w:val="00DC3DB5"/>
    <w:rsid w:val="00DC42FA"/>
    <w:rsid w:val="00DC5517"/>
    <w:rsid w:val="00DC5772"/>
    <w:rsid w:val="00DC5889"/>
    <w:rsid w:val="00DC77A7"/>
    <w:rsid w:val="00DC7C79"/>
    <w:rsid w:val="00DD01D2"/>
    <w:rsid w:val="00DD0468"/>
    <w:rsid w:val="00DD0882"/>
    <w:rsid w:val="00DD0BE6"/>
    <w:rsid w:val="00DD154E"/>
    <w:rsid w:val="00DD16A5"/>
    <w:rsid w:val="00DD18AC"/>
    <w:rsid w:val="00DD202E"/>
    <w:rsid w:val="00DD38A9"/>
    <w:rsid w:val="00DD4091"/>
    <w:rsid w:val="00DD4884"/>
    <w:rsid w:val="00DD48A5"/>
    <w:rsid w:val="00DD4A76"/>
    <w:rsid w:val="00DD719F"/>
    <w:rsid w:val="00DD72AA"/>
    <w:rsid w:val="00DD7455"/>
    <w:rsid w:val="00DD7E50"/>
    <w:rsid w:val="00DE0464"/>
    <w:rsid w:val="00DE0553"/>
    <w:rsid w:val="00DE0B26"/>
    <w:rsid w:val="00DE0E55"/>
    <w:rsid w:val="00DE0F78"/>
    <w:rsid w:val="00DE1598"/>
    <w:rsid w:val="00DE23EE"/>
    <w:rsid w:val="00DE2A1B"/>
    <w:rsid w:val="00DE2A91"/>
    <w:rsid w:val="00DE2CB8"/>
    <w:rsid w:val="00DE2FAF"/>
    <w:rsid w:val="00DE3137"/>
    <w:rsid w:val="00DE330D"/>
    <w:rsid w:val="00DE342E"/>
    <w:rsid w:val="00DE365E"/>
    <w:rsid w:val="00DE3A10"/>
    <w:rsid w:val="00DE3A1F"/>
    <w:rsid w:val="00DE3C3C"/>
    <w:rsid w:val="00DE46BB"/>
    <w:rsid w:val="00DE4BD8"/>
    <w:rsid w:val="00DE4CA5"/>
    <w:rsid w:val="00DE5F85"/>
    <w:rsid w:val="00DE6101"/>
    <w:rsid w:val="00DE612E"/>
    <w:rsid w:val="00DE62DC"/>
    <w:rsid w:val="00DE6BA6"/>
    <w:rsid w:val="00DE72EE"/>
    <w:rsid w:val="00DF0991"/>
    <w:rsid w:val="00DF0ABB"/>
    <w:rsid w:val="00DF0FFA"/>
    <w:rsid w:val="00DF15E8"/>
    <w:rsid w:val="00DF1DEC"/>
    <w:rsid w:val="00DF26E8"/>
    <w:rsid w:val="00DF279C"/>
    <w:rsid w:val="00DF2AB0"/>
    <w:rsid w:val="00DF410C"/>
    <w:rsid w:val="00DF4523"/>
    <w:rsid w:val="00DF49A6"/>
    <w:rsid w:val="00DF4A42"/>
    <w:rsid w:val="00DF4B8D"/>
    <w:rsid w:val="00DF52B6"/>
    <w:rsid w:val="00DF5EEE"/>
    <w:rsid w:val="00DF6115"/>
    <w:rsid w:val="00DF72C3"/>
    <w:rsid w:val="00DF7559"/>
    <w:rsid w:val="00DF7E11"/>
    <w:rsid w:val="00E000A3"/>
    <w:rsid w:val="00E008C5"/>
    <w:rsid w:val="00E0095B"/>
    <w:rsid w:val="00E00E20"/>
    <w:rsid w:val="00E00EC2"/>
    <w:rsid w:val="00E015EE"/>
    <w:rsid w:val="00E01CBA"/>
    <w:rsid w:val="00E01FCC"/>
    <w:rsid w:val="00E021A4"/>
    <w:rsid w:val="00E028BF"/>
    <w:rsid w:val="00E03C0A"/>
    <w:rsid w:val="00E041B1"/>
    <w:rsid w:val="00E048EE"/>
    <w:rsid w:val="00E04E57"/>
    <w:rsid w:val="00E0607D"/>
    <w:rsid w:val="00E061CF"/>
    <w:rsid w:val="00E06233"/>
    <w:rsid w:val="00E0700D"/>
    <w:rsid w:val="00E0701F"/>
    <w:rsid w:val="00E077D2"/>
    <w:rsid w:val="00E10FC9"/>
    <w:rsid w:val="00E110FC"/>
    <w:rsid w:val="00E111A4"/>
    <w:rsid w:val="00E1161D"/>
    <w:rsid w:val="00E119E6"/>
    <w:rsid w:val="00E11C84"/>
    <w:rsid w:val="00E12181"/>
    <w:rsid w:val="00E12488"/>
    <w:rsid w:val="00E1267A"/>
    <w:rsid w:val="00E12B14"/>
    <w:rsid w:val="00E12C17"/>
    <w:rsid w:val="00E12D60"/>
    <w:rsid w:val="00E13495"/>
    <w:rsid w:val="00E13A77"/>
    <w:rsid w:val="00E13FF5"/>
    <w:rsid w:val="00E140A3"/>
    <w:rsid w:val="00E148B9"/>
    <w:rsid w:val="00E15854"/>
    <w:rsid w:val="00E15A58"/>
    <w:rsid w:val="00E15A89"/>
    <w:rsid w:val="00E15E1F"/>
    <w:rsid w:val="00E15F94"/>
    <w:rsid w:val="00E16CDA"/>
    <w:rsid w:val="00E173D3"/>
    <w:rsid w:val="00E1772F"/>
    <w:rsid w:val="00E17744"/>
    <w:rsid w:val="00E17AB7"/>
    <w:rsid w:val="00E17BAE"/>
    <w:rsid w:val="00E2012E"/>
    <w:rsid w:val="00E205A7"/>
    <w:rsid w:val="00E20929"/>
    <w:rsid w:val="00E20C3F"/>
    <w:rsid w:val="00E2144A"/>
    <w:rsid w:val="00E217DD"/>
    <w:rsid w:val="00E21B30"/>
    <w:rsid w:val="00E21CAB"/>
    <w:rsid w:val="00E222C4"/>
    <w:rsid w:val="00E2272D"/>
    <w:rsid w:val="00E227CF"/>
    <w:rsid w:val="00E23E0D"/>
    <w:rsid w:val="00E252B8"/>
    <w:rsid w:val="00E2566B"/>
    <w:rsid w:val="00E25F03"/>
    <w:rsid w:val="00E2600B"/>
    <w:rsid w:val="00E279FE"/>
    <w:rsid w:val="00E27AC9"/>
    <w:rsid w:val="00E27F7D"/>
    <w:rsid w:val="00E302D5"/>
    <w:rsid w:val="00E3034C"/>
    <w:rsid w:val="00E30601"/>
    <w:rsid w:val="00E3080C"/>
    <w:rsid w:val="00E30870"/>
    <w:rsid w:val="00E308E0"/>
    <w:rsid w:val="00E313AB"/>
    <w:rsid w:val="00E31C05"/>
    <w:rsid w:val="00E32FA7"/>
    <w:rsid w:val="00E33541"/>
    <w:rsid w:val="00E33EE3"/>
    <w:rsid w:val="00E341BF"/>
    <w:rsid w:val="00E346F6"/>
    <w:rsid w:val="00E34810"/>
    <w:rsid w:val="00E34E60"/>
    <w:rsid w:val="00E35120"/>
    <w:rsid w:val="00E3556B"/>
    <w:rsid w:val="00E35BDC"/>
    <w:rsid w:val="00E35DEB"/>
    <w:rsid w:val="00E36562"/>
    <w:rsid w:val="00E36567"/>
    <w:rsid w:val="00E37258"/>
    <w:rsid w:val="00E37910"/>
    <w:rsid w:val="00E37AF0"/>
    <w:rsid w:val="00E40266"/>
    <w:rsid w:val="00E404FA"/>
    <w:rsid w:val="00E405D2"/>
    <w:rsid w:val="00E40642"/>
    <w:rsid w:val="00E40BC4"/>
    <w:rsid w:val="00E410C4"/>
    <w:rsid w:val="00E413C4"/>
    <w:rsid w:val="00E414FD"/>
    <w:rsid w:val="00E42058"/>
    <w:rsid w:val="00E4233F"/>
    <w:rsid w:val="00E43297"/>
    <w:rsid w:val="00E432BB"/>
    <w:rsid w:val="00E4396E"/>
    <w:rsid w:val="00E4411F"/>
    <w:rsid w:val="00E444E1"/>
    <w:rsid w:val="00E446B0"/>
    <w:rsid w:val="00E44730"/>
    <w:rsid w:val="00E44F5F"/>
    <w:rsid w:val="00E44F70"/>
    <w:rsid w:val="00E44FF4"/>
    <w:rsid w:val="00E45BCD"/>
    <w:rsid w:val="00E46AF9"/>
    <w:rsid w:val="00E4726C"/>
    <w:rsid w:val="00E47656"/>
    <w:rsid w:val="00E47B7F"/>
    <w:rsid w:val="00E50028"/>
    <w:rsid w:val="00E500D2"/>
    <w:rsid w:val="00E50C78"/>
    <w:rsid w:val="00E50FBE"/>
    <w:rsid w:val="00E512D7"/>
    <w:rsid w:val="00E51B2E"/>
    <w:rsid w:val="00E51EAC"/>
    <w:rsid w:val="00E524B5"/>
    <w:rsid w:val="00E5258C"/>
    <w:rsid w:val="00E52B45"/>
    <w:rsid w:val="00E5336E"/>
    <w:rsid w:val="00E534C5"/>
    <w:rsid w:val="00E53AA8"/>
    <w:rsid w:val="00E53CF5"/>
    <w:rsid w:val="00E53F9B"/>
    <w:rsid w:val="00E5421F"/>
    <w:rsid w:val="00E544F8"/>
    <w:rsid w:val="00E545FA"/>
    <w:rsid w:val="00E54695"/>
    <w:rsid w:val="00E546B9"/>
    <w:rsid w:val="00E54FA0"/>
    <w:rsid w:val="00E5546E"/>
    <w:rsid w:val="00E55C94"/>
    <w:rsid w:val="00E55CF8"/>
    <w:rsid w:val="00E55E02"/>
    <w:rsid w:val="00E55E68"/>
    <w:rsid w:val="00E5628B"/>
    <w:rsid w:val="00E56BD5"/>
    <w:rsid w:val="00E57449"/>
    <w:rsid w:val="00E57565"/>
    <w:rsid w:val="00E575D1"/>
    <w:rsid w:val="00E5785B"/>
    <w:rsid w:val="00E579BB"/>
    <w:rsid w:val="00E57A01"/>
    <w:rsid w:val="00E57DBD"/>
    <w:rsid w:val="00E605D8"/>
    <w:rsid w:val="00E61095"/>
    <w:rsid w:val="00E61C0F"/>
    <w:rsid w:val="00E61D57"/>
    <w:rsid w:val="00E622B9"/>
    <w:rsid w:val="00E62A95"/>
    <w:rsid w:val="00E62E86"/>
    <w:rsid w:val="00E63755"/>
    <w:rsid w:val="00E63E9C"/>
    <w:rsid w:val="00E64EEA"/>
    <w:rsid w:val="00E66553"/>
    <w:rsid w:val="00E6668F"/>
    <w:rsid w:val="00E66E87"/>
    <w:rsid w:val="00E678A4"/>
    <w:rsid w:val="00E67F03"/>
    <w:rsid w:val="00E67F9D"/>
    <w:rsid w:val="00E70603"/>
    <w:rsid w:val="00E709A9"/>
    <w:rsid w:val="00E71371"/>
    <w:rsid w:val="00E71814"/>
    <w:rsid w:val="00E71955"/>
    <w:rsid w:val="00E71A25"/>
    <w:rsid w:val="00E71B81"/>
    <w:rsid w:val="00E7206E"/>
    <w:rsid w:val="00E729EC"/>
    <w:rsid w:val="00E72DD9"/>
    <w:rsid w:val="00E7300C"/>
    <w:rsid w:val="00E73906"/>
    <w:rsid w:val="00E73D8F"/>
    <w:rsid w:val="00E73DE9"/>
    <w:rsid w:val="00E74F3F"/>
    <w:rsid w:val="00E75630"/>
    <w:rsid w:val="00E758DE"/>
    <w:rsid w:val="00E75A77"/>
    <w:rsid w:val="00E75B8A"/>
    <w:rsid w:val="00E75BD7"/>
    <w:rsid w:val="00E75DB7"/>
    <w:rsid w:val="00E75F2D"/>
    <w:rsid w:val="00E766B4"/>
    <w:rsid w:val="00E766DD"/>
    <w:rsid w:val="00E768FE"/>
    <w:rsid w:val="00E76F36"/>
    <w:rsid w:val="00E774AA"/>
    <w:rsid w:val="00E77911"/>
    <w:rsid w:val="00E77D77"/>
    <w:rsid w:val="00E80452"/>
    <w:rsid w:val="00E80520"/>
    <w:rsid w:val="00E8060B"/>
    <w:rsid w:val="00E80A33"/>
    <w:rsid w:val="00E81108"/>
    <w:rsid w:val="00E812D5"/>
    <w:rsid w:val="00E81651"/>
    <w:rsid w:val="00E8196A"/>
    <w:rsid w:val="00E82481"/>
    <w:rsid w:val="00E8251D"/>
    <w:rsid w:val="00E82A37"/>
    <w:rsid w:val="00E837E8"/>
    <w:rsid w:val="00E838C6"/>
    <w:rsid w:val="00E83BE2"/>
    <w:rsid w:val="00E83FDC"/>
    <w:rsid w:val="00E8436D"/>
    <w:rsid w:val="00E843CB"/>
    <w:rsid w:val="00E8593A"/>
    <w:rsid w:val="00E8598E"/>
    <w:rsid w:val="00E864DA"/>
    <w:rsid w:val="00E8659E"/>
    <w:rsid w:val="00E86A15"/>
    <w:rsid w:val="00E86C84"/>
    <w:rsid w:val="00E90010"/>
    <w:rsid w:val="00E9023B"/>
    <w:rsid w:val="00E9078F"/>
    <w:rsid w:val="00E908E4"/>
    <w:rsid w:val="00E90DE2"/>
    <w:rsid w:val="00E9122A"/>
    <w:rsid w:val="00E91785"/>
    <w:rsid w:val="00E927FB"/>
    <w:rsid w:val="00E92826"/>
    <w:rsid w:val="00E92C97"/>
    <w:rsid w:val="00E93059"/>
    <w:rsid w:val="00E93976"/>
    <w:rsid w:val="00E944F2"/>
    <w:rsid w:val="00E94583"/>
    <w:rsid w:val="00E94584"/>
    <w:rsid w:val="00E94986"/>
    <w:rsid w:val="00E94B97"/>
    <w:rsid w:val="00E94ED1"/>
    <w:rsid w:val="00E95113"/>
    <w:rsid w:val="00E95AA6"/>
    <w:rsid w:val="00E95AF9"/>
    <w:rsid w:val="00E95E19"/>
    <w:rsid w:val="00E96390"/>
    <w:rsid w:val="00E9677B"/>
    <w:rsid w:val="00E96862"/>
    <w:rsid w:val="00E968F6"/>
    <w:rsid w:val="00E96B06"/>
    <w:rsid w:val="00E96FF7"/>
    <w:rsid w:val="00E97175"/>
    <w:rsid w:val="00E973A0"/>
    <w:rsid w:val="00E9743F"/>
    <w:rsid w:val="00E974A1"/>
    <w:rsid w:val="00E977B6"/>
    <w:rsid w:val="00E978E7"/>
    <w:rsid w:val="00E97B77"/>
    <w:rsid w:val="00EA013F"/>
    <w:rsid w:val="00EA0241"/>
    <w:rsid w:val="00EA07E0"/>
    <w:rsid w:val="00EA0819"/>
    <w:rsid w:val="00EA0CE8"/>
    <w:rsid w:val="00EA146F"/>
    <w:rsid w:val="00EA1DCC"/>
    <w:rsid w:val="00EA2257"/>
    <w:rsid w:val="00EA254A"/>
    <w:rsid w:val="00EA32A3"/>
    <w:rsid w:val="00EA34CD"/>
    <w:rsid w:val="00EA35C4"/>
    <w:rsid w:val="00EA3770"/>
    <w:rsid w:val="00EA3B5E"/>
    <w:rsid w:val="00EA3D0B"/>
    <w:rsid w:val="00EA3E9E"/>
    <w:rsid w:val="00EA5878"/>
    <w:rsid w:val="00EA5BB8"/>
    <w:rsid w:val="00EA625E"/>
    <w:rsid w:val="00EA69F1"/>
    <w:rsid w:val="00EA6EC9"/>
    <w:rsid w:val="00EB0403"/>
    <w:rsid w:val="00EB131D"/>
    <w:rsid w:val="00EB13F4"/>
    <w:rsid w:val="00EB1CA3"/>
    <w:rsid w:val="00EB27A5"/>
    <w:rsid w:val="00EB2BA2"/>
    <w:rsid w:val="00EB2C97"/>
    <w:rsid w:val="00EB3009"/>
    <w:rsid w:val="00EB3106"/>
    <w:rsid w:val="00EB323F"/>
    <w:rsid w:val="00EB4439"/>
    <w:rsid w:val="00EB48DC"/>
    <w:rsid w:val="00EB500C"/>
    <w:rsid w:val="00EB50C4"/>
    <w:rsid w:val="00EB5658"/>
    <w:rsid w:val="00EB6503"/>
    <w:rsid w:val="00EB6CD8"/>
    <w:rsid w:val="00EB748E"/>
    <w:rsid w:val="00EB7528"/>
    <w:rsid w:val="00EC0656"/>
    <w:rsid w:val="00EC0709"/>
    <w:rsid w:val="00EC09F7"/>
    <w:rsid w:val="00EC1C05"/>
    <w:rsid w:val="00EC22CE"/>
    <w:rsid w:val="00EC234A"/>
    <w:rsid w:val="00EC274D"/>
    <w:rsid w:val="00EC2A4B"/>
    <w:rsid w:val="00EC2E42"/>
    <w:rsid w:val="00EC3211"/>
    <w:rsid w:val="00EC3A5B"/>
    <w:rsid w:val="00EC42A1"/>
    <w:rsid w:val="00EC47D3"/>
    <w:rsid w:val="00EC4E43"/>
    <w:rsid w:val="00EC5BD0"/>
    <w:rsid w:val="00EC5DED"/>
    <w:rsid w:val="00EC6FD0"/>
    <w:rsid w:val="00EC778B"/>
    <w:rsid w:val="00EC7B0C"/>
    <w:rsid w:val="00EC7BBA"/>
    <w:rsid w:val="00EC7C8C"/>
    <w:rsid w:val="00EC7DE9"/>
    <w:rsid w:val="00ED05DC"/>
    <w:rsid w:val="00ED1686"/>
    <w:rsid w:val="00ED1721"/>
    <w:rsid w:val="00ED25BF"/>
    <w:rsid w:val="00ED2698"/>
    <w:rsid w:val="00ED2D1A"/>
    <w:rsid w:val="00ED3678"/>
    <w:rsid w:val="00ED3AFC"/>
    <w:rsid w:val="00ED4C4C"/>
    <w:rsid w:val="00ED4EA1"/>
    <w:rsid w:val="00ED57A6"/>
    <w:rsid w:val="00ED59B7"/>
    <w:rsid w:val="00ED59F9"/>
    <w:rsid w:val="00ED5FF0"/>
    <w:rsid w:val="00ED616D"/>
    <w:rsid w:val="00ED6181"/>
    <w:rsid w:val="00ED6484"/>
    <w:rsid w:val="00ED6A0F"/>
    <w:rsid w:val="00ED6DB0"/>
    <w:rsid w:val="00ED7245"/>
    <w:rsid w:val="00ED771C"/>
    <w:rsid w:val="00ED79FA"/>
    <w:rsid w:val="00ED7D08"/>
    <w:rsid w:val="00ED7FA4"/>
    <w:rsid w:val="00EE0468"/>
    <w:rsid w:val="00EE0BE3"/>
    <w:rsid w:val="00EE1097"/>
    <w:rsid w:val="00EE1B66"/>
    <w:rsid w:val="00EE1F0B"/>
    <w:rsid w:val="00EE1F49"/>
    <w:rsid w:val="00EE2208"/>
    <w:rsid w:val="00EE24A6"/>
    <w:rsid w:val="00EE2799"/>
    <w:rsid w:val="00EE375D"/>
    <w:rsid w:val="00EE3BCD"/>
    <w:rsid w:val="00EE3FF5"/>
    <w:rsid w:val="00EE4243"/>
    <w:rsid w:val="00EE455C"/>
    <w:rsid w:val="00EE46C1"/>
    <w:rsid w:val="00EE4953"/>
    <w:rsid w:val="00EE4CD5"/>
    <w:rsid w:val="00EE4D7F"/>
    <w:rsid w:val="00EE5611"/>
    <w:rsid w:val="00EE58AF"/>
    <w:rsid w:val="00EE626E"/>
    <w:rsid w:val="00EE62F5"/>
    <w:rsid w:val="00EE6C0B"/>
    <w:rsid w:val="00EE6C46"/>
    <w:rsid w:val="00EE6DC2"/>
    <w:rsid w:val="00EE6F57"/>
    <w:rsid w:val="00EE729A"/>
    <w:rsid w:val="00EE75DB"/>
    <w:rsid w:val="00EE75EB"/>
    <w:rsid w:val="00EE78B3"/>
    <w:rsid w:val="00EE79BA"/>
    <w:rsid w:val="00EF04A8"/>
    <w:rsid w:val="00EF0D66"/>
    <w:rsid w:val="00EF14FA"/>
    <w:rsid w:val="00EF1FF1"/>
    <w:rsid w:val="00EF2740"/>
    <w:rsid w:val="00EF35A6"/>
    <w:rsid w:val="00EF3791"/>
    <w:rsid w:val="00EF38CC"/>
    <w:rsid w:val="00EF4ABB"/>
    <w:rsid w:val="00EF4BAD"/>
    <w:rsid w:val="00EF5A2E"/>
    <w:rsid w:val="00EF635E"/>
    <w:rsid w:val="00EF668A"/>
    <w:rsid w:val="00EF734F"/>
    <w:rsid w:val="00EF7539"/>
    <w:rsid w:val="00EF7568"/>
    <w:rsid w:val="00F00489"/>
    <w:rsid w:val="00F0053D"/>
    <w:rsid w:val="00F00686"/>
    <w:rsid w:val="00F01314"/>
    <w:rsid w:val="00F016EA"/>
    <w:rsid w:val="00F01EDA"/>
    <w:rsid w:val="00F01F68"/>
    <w:rsid w:val="00F029C2"/>
    <w:rsid w:val="00F031A2"/>
    <w:rsid w:val="00F031E9"/>
    <w:rsid w:val="00F0383A"/>
    <w:rsid w:val="00F03A06"/>
    <w:rsid w:val="00F03FB9"/>
    <w:rsid w:val="00F046A4"/>
    <w:rsid w:val="00F048E0"/>
    <w:rsid w:val="00F0503A"/>
    <w:rsid w:val="00F0559F"/>
    <w:rsid w:val="00F06297"/>
    <w:rsid w:val="00F064F3"/>
    <w:rsid w:val="00F068C8"/>
    <w:rsid w:val="00F079E0"/>
    <w:rsid w:val="00F07D41"/>
    <w:rsid w:val="00F10219"/>
    <w:rsid w:val="00F1077C"/>
    <w:rsid w:val="00F10AAE"/>
    <w:rsid w:val="00F10B96"/>
    <w:rsid w:val="00F11158"/>
    <w:rsid w:val="00F11D91"/>
    <w:rsid w:val="00F11DCE"/>
    <w:rsid w:val="00F12298"/>
    <w:rsid w:val="00F12654"/>
    <w:rsid w:val="00F12B67"/>
    <w:rsid w:val="00F12DA2"/>
    <w:rsid w:val="00F12EB6"/>
    <w:rsid w:val="00F133FC"/>
    <w:rsid w:val="00F13BE3"/>
    <w:rsid w:val="00F1461A"/>
    <w:rsid w:val="00F1462A"/>
    <w:rsid w:val="00F14A22"/>
    <w:rsid w:val="00F14D29"/>
    <w:rsid w:val="00F15645"/>
    <w:rsid w:val="00F15C7D"/>
    <w:rsid w:val="00F16147"/>
    <w:rsid w:val="00F16560"/>
    <w:rsid w:val="00F167BA"/>
    <w:rsid w:val="00F16F59"/>
    <w:rsid w:val="00F16FBC"/>
    <w:rsid w:val="00F1743D"/>
    <w:rsid w:val="00F17770"/>
    <w:rsid w:val="00F17FAD"/>
    <w:rsid w:val="00F201AD"/>
    <w:rsid w:val="00F20988"/>
    <w:rsid w:val="00F20A6A"/>
    <w:rsid w:val="00F216E8"/>
    <w:rsid w:val="00F2232F"/>
    <w:rsid w:val="00F22761"/>
    <w:rsid w:val="00F22904"/>
    <w:rsid w:val="00F229DC"/>
    <w:rsid w:val="00F23043"/>
    <w:rsid w:val="00F232D3"/>
    <w:rsid w:val="00F235F8"/>
    <w:rsid w:val="00F23992"/>
    <w:rsid w:val="00F23C40"/>
    <w:rsid w:val="00F23FD0"/>
    <w:rsid w:val="00F23FEB"/>
    <w:rsid w:val="00F242F6"/>
    <w:rsid w:val="00F24FFE"/>
    <w:rsid w:val="00F2549E"/>
    <w:rsid w:val="00F262B8"/>
    <w:rsid w:val="00F26AC7"/>
    <w:rsid w:val="00F26D3F"/>
    <w:rsid w:val="00F26D54"/>
    <w:rsid w:val="00F2714C"/>
    <w:rsid w:val="00F2731C"/>
    <w:rsid w:val="00F2781F"/>
    <w:rsid w:val="00F30972"/>
    <w:rsid w:val="00F309EF"/>
    <w:rsid w:val="00F31156"/>
    <w:rsid w:val="00F31239"/>
    <w:rsid w:val="00F317C7"/>
    <w:rsid w:val="00F31AD7"/>
    <w:rsid w:val="00F327A1"/>
    <w:rsid w:val="00F32A57"/>
    <w:rsid w:val="00F32D37"/>
    <w:rsid w:val="00F32E49"/>
    <w:rsid w:val="00F32EC7"/>
    <w:rsid w:val="00F3323D"/>
    <w:rsid w:val="00F33975"/>
    <w:rsid w:val="00F34779"/>
    <w:rsid w:val="00F35312"/>
    <w:rsid w:val="00F35599"/>
    <w:rsid w:val="00F35719"/>
    <w:rsid w:val="00F35E12"/>
    <w:rsid w:val="00F36A76"/>
    <w:rsid w:val="00F36D24"/>
    <w:rsid w:val="00F4028C"/>
    <w:rsid w:val="00F403EA"/>
    <w:rsid w:val="00F4058A"/>
    <w:rsid w:val="00F405E8"/>
    <w:rsid w:val="00F40910"/>
    <w:rsid w:val="00F40A09"/>
    <w:rsid w:val="00F41AF4"/>
    <w:rsid w:val="00F41DE9"/>
    <w:rsid w:val="00F42107"/>
    <w:rsid w:val="00F422C5"/>
    <w:rsid w:val="00F42B63"/>
    <w:rsid w:val="00F42F99"/>
    <w:rsid w:val="00F43311"/>
    <w:rsid w:val="00F4611F"/>
    <w:rsid w:val="00F4614C"/>
    <w:rsid w:val="00F46187"/>
    <w:rsid w:val="00F4637E"/>
    <w:rsid w:val="00F50906"/>
    <w:rsid w:val="00F50FC5"/>
    <w:rsid w:val="00F50FCB"/>
    <w:rsid w:val="00F515CE"/>
    <w:rsid w:val="00F51726"/>
    <w:rsid w:val="00F51CD6"/>
    <w:rsid w:val="00F51F16"/>
    <w:rsid w:val="00F52182"/>
    <w:rsid w:val="00F52C92"/>
    <w:rsid w:val="00F52CFD"/>
    <w:rsid w:val="00F52D4A"/>
    <w:rsid w:val="00F53645"/>
    <w:rsid w:val="00F53BE8"/>
    <w:rsid w:val="00F53C34"/>
    <w:rsid w:val="00F53FF6"/>
    <w:rsid w:val="00F54244"/>
    <w:rsid w:val="00F5473C"/>
    <w:rsid w:val="00F547DB"/>
    <w:rsid w:val="00F548CA"/>
    <w:rsid w:val="00F548CB"/>
    <w:rsid w:val="00F55B91"/>
    <w:rsid w:val="00F55BD4"/>
    <w:rsid w:val="00F55D21"/>
    <w:rsid w:val="00F56779"/>
    <w:rsid w:val="00F56AEE"/>
    <w:rsid w:val="00F572DD"/>
    <w:rsid w:val="00F573A6"/>
    <w:rsid w:val="00F57454"/>
    <w:rsid w:val="00F57C6B"/>
    <w:rsid w:val="00F60416"/>
    <w:rsid w:val="00F60454"/>
    <w:rsid w:val="00F60F3D"/>
    <w:rsid w:val="00F61207"/>
    <w:rsid w:val="00F6120C"/>
    <w:rsid w:val="00F616B5"/>
    <w:rsid w:val="00F61E66"/>
    <w:rsid w:val="00F61ED6"/>
    <w:rsid w:val="00F61FEE"/>
    <w:rsid w:val="00F620BA"/>
    <w:rsid w:val="00F620EB"/>
    <w:rsid w:val="00F6235A"/>
    <w:rsid w:val="00F62378"/>
    <w:rsid w:val="00F63CC3"/>
    <w:rsid w:val="00F64150"/>
    <w:rsid w:val="00F649BF"/>
    <w:rsid w:val="00F64AB6"/>
    <w:rsid w:val="00F64B9E"/>
    <w:rsid w:val="00F64E83"/>
    <w:rsid w:val="00F64F3A"/>
    <w:rsid w:val="00F659A2"/>
    <w:rsid w:val="00F65DBE"/>
    <w:rsid w:val="00F66526"/>
    <w:rsid w:val="00F6659B"/>
    <w:rsid w:val="00F66D91"/>
    <w:rsid w:val="00F6731B"/>
    <w:rsid w:val="00F67354"/>
    <w:rsid w:val="00F676C2"/>
    <w:rsid w:val="00F6791F"/>
    <w:rsid w:val="00F67AC3"/>
    <w:rsid w:val="00F67DD5"/>
    <w:rsid w:val="00F67FD5"/>
    <w:rsid w:val="00F702B2"/>
    <w:rsid w:val="00F709A1"/>
    <w:rsid w:val="00F724AE"/>
    <w:rsid w:val="00F72A52"/>
    <w:rsid w:val="00F732F0"/>
    <w:rsid w:val="00F7346C"/>
    <w:rsid w:val="00F7420B"/>
    <w:rsid w:val="00F7452F"/>
    <w:rsid w:val="00F7496E"/>
    <w:rsid w:val="00F75216"/>
    <w:rsid w:val="00F7540B"/>
    <w:rsid w:val="00F75999"/>
    <w:rsid w:val="00F75A9D"/>
    <w:rsid w:val="00F75FBD"/>
    <w:rsid w:val="00F7627E"/>
    <w:rsid w:val="00F766BC"/>
    <w:rsid w:val="00F76C57"/>
    <w:rsid w:val="00F76C81"/>
    <w:rsid w:val="00F76CA2"/>
    <w:rsid w:val="00F77153"/>
    <w:rsid w:val="00F772F4"/>
    <w:rsid w:val="00F774EA"/>
    <w:rsid w:val="00F77608"/>
    <w:rsid w:val="00F77AB1"/>
    <w:rsid w:val="00F800C0"/>
    <w:rsid w:val="00F805B4"/>
    <w:rsid w:val="00F80A99"/>
    <w:rsid w:val="00F80F0C"/>
    <w:rsid w:val="00F81526"/>
    <w:rsid w:val="00F815D4"/>
    <w:rsid w:val="00F81659"/>
    <w:rsid w:val="00F82371"/>
    <w:rsid w:val="00F828E2"/>
    <w:rsid w:val="00F835D8"/>
    <w:rsid w:val="00F83862"/>
    <w:rsid w:val="00F84ABE"/>
    <w:rsid w:val="00F85007"/>
    <w:rsid w:val="00F8536F"/>
    <w:rsid w:val="00F854CF"/>
    <w:rsid w:val="00F85D19"/>
    <w:rsid w:val="00F85DD3"/>
    <w:rsid w:val="00F8658B"/>
    <w:rsid w:val="00F86671"/>
    <w:rsid w:val="00F8681E"/>
    <w:rsid w:val="00F87887"/>
    <w:rsid w:val="00F87F5B"/>
    <w:rsid w:val="00F909B4"/>
    <w:rsid w:val="00F90CB5"/>
    <w:rsid w:val="00F90F73"/>
    <w:rsid w:val="00F929F3"/>
    <w:rsid w:val="00F930AB"/>
    <w:rsid w:val="00F9385F"/>
    <w:rsid w:val="00F9396B"/>
    <w:rsid w:val="00F94241"/>
    <w:rsid w:val="00F9454B"/>
    <w:rsid w:val="00F945AA"/>
    <w:rsid w:val="00F9510E"/>
    <w:rsid w:val="00F9594F"/>
    <w:rsid w:val="00F959FA"/>
    <w:rsid w:val="00F960F7"/>
    <w:rsid w:val="00F9619D"/>
    <w:rsid w:val="00F96237"/>
    <w:rsid w:val="00F96A32"/>
    <w:rsid w:val="00F96B60"/>
    <w:rsid w:val="00F9751D"/>
    <w:rsid w:val="00F97892"/>
    <w:rsid w:val="00F97FF6"/>
    <w:rsid w:val="00FA0414"/>
    <w:rsid w:val="00FA0780"/>
    <w:rsid w:val="00FA0875"/>
    <w:rsid w:val="00FA0CB2"/>
    <w:rsid w:val="00FA0E4D"/>
    <w:rsid w:val="00FA1696"/>
    <w:rsid w:val="00FA16B0"/>
    <w:rsid w:val="00FA1DB0"/>
    <w:rsid w:val="00FA2A4D"/>
    <w:rsid w:val="00FA2C8F"/>
    <w:rsid w:val="00FA3649"/>
    <w:rsid w:val="00FA3A8A"/>
    <w:rsid w:val="00FA3FCB"/>
    <w:rsid w:val="00FA4780"/>
    <w:rsid w:val="00FA4811"/>
    <w:rsid w:val="00FA4812"/>
    <w:rsid w:val="00FA495A"/>
    <w:rsid w:val="00FA59F1"/>
    <w:rsid w:val="00FA5D5A"/>
    <w:rsid w:val="00FA5F4A"/>
    <w:rsid w:val="00FA60D5"/>
    <w:rsid w:val="00FA6504"/>
    <w:rsid w:val="00FA6F46"/>
    <w:rsid w:val="00FA7B5E"/>
    <w:rsid w:val="00FB02E0"/>
    <w:rsid w:val="00FB0DA5"/>
    <w:rsid w:val="00FB0F55"/>
    <w:rsid w:val="00FB1290"/>
    <w:rsid w:val="00FB15E9"/>
    <w:rsid w:val="00FB1707"/>
    <w:rsid w:val="00FB18D4"/>
    <w:rsid w:val="00FB1A54"/>
    <w:rsid w:val="00FB1E87"/>
    <w:rsid w:val="00FB1F9D"/>
    <w:rsid w:val="00FB213E"/>
    <w:rsid w:val="00FB2D1B"/>
    <w:rsid w:val="00FB3643"/>
    <w:rsid w:val="00FB3B35"/>
    <w:rsid w:val="00FB3D72"/>
    <w:rsid w:val="00FB3E4A"/>
    <w:rsid w:val="00FB41DD"/>
    <w:rsid w:val="00FB459E"/>
    <w:rsid w:val="00FB4748"/>
    <w:rsid w:val="00FB51D1"/>
    <w:rsid w:val="00FB5568"/>
    <w:rsid w:val="00FB57A3"/>
    <w:rsid w:val="00FB58B4"/>
    <w:rsid w:val="00FB5B62"/>
    <w:rsid w:val="00FB5FEC"/>
    <w:rsid w:val="00FB6F21"/>
    <w:rsid w:val="00FC0398"/>
    <w:rsid w:val="00FC13AC"/>
    <w:rsid w:val="00FC18A6"/>
    <w:rsid w:val="00FC1AF7"/>
    <w:rsid w:val="00FC2737"/>
    <w:rsid w:val="00FC2793"/>
    <w:rsid w:val="00FC29FE"/>
    <w:rsid w:val="00FC2C51"/>
    <w:rsid w:val="00FC2D78"/>
    <w:rsid w:val="00FC311B"/>
    <w:rsid w:val="00FC3FBB"/>
    <w:rsid w:val="00FC58E9"/>
    <w:rsid w:val="00FC5B26"/>
    <w:rsid w:val="00FC6810"/>
    <w:rsid w:val="00FC7034"/>
    <w:rsid w:val="00FD0023"/>
    <w:rsid w:val="00FD00F1"/>
    <w:rsid w:val="00FD0402"/>
    <w:rsid w:val="00FD095D"/>
    <w:rsid w:val="00FD0F17"/>
    <w:rsid w:val="00FD11B1"/>
    <w:rsid w:val="00FD1D56"/>
    <w:rsid w:val="00FD2293"/>
    <w:rsid w:val="00FD3476"/>
    <w:rsid w:val="00FD352C"/>
    <w:rsid w:val="00FD3819"/>
    <w:rsid w:val="00FD3908"/>
    <w:rsid w:val="00FD391D"/>
    <w:rsid w:val="00FD4A62"/>
    <w:rsid w:val="00FD4CF7"/>
    <w:rsid w:val="00FD4DB3"/>
    <w:rsid w:val="00FD4EB8"/>
    <w:rsid w:val="00FD4F12"/>
    <w:rsid w:val="00FD545A"/>
    <w:rsid w:val="00FD581D"/>
    <w:rsid w:val="00FD5E49"/>
    <w:rsid w:val="00FD5EF0"/>
    <w:rsid w:val="00FD6564"/>
    <w:rsid w:val="00FD6630"/>
    <w:rsid w:val="00FD6A4E"/>
    <w:rsid w:val="00FD6B00"/>
    <w:rsid w:val="00FD7232"/>
    <w:rsid w:val="00FD72A1"/>
    <w:rsid w:val="00FD742F"/>
    <w:rsid w:val="00FD78F2"/>
    <w:rsid w:val="00FD7CC4"/>
    <w:rsid w:val="00FDD254"/>
    <w:rsid w:val="00FE046B"/>
    <w:rsid w:val="00FE0DFD"/>
    <w:rsid w:val="00FE0E2A"/>
    <w:rsid w:val="00FE10C8"/>
    <w:rsid w:val="00FE1100"/>
    <w:rsid w:val="00FE1458"/>
    <w:rsid w:val="00FE171B"/>
    <w:rsid w:val="00FE1840"/>
    <w:rsid w:val="00FE1880"/>
    <w:rsid w:val="00FE28A1"/>
    <w:rsid w:val="00FE2A84"/>
    <w:rsid w:val="00FE3047"/>
    <w:rsid w:val="00FE45C6"/>
    <w:rsid w:val="00FE46A5"/>
    <w:rsid w:val="00FE4724"/>
    <w:rsid w:val="00FE487A"/>
    <w:rsid w:val="00FE5A99"/>
    <w:rsid w:val="00FE5B73"/>
    <w:rsid w:val="00FE63ED"/>
    <w:rsid w:val="00FE6743"/>
    <w:rsid w:val="00FE6CF8"/>
    <w:rsid w:val="00FE7D28"/>
    <w:rsid w:val="00FE7EC7"/>
    <w:rsid w:val="00FF025B"/>
    <w:rsid w:val="00FF102A"/>
    <w:rsid w:val="00FF19AC"/>
    <w:rsid w:val="00FF25C6"/>
    <w:rsid w:val="00FF2E84"/>
    <w:rsid w:val="00FF32F5"/>
    <w:rsid w:val="00FF373F"/>
    <w:rsid w:val="00FF3C77"/>
    <w:rsid w:val="00FF42A2"/>
    <w:rsid w:val="00FF430F"/>
    <w:rsid w:val="00FF45EA"/>
    <w:rsid w:val="00FF4C4B"/>
    <w:rsid w:val="00FF5CD3"/>
    <w:rsid w:val="00FF64FD"/>
    <w:rsid w:val="00FF65ED"/>
    <w:rsid w:val="00FF68F1"/>
    <w:rsid w:val="00FF6CF9"/>
    <w:rsid w:val="00FF7405"/>
    <w:rsid w:val="00FF7590"/>
    <w:rsid w:val="00FF7DF0"/>
    <w:rsid w:val="00FF7EDA"/>
    <w:rsid w:val="010543AF"/>
    <w:rsid w:val="015CFE74"/>
    <w:rsid w:val="01C5F862"/>
    <w:rsid w:val="01FCA516"/>
    <w:rsid w:val="02654985"/>
    <w:rsid w:val="02A08A58"/>
    <w:rsid w:val="0308BC11"/>
    <w:rsid w:val="0328EF00"/>
    <w:rsid w:val="0372ED3B"/>
    <w:rsid w:val="039F6B96"/>
    <w:rsid w:val="03A41847"/>
    <w:rsid w:val="03B942C8"/>
    <w:rsid w:val="03BD9037"/>
    <w:rsid w:val="03CEE853"/>
    <w:rsid w:val="03F0D429"/>
    <w:rsid w:val="0433300D"/>
    <w:rsid w:val="0449DB31"/>
    <w:rsid w:val="046DBC3B"/>
    <w:rsid w:val="049D27CC"/>
    <w:rsid w:val="04CC80BE"/>
    <w:rsid w:val="04EB3183"/>
    <w:rsid w:val="0527C8E1"/>
    <w:rsid w:val="0552B96A"/>
    <w:rsid w:val="05643DF7"/>
    <w:rsid w:val="05785C89"/>
    <w:rsid w:val="05C2DC70"/>
    <w:rsid w:val="05CA8459"/>
    <w:rsid w:val="0601972A"/>
    <w:rsid w:val="06198092"/>
    <w:rsid w:val="0656503E"/>
    <w:rsid w:val="0665148C"/>
    <w:rsid w:val="0673B43A"/>
    <w:rsid w:val="06BD2029"/>
    <w:rsid w:val="06D6BF6C"/>
    <w:rsid w:val="07464067"/>
    <w:rsid w:val="074D4D4A"/>
    <w:rsid w:val="074F37DD"/>
    <w:rsid w:val="0756AE3E"/>
    <w:rsid w:val="0788620E"/>
    <w:rsid w:val="07D14D85"/>
    <w:rsid w:val="07D62314"/>
    <w:rsid w:val="07D7D848"/>
    <w:rsid w:val="07E7773E"/>
    <w:rsid w:val="0849998D"/>
    <w:rsid w:val="085C0054"/>
    <w:rsid w:val="08D2C3E4"/>
    <w:rsid w:val="08F1D21F"/>
    <w:rsid w:val="098A5776"/>
    <w:rsid w:val="09D07BD4"/>
    <w:rsid w:val="0A195A97"/>
    <w:rsid w:val="0A1C23B4"/>
    <w:rsid w:val="0A636F98"/>
    <w:rsid w:val="0A6E2119"/>
    <w:rsid w:val="0A91B192"/>
    <w:rsid w:val="0BD7BA4A"/>
    <w:rsid w:val="0C71B431"/>
    <w:rsid w:val="0D30CD1E"/>
    <w:rsid w:val="0D3BEA9A"/>
    <w:rsid w:val="0D50BA7E"/>
    <w:rsid w:val="0D52ABD7"/>
    <w:rsid w:val="0E09B843"/>
    <w:rsid w:val="0E10AE59"/>
    <w:rsid w:val="0E68C63F"/>
    <w:rsid w:val="0E8432E5"/>
    <w:rsid w:val="0F11EDB2"/>
    <w:rsid w:val="0F76E8E2"/>
    <w:rsid w:val="0F807C81"/>
    <w:rsid w:val="0FAFD502"/>
    <w:rsid w:val="10D7CB15"/>
    <w:rsid w:val="1107315D"/>
    <w:rsid w:val="1123554D"/>
    <w:rsid w:val="11305C9A"/>
    <w:rsid w:val="113C3405"/>
    <w:rsid w:val="11926896"/>
    <w:rsid w:val="11BD6761"/>
    <w:rsid w:val="11D01B2C"/>
    <w:rsid w:val="120FE7DB"/>
    <w:rsid w:val="12287E5B"/>
    <w:rsid w:val="12C53E73"/>
    <w:rsid w:val="13056870"/>
    <w:rsid w:val="1418DFB9"/>
    <w:rsid w:val="142907C5"/>
    <w:rsid w:val="14782AF3"/>
    <w:rsid w:val="14B16A37"/>
    <w:rsid w:val="1522A55C"/>
    <w:rsid w:val="154CF833"/>
    <w:rsid w:val="15D33DBD"/>
    <w:rsid w:val="15FA6960"/>
    <w:rsid w:val="1632DA0E"/>
    <w:rsid w:val="16AE9772"/>
    <w:rsid w:val="16CC805C"/>
    <w:rsid w:val="16FF4320"/>
    <w:rsid w:val="170A562E"/>
    <w:rsid w:val="1733896A"/>
    <w:rsid w:val="174C4130"/>
    <w:rsid w:val="177B8116"/>
    <w:rsid w:val="17855D9E"/>
    <w:rsid w:val="178FF31A"/>
    <w:rsid w:val="17D31F2C"/>
    <w:rsid w:val="1842734F"/>
    <w:rsid w:val="185A262D"/>
    <w:rsid w:val="191DFD94"/>
    <w:rsid w:val="193FE489"/>
    <w:rsid w:val="196D82F6"/>
    <w:rsid w:val="19B5F246"/>
    <w:rsid w:val="1A1605BC"/>
    <w:rsid w:val="1A2C83E0"/>
    <w:rsid w:val="1A411572"/>
    <w:rsid w:val="1A44C37D"/>
    <w:rsid w:val="1A61B8A9"/>
    <w:rsid w:val="1A70EC96"/>
    <w:rsid w:val="1A9B4BEA"/>
    <w:rsid w:val="1AF08B72"/>
    <w:rsid w:val="1B2C0435"/>
    <w:rsid w:val="1BB54B1B"/>
    <w:rsid w:val="1BE390E3"/>
    <w:rsid w:val="1BE6D5AC"/>
    <w:rsid w:val="1CBDF48E"/>
    <w:rsid w:val="1CDB2CE6"/>
    <w:rsid w:val="1CFC49B9"/>
    <w:rsid w:val="1D1AA3EA"/>
    <w:rsid w:val="1D57B45C"/>
    <w:rsid w:val="1D5D32EE"/>
    <w:rsid w:val="1D992461"/>
    <w:rsid w:val="1DC1EAAC"/>
    <w:rsid w:val="1DCAA4B6"/>
    <w:rsid w:val="1E485EA6"/>
    <w:rsid w:val="1E511239"/>
    <w:rsid w:val="1E75C0F3"/>
    <w:rsid w:val="1E7F478A"/>
    <w:rsid w:val="1EABFF6C"/>
    <w:rsid w:val="1EE5E1D7"/>
    <w:rsid w:val="1EEAF8BD"/>
    <w:rsid w:val="1F3B07C6"/>
    <w:rsid w:val="1F4441ED"/>
    <w:rsid w:val="1F6880F7"/>
    <w:rsid w:val="202A786B"/>
    <w:rsid w:val="2058BF3F"/>
    <w:rsid w:val="2098E857"/>
    <w:rsid w:val="20A849A0"/>
    <w:rsid w:val="21CB7547"/>
    <w:rsid w:val="2201B009"/>
    <w:rsid w:val="229148AC"/>
    <w:rsid w:val="22E659B8"/>
    <w:rsid w:val="231B5607"/>
    <w:rsid w:val="2492B2F8"/>
    <w:rsid w:val="249B149C"/>
    <w:rsid w:val="24A95AA2"/>
    <w:rsid w:val="24D99571"/>
    <w:rsid w:val="251585B1"/>
    <w:rsid w:val="25158D34"/>
    <w:rsid w:val="2520B05B"/>
    <w:rsid w:val="255C4CC2"/>
    <w:rsid w:val="258D828E"/>
    <w:rsid w:val="25C5E7C3"/>
    <w:rsid w:val="25C7E90C"/>
    <w:rsid w:val="25D3D090"/>
    <w:rsid w:val="25E2AB3F"/>
    <w:rsid w:val="26B1A2B2"/>
    <w:rsid w:val="26C371ED"/>
    <w:rsid w:val="2726F361"/>
    <w:rsid w:val="27A0E7CD"/>
    <w:rsid w:val="27BA6585"/>
    <w:rsid w:val="27C27AAB"/>
    <w:rsid w:val="27DB7DA9"/>
    <w:rsid w:val="284AC989"/>
    <w:rsid w:val="288A5C0B"/>
    <w:rsid w:val="288DDA2E"/>
    <w:rsid w:val="290E9DD8"/>
    <w:rsid w:val="29AEF294"/>
    <w:rsid w:val="29C5547E"/>
    <w:rsid w:val="29DDA990"/>
    <w:rsid w:val="2AD6E348"/>
    <w:rsid w:val="2ADC2D60"/>
    <w:rsid w:val="2BAFE036"/>
    <w:rsid w:val="2BD2D8FA"/>
    <w:rsid w:val="2C022482"/>
    <w:rsid w:val="2C125F43"/>
    <w:rsid w:val="2C1E8483"/>
    <w:rsid w:val="2C44D62C"/>
    <w:rsid w:val="2D117758"/>
    <w:rsid w:val="2D477D3F"/>
    <w:rsid w:val="2DA5415C"/>
    <w:rsid w:val="2DC088A7"/>
    <w:rsid w:val="2DEE298A"/>
    <w:rsid w:val="2DFB730C"/>
    <w:rsid w:val="2E13F812"/>
    <w:rsid w:val="2E517C1B"/>
    <w:rsid w:val="2E94B979"/>
    <w:rsid w:val="2EA5CE3A"/>
    <w:rsid w:val="2EF0EAF0"/>
    <w:rsid w:val="2F771A77"/>
    <w:rsid w:val="2F9D345E"/>
    <w:rsid w:val="2FAD4DB4"/>
    <w:rsid w:val="2FDD168A"/>
    <w:rsid w:val="301FE322"/>
    <w:rsid w:val="30D208D2"/>
    <w:rsid w:val="31089958"/>
    <w:rsid w:val="31132804"/>
    <w:rsid w:val="31293E75"/>
    <w:rsid w:val="31638239"/>
    <w:rsid w:val="318A5592"/>
    <w:rsid w:val="318AA71B"/>
    <w:rsid w:val="32190346"/>
    <w:rsid w:val="3238A0CD"/>
    <w:rsid w:val="3286CE5C"/>
    <w:rsid w:val="32AAB49C"/>
    <w:rsid w:val="32B56F74"/>
    <w:rsid w:val="32BAA2FF"/>
    <w:rsid w:val="32CEF9D6"/>
    <w:rsid w:val="334F35D9"/>
    <w:rsid w:val="341E950A"/>
    <w:rsid w:val="34215600"/>
    <w:rsid w:val="344284C6"/>
    <w:rsid w:val="34435385"/>
    <w:rsid w:val="349AF1BE"/>
    <w:rsid w:val="35546D38"/>
    <w:rsid w:val="35607106"/>
    <w:rsid w:val="35671413"/>
    <w:rsid w:val="35B685E9"/>
    <w:rsid w:val="36018A61"/>
    <w:rsid w:val="36528FC0"/>
    <w:rsid w:val="365F49A4"/>
    <w:rsid w:val="372CC614"/>
    <w:rsid w:val="375E8ADB"/>
    <w:rsid w:val="37B0FDEE"/>
    <w:rsid w:val="37B42FD1"/>
    <w:rsid w:val="382F0E82"/>
    <w:rsid w:val="385593AC"/>
    <w:rsid w:val="38ACEEB5"/>
    <w:rsid w:val="38C2EAC9"/>
    <w:rsid w:val="39147C6C"/>
    <w:rsid w:val="396E2E42"/>
    <w:rsid w:val="397E92D1"/>
    <w:rsid w:val="39890A1D"/>
    <w:rsid w:val="39C1D216"/>
    <w:rsid w:val="3A00E000"/>
    <w:rsid w:val="3A2FEF3B"/>
    <w:rsid w:val="3AB518AD"/>
    <w:rsid w:val="3ADA7A01"/>
    <w:rsid w:val="3B39C35C"/>
    <w:rsid w:val="3BFE695C"/>
    <w:rsid w:val="3C1DF241"/>
    <w:rsid w:val="3C33E8D2"/>
    <w:rsid w:val="3C64CC37"/>
    <w:rsid w:val="3C7D762F"/>
    <w:rsid w:val="3C7FD77E"/>
    <w:rsid w:val="3D117AF0"/>
    <w:rsid w:val="3D4674CB"/>
    <w:rsid w:val="3DBDEAAA"/>
    <w:rsid w:val="3E798365"/>
    <w:rsid w:val="3E90C549"/>
    <w:rsid w:val="3EAFAACD"/>
    <w:rsid w:val="3EE706FD"/>
    <w:rsid w:val="3F46712C"/>
    <w:rsid w:val="3F9255AE"/>
    <w:rsid w:val="400E3C6F"/>
    <w:rsid w:val="4056A258"/>
    <w:rsid w:val="40AF5381"/>
    <w:rsid w:val="40D43717"/>
    <w:rsid w:val="40E2C589"/>
    <w:rsid w:val="41106406"/>
    <w:rsid w:val="4156C8F2"/>
    <w:rsid w:val="41E6FBBA"/>
    <w:rsid w:val="41F57AB8"/>
    <w:rsid w:val="41FC83D3"/>
    <w:rsid w:val="4256EDE4"/>
    <w:rsid w:val="43176CEB"/>
    <w:rsid w:val="431BF5B6"/>
    <w:rsid w:val="43303302"/>
    <w:rsid w:val="438D5595"/>
    <w:rsid w:val="4390DC80"/>
    <w:rsid w:val="439FBA0E"/>
    <w:rsid w:val="43B3D8ED"/>
    <w:rsid w:val="43B5A4F3"/>
    <w:rsid w:val="4406BA9B"/>
    <w:rsid w:val="447D7CE4"/>
    <w:rsid w:val="456F3B01"/>
    <w:rsid w:val="45B42072"/>
    <w:rsid w:val="4616174F"/>
    <w:rsid w:val="4626E8F7"/>
    <w:rsid w:val="46601A1D"/>
    <w:rsid w:val="468CA340"/>
    <w:rsid w:val="46A1C0EB"/>
    <w:rsid w:val="46B541F2"/>
    <w:rsid w:val="46CD2B4C"/>
    <w:rsid w:val="46D3A26A"/>
    <w:rsid w:val="46DCCFDA"/>
    <w:rsid w:val="46F69E16"/>
    <w:rsid w:val="471BDC2B"/>
    <w:rsid w:val="47D4F9FC"/>
    <w:rsid w:val="485CB070"/>
    <w:rsid w:val="485E328B"/>
    <w:rsid w:val="485EEBBC"/>
    <w:rsid w:val="486E6FE3"/>
    <w:rsid w:val="489B687B"/>
    <w:rsid w:val="48CF1439"/>
    <w:rsid w:val="48FBC5E2"/>
    <w:rsid w:val="495F4A14"/>
    <w:rsid w:val="498179D9"/>
    <w:rsid w:val="4A01132A"/>
    <w:rsid w:val="4A0F1F89"/>
    <w:rsid w:val="4A748553"/>
    <w:rsid w:val="4A7BB9DA"/>
    <w:rsid w:val="4ABBFEBE"/>
    <w:rsid w:val="4AD17C44"/>
    <w:rsid w:val="4ADF6387"/>
    <w:rsid w:val="4B182BF8"/>
    <w:rsid w:val="4B61649D"/>
    <w:rsid w:val="4CDA587E"/>
    <w:rsid w:val="4D0A6FFF"/>
    <w:rsid w:val="4D938200"/>
    <w:rsid w:val="4DAA734B"/>
    <w:rsid w:val="4DD758D6"/>
    <w:rsid w:val="4E206F20"/>
    <w:rsid w:val="4E3359E3"/>
    <w:rsid w:val="4E553500"/>
    <w:rsid w:val="4E814247"/>
    <w:rsid w:val="4F41270F"/>
    <w:rsid w:val="4F42E7DA"/>
    <w:rsid w:val="4F451B3E"/>
    <w:rsid w:val="4FB4E973"/>
    <w:rsid w:val="5009228A"/>
    <w:rsid w:val="50313B8F"/>
    <w:rsid w:val="505B29BD"/>
    <w:rsid w:val="5060EA20"/>
    <w:rsid w:val="509E05C6"/>
    <w:rsid w:val="50A0251B"/>
    <w:rsid w:val="5109DFB9"/>
    <w:rsid w:val="512D6886"/>
    <w:rsid w:val="514B4C7F"/>
    <w:rsid w:val="51FCBC5C"/>
    <w:rsid w:val="52566314"/>
    <w:rsid w:val="52AA0137"/>
    <w:rsid w:val="52D90326"/>
    <w:rsid w:val="532F3EC4"/>
    <w:rsid w:val="533EC1A4"/>
    <w:rsid w:val="53A38D35"/>
    <w:rsid w:val="53E700D5"/>
    <w:rsid w:val="53EC4408"/>
    <w:rsid w:val="5415D41F"/>
    <w:rsid w:val="5425CDD3"/>
    <w:rsid w:val="543DD24D"/>
    <w:rsid w:val="54680A72"/>
    <w:rsid w:val="54B30886"/>
    <w:rsid w:val="54BC298C"/>
    <w:rsid w:val="551C2AE0"/>
    <w:rsid w:val="5521AA6F"/>
    <w:rsid w:val="555B904B"/>
    <w:rsid w:val="556D8FC2"/>
    <w:rsid w:val="5601578B"/>
    <w:rsid w:val="56546971"/>
    <w:rsid w:val="566AED94"/>
    <w:rsid w:val="569CA27E"/>
    <w:rsid w:val="56F6E43D"/>
    <w:rsid w:val="5790ED06"/>
    <w:rsid w:val="5883712E"/>
    <w:rsid w:val="5911F400"/>
    <w:rsid w:val="591F96D4"/>
    <w:rsid w:val="5927E9FC"/>
    <w:rsid w:val="5946320B"/>
    <w:rsid w:val="599735A3"/>
    <w:rsid w:val="599BA159"/>
    <w:rsid w:val="599C4E55"/>
    <w:rsid w:val="599E41D2"/>
    <w:rsid w:val="59ACE569"/>
    <w:rsid w:val="5A2954D2"/>
    <w:rsid w:val="5A33F667"/>
    <w:rsid w:val="5AB0E11E"/>
    <w:rsid w:val="5B0BBD10"/>
    <w:rsid w:val="5B1F1EDA"/>
    <w:rsid w:val="5B5CFA7D"/>
    <w:rsid w:val="5B678DEE"/>
    <w:rsid w:val="5BA9A453"/>
    <w:rsid w:val="5C208075"/>
    <w:rsid w:val="5C2AAC89"/>
    <w:rsid w:val="5C45B9DB"/>
    <w:rsid w:val="5C7F9109"/>
    <w:rsid w:val="5C97B220"/>
    <w:rsid w:val="5CB94343"/>
    <w:rsid w:val="5DA40AC3"/>
    <w:rsid w:val="5E55CA84"/>
    <w:rsid w:val="5E6273DA"/>
    <w:rsid w:val="5EB82A4B"/>
    <w:rsid w:val="5F5AB342"/>
    <w:rsid w:val="5F960C74"/>
    <w:rsid w:val="5FFAB44C"/>
    <w:rsid w:val="6080C714"/>
    <w:rsid w:val="60DD223B"/>
    <w:rsid w:val="615215FF"/>
    <w:rsid w:val="6183D9ED"/>
    <w:rsid w:val="62432491"/>
    <w:rsid w:val="62F0ED78"/>
    <w:rsid w:val="63073462"/>
    <w:rsid w:val="63276B9F"/>
    <w:rsid w:val="634D8970"/>
    <w:rsid w:val="6363F00B"/>
    <w:rsid w:val="6389EAF1"/>
    <w:rsid w:val="63C98FF3"/>
    <w:rsid w:val="6427100B"/>
    <w:rsid w:val="647C9B07"/>
    <w:rsid w:val="6497D027"/>
    <w:rsid w:val="64DA0C33"/>
    <w:rsid w:val="650AC278"/>
    <w:rsid w:val="656E4864"/>
    <w:rsid w:val="65E57578"/>
    <w:rsid w:val="66BE7DDA"/>
    <w:rsid w:val="66BFEC9B"/>
    <w:rsid w:val="6707EB54"/>
    <w:rsid w:val="675E0F8E"/>
    <w:rsid w:val="67B8C2DC"/>
    <w:rsid w:val="67CDA19B"/>
    <w:rsid w:val="67E7BB7D"/>
    <w:rsid w:val="68822004"/>
    <w:rsid w:val="693800CF"/>
    <w:rsid w:val="6953BD42"/>
    <w:rsid w:val="6AE8CB29"/>
    <w:rsid w:val="6AEAEEA4"/>
    <w:rsid w:val="6B0923E2"/>
    <w:rsid w:val="6B4B7A9D"/>
    <w:rsid w:val="6B7A2001"/>
    <w:rsid w:val="6B96A38E"/>
    <w:rsid w:val="6C4FE63F"/>
    <w:rsid w:val="6D05271D"/>
    <w:rsid w:val="6D3DDFB8"/>
    <w:rsid w:val="6D93B076"/>
    <w:rsid w:val="6DAB3F7B"/>
    <w:rsid w:val="6DE717F4"/>
    <w:rsid w:val="6E2AC632"/>
    <w:rsid w:val="6EDB25A7"/>
    <w:rsid w:val="6EE85347"/>
    <w:rsid w:val="6F0BA8EF"/>
    <w:rsid w:val="6F2D1CEE"/>
    <w:rsid w:val="6F37ED6F"/>
    <w:rsid w:val="6FEDA89D"/>
    <w:rsid w:val="6FEEAA32"/>
    <w:rsid w:val="7087344D"/>
    <w:rsid w:val="73214E15"/>
    <w:rsid w:val="734F2EA3"/>
    <w:rsid w:val="73D16EA9"/>
    <w:rsid w:val="73F66BD1"/>
    <w:rsid w:val="742A183D"/>
    <w:rsid w:val="742A7D6E"/>
    <w:rsid w:val="746D5324"/>
    <w:rsid w:val="7486AC3E"/>
    <w:rsid w:val="7516B1E3"/>
    <w:rsid w:val="755FA158"/>
    <w:rsid w:val="7566D81E"/>
    <w:rsid w:val="75DC4C2D"/>
    <w:rsid w:val="76551FF1"/>
    <w:rsid w:val="76DBCB0B"/>
    <w:rsid w:val="781CB490"/>
    <w:rsid w:val="7823E1D1"/>
    <w:rsid w:val="7882C469"/>
    <w:rsid w:val="7886F7E5"/>
    <w:rsid w:val="788E8FA8"/>
    <w:rsid w:val="78A711B5"/>
    <w:rsid w:val="78F62C84"/>
    <w:rsid w:val="78FAB634"/>
    <w:rsid w:val="790EB20D"/>
    <w:rsid w:val="79B233B3"/>
    <w:rsid w:val="79E66066"/>
    <w:rsid w:val="79E7B85D"/>
    <w:rsid w:val="7AABA886"/>
    <w:rsid w:val="7AB9B560"/>
    <w:rsid w:val="7B5229FB"/>
    <w:rsid w:val="7B82DD17"/>
    <w:rsid w:val="7B9C21FC"/>
    <w:rsid w:val="7BD9D3B1"/>
    <w:rsid w:val="7C4436FC"/>
    <w:rsid w:val="7CC7713E"/>
    <w:rsid w:val="7CD8778F"/>
    <w:rsid w:val="7CDB36F9"/>
    <w:rsid w:val="7CF22850"/>
    <w:rsid w:val="7D0B6833"/>
    <w:rsid w:val="7D3F9DAC"/>
    <w:rsid w:val="7D6945C7"/>
    <w:rsid w:val="7D8324F7"/>
    <w:rsid w:val="7D8BCE0A"/>
    <w:rsid w:val="7E1B2210"/>
    <w:rsid w:val="7E1CE0EE"/>
    <w:rsid w:val="7E7115A8"/>
    <w:rsid w:val="7EA72393"/>
    <w:rsid w:val="7F2CE527"/>
    <w:rsid w:val="7F5429AB"/>
    <w:rsid w:val="7F63F01B"/>
    <w:rsid w:val="7F7D841B"/>
    <w:rsid w:val="7FB874DC"/>
    <w:rsid w:val="7FC370AF"/>
    <w:rsid w:val="7FFA62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B2E9A4"/>
  <w15:chartTrackingRefBased/>
  <w15:docId w15:val="{95B86977-2486-4FB3-8C0A-F9C1FC86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 w:eastAsia="sk-SK"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58A"/>
    <w:pPr>
      <w:spacing w:after="200" w:line="276" w:lineRule="auto"/>
    </w:pPr>
    <w:rPr>
      <w:rFonts w:ascii="Calibri" w:eastAsia="Calibri" w:hAnsi="Calibri" w:cs="Myanmar Text"/>
      <w:kern w:val="0"/>
    </w:rPr>
  </w:style>
  <w:style w:type="paragraph" w:styleId="Heading1">
    <w:name w:val="heading 1"/>
    <w:basedOn w:val="Normal"/>
    <w:next w:val="Normal"/>
    <w:link w:val="Heading1Char"/>
    <w:uiPriority w:val="9"/>
    <w:qFormat/>
    <w:rsid w:val="00620A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20A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20A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620A4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620A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20A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A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A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A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A4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20A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20A4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620A4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620A4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20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A46"/>
    <w:rPr>
      <w:rFonts w:eastAsiaTheme="majorEastAsia" w:cstheme="majorBidi"/>
      <w:color w:val="272727" w:themeColor="text1" w:themeTint="D8"/>
    </w:rPr>
  </w:style>
  <w:style w:type="paragraph" w:styleId="Title">
    <w:name w:val="Title"/>
    <w:basedOn w:val="Normal"/>
    <w:next w:val="Normal"/>
    <w:link w:val="TitleChar"/>
    <w:uiPriority w:val="10"/>
    <w:qFormat/>
    <w:rsid w:val="00620A46"/>
    <w:pPr>
      <w:spacing w:after="8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rsid w:val="00620A4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rsid w:val="00620A46"/>
    <w:pPr>
      <w:numPr>
        <w:ilvl w:val="1"/>
      </w:numPr>
      <w:spacing w:after="160"/>
    </w:pPr>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620A46"/>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620A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0A46"/>
    <w:rPr>
      <w:rFonts w:ascii="Calibri" w:hAnsi="Calibri" w:cs="Calibri"/>
      <w:i/>
      <w:iCs/>
      <w:color w:val="404040" w:themeColor="text1" w:themeTint="BF"/>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620A46"/>
    <w:pPr>
      <w:ind w:left="720"/>
      <w:contextualSpacing/>
    </w:pPr>
  </w:style>
  <w:style w:type="character" w:styleId="IntenseEmphasis">
    <w:name w:val="Intense Emphasis"/>
    <w:basedOn w:val="DefaultParagraphFont"/>
    <w:uiPriority w:val="21"/>
    <w:qFormat/>
    <w:rsid w:val="00620A46"/>
    <w:rPr>
      <w:i/>
      <w:iCs/>
      <w:color w:val="365F91" w:themeColor="accent1" w:themeShade="BF"/>
    </w:rPr>
  </w:style>
  <w:style w:type="paragraph" w:styleId="IntenseQuote">
    <w:name w:val="Intense Quote"/>
    <w:basedOn w:val="Normal"/>
    <w:next w:val="Normal"/>
    <w:link w:val="IntenseQuoteChar"/>
    <w:uiPriority w:val="30"/>
    <w:qFormat/>
    <w:rsid w:val="00620A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0A46"/>
    <w:rPr>
      <w:rFonts w:ascii="Calibri" w:hAnsi="Calibri" w:cs="Calibri"/>
      <w:i/>
      <w:iCs/>
      <w:color w:val="365F91" w:themeColor="accent1" w:themeShade="BF"/>
    </w:rPr>
  </w:style>
  <w:style w:type="character" w:styleId="IntenseReference">
    <w:name w:val="Intense Reference"/>
    <w:basedOn w:val="DefaultParagraphFont"/>
    <w:uiPriority w:val="32"/>
    <w:qFormat/>
    <w:rsid w:val="00620A46"/>
    <w:rPr>
      <w:b/>
      <w:bCs/>
      <w:smallCaps/>
      <w:color w:val="365F91" w:themeColor="accent1" w:themeShade="BF"/>
    </w:rPr>
  </w:style>
  <w:style w:type="paragraph" w:styleId="Header">
    <w:name w:val="header"/>
    <w:basedOn w:val="Normal"/>
    <w:link w:val="HeaderChar"/>
    <w:uiPriority w:val="99"/>
    <w:unhideWhenUsed/>
    <w:rsid w:val="00620A46"/>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620A46"/>
    <w:rPr>
      <w:rFonts w:ascii="Times New Roman" w:eastAsia="Calibri" w:hAnsi="Times New Roman" w:cs="Times New Roman"/>
      <w:kern w:val="0"/>
      <w:sz w:val="24"/>
    </w:rPr>
  </w:style>
  <w:style w:type="paragraph" w:styleId="Footer">
    <w:name w:val="footer"/>
    <w:basedOn w:val="Normal"/>
    <w:link w:val="FooterChar"/>
    <w:uiPriority w:val="99"/>
    <w:unhideWhenUsed/>
    <w:rsid w:val="00620A4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620A46"/>
    <w:rPr>
      <w:rFonts w:ascii="Times New Roman" w:eastAsia="Calibri" w:hAnsi="Times New Roman" w:cs="Times New Roman"/>
      <w:kern w:val="0"/>
      <w:sz w:val="24"/>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620A46"/>
    <w:rPr>
      <w:rFonts w:ascii="Calibri" w:hAnsi="Calibri" w:cs="Calibri"/>
    </w:rPr>
  </w:style>
  <w:style w:type="paragraph" w:customStyle="1" w:styleId="HeaderCouncilLarge">
    <w:name w:val="Header Council Large"/>
    <w:basedOn w:val="Normal"/>
    <w:link w:val="HeaderCouncilLargeChar"/>
    <w:rsid w:val="00620A46"/>
    <w:pPr>
      <w:spacing w:after="440"/>
    </w:pPr>
    <w:rPr>
      <w:sz w:val="2"/>
    </w:rPr>
  </w:style>
  <w:style w:type="character" w:customStyle="1" w:styleId="HeaderCouncilLargeChar">
    <w:name w:val="Header Council Large Char"/>
    <w:basedOn w:val="DefaultParagraphFont"/>
    <w:link w:val="HeaderCouncilLarge"/>
    <w:rsid w:val="00620A46"/>
    <w:rPr>
      <w:rFonts w:ascii="Calibri" w:eastAsia="Calibri" w:hAnsi="Calibri" w:cs="Myanmar Text"/>
      <w:kern w:val="0"/>
      <w:sz w:val="2"/>
    </w:rPr>
  </w:style>
  <w:style w:type="paragraph" w:customStyle="1" w:styleId="FooterCouncil">
    <w:name w:val="Footer Council"/>
    <w:basedOn w:val="Normal"/>
    <w:link w:val="FooterCouncilChar"/>
    <w:rsid w:val="00620A46"/>
    <w:pPr>
      <w:spacing w:after="0"/>
    </w:pPr>
    <w:rPr>
      <w:sz w:val="2"/>
    </w:rPr>
  </w:style>
  <w:style w:type="character" w:customStyle="1" w:styleId="FooterCouncilChar">
    <w:name w:val="Footer Council Char"/>
    <w:basedOn w:val="DefaultParagraphFont"/>
    <w:link w:val="FooterCouncil"/>
    <w:rsid w:val="00620A46"/>
    <w:rPr>
      <w:rFonts w:ascii="Calibri" w:eastAsia="Calibri" w:hAnsi="Calibri" w:cs="Myanmar Text"/>
      <w:kern w:val="0"/>
      <w:sz w:val="2"/>
    </w:rPr>
  </w:style>
  <w:style w:type="paragraph" w:styleId="Revision">
    <w:name w:val="Revision"/>
    <w:hidden/>
    <w:uiPriority w:val="99"/>
    <w:semiHidden/>
    <w:rsid w:val="00184BFD"/>
    <w:rPr>
      <w:rFonts w:ascii="Calibri" w:eastAsia="Calibri" w:hAnsi="Calibri" w:cs="Myanmar Text"/>
      <w:kern w:val="0"/>
    </w:rPr>
  </w:style>
  <w:style w:type="character" w:styleId="CommentReference">
    <w:name w:val="annotation reference"/>
    <w:basedOn w:val="DefaultParagraphFont"/>
    <w:uiPriority w:val="99"/>
    <w:unhideWhenUsed/>
    <w:rsid w:val="00717D82"/>
    <w:rPr>
      <w:sz w:val="16"/>
      <w:szCs w:val="16"/>
    </w:rPr>
  </w:style>
  <w:style w:type="paragraph" w:styleId="CommentText">
    <w:name w:val="annotation text"/>
    <w:basedOn w:val="Normal"/>
    <w:link w:val="CommentTextChar"/>
    <w:uiPriority w:val="99"/>
    <w:unhideWhenUsed/>
    <w:rsid w:val="00717D82"/>
    <w:pPr>
      <w:spacing w:line="240" w:lineRule="auto"/>
    </w:pPr>
    <w:rPr>
      <w:sz w:val="20"/>
      <w:szCs w:val="20"/>
    </w:rPr>
  </w:style>
  <w:style w:type="character" w:customStyle="1" w:styleId="CommentTextChar">
    <w:name w:val="Comment Text Char"/>
    <w:basedOn w:val="DefaultParagraphFont"/>
    <w:link w:val="CommentText"/>
    <w:uiPriority w:val="99"/>
    <w:rsid w:val="00717D82"/>
    <w:rPr>
      <w:rFonts w:ascii="Calibri" w:eastAsia="Calibri" w:hAnsi="Calibri" w:cs="Myanmar Text"/>
      <w:kern w:val="0"/>
      <w:sz w:val="20"/>
      <w:szCs w:val="20"/>
    </w:rPr>
  </w:style>
  <w:style w:type="paragraph" w:styleId="CommentSubject">
    <w:name w:val="annotation subject"/>
    <w:basedOn w:val="CommentText"/>
    <w:next w:val="CommentText"/>
    <w:link w:val="CommentSubjectChar"/>
    <w:uiPriority w:val="99"/>
    <w:semiHidden/>
    <w:unhideWhenUsed/>
    <w:rsid w:val="00717D82"/>
    <w:rPr>
      <w:b/>
      <w:bCs/>
    </w:rPr>
  </w:style>
  <w:style w:type="character" w:customStyle="1" w:styleId="CommentSubjectChar">
    <w:name w:val="Comment Subject Char"/>
    <w:basedOn w:val="CommentTextChar"/>
    <w:link w:val="CommentSubject"/>
    <w:uiPriority w:val="99"/>
    <w:semiHidden/>
    <w:rsid w:val="00717D82"/>
    <w:rPr>
      <w:rFonts w:ascii="Calibri" w:eastAsia="Calibri" w:hAnsi="Calibri" w:cs="Myanmar Text"/>
      <w:b/>
      <w:bCs/>
      <w:kern w:val="0"/>
      <w:sz w:val="20"/>
      <w:szCs w:val="20"/>
    </w:rPr>
  </w:style>
  <w:style w:type="character" w:customStyle="1" w:styleId="Mention">
    <w:name w:val="Mention"/>
    <w:basedOn w:val="DefaultParagraphFont"/>
    <w:uiPriority w:val="99"/>
    <w:unhideWhenUsed/>
    <w:rsid w:val="00CD745B"/>
    <w:rPr>
      <w:color w:val="2B579A"/>
      <w:shd w:val="clear" w:color="auto" w:fill="E1DFDD"/>
    </w:rPr>
  </w:style>
  <w:style w:type="character" w:styleId="Hyperlink">
    <w:name w:val="Hyperlink"/>
    <w:basedOn w:val="DefaultParagraphFont"/>
    <w:uiPriority w:val="99"/>
    <w:unhideWhenUsed/>
    <w:rsid w:val="0090177B"/>
    <w:rPr>
      <w:color w:val="0000FF" w:themeColor="hyperlink"/>
      <w:u w:val="single"/>
    </w:rPr>
  </w:style>
  <w:style w:type="character" w:customStyle="1" w:styleId="UnresolvedMention">
    <w:name w:val="Unresolved Mention"/>
    <w:basedOn w:val="DefaultParagraphFont"/>
    <w:uiPriority w:val="99"/>
    <w:semiHidden/>
    <w:unhideWhenUsed/>
    <w:rsid w:val="0090177B"/>
    <w:rPr>
      <w:color w:val="605E5C"/>
      <w:shd w:val="clear" w:color="auto" w:fill="E1DFDD"/>
    </w:rPr>
  </w:style>
  <w:style w:type="paragraph" w:styleId="FootnoteText">
    <w:name w:val="footnote text"/>
    <w:basedOn w:val="Normal"/>
    <w:link w:val="FootnoteTextChar"/>
    <w:uiPriority w:val="99"/>
    <w:unhideWhenUsed/>
    <w:rsid w:val="00315FC0"/>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315FC0"/>
    <w:rPr>
      <w:rFonts w:ascii="Times New Roman" w:eastAsia="Calibri" w:hAnsi="Times New Roman" w:cs="Times New Roman"/>
      <w:kern w:val="0"/>
      <w:sz w:val="20"/>
      <w:szCs w:val="20"/>
    </w:rPr>
  </w:style>
  <w:style w:type="character" w:styleId="FootnoteReference">
    <w:name w:val="footnote reference"/>
    <w:uiPriority w:val="99"/>
    <w:unhideWhenUsed/>
    <w:rsid w:val="00315FC0"/>
    <w:rPr>
      <w:shd w:val="clear" w:color="auto" w:fill="auto"/>
      <w:vertAlign w:val="superscript"/>
    </w:rPr>
  </w:style>
  <w:style w:type="character" w:customStyle="1" w:styleId="normaltextrun">
    <w:name w:val="normaltextrun"/>
    <w:basedOn w:val="DefaultParagraphFont"/>
    <w:rsid w:val="00315FC0"/>
  </w:style>
  <w:style w:type="paragraph" w:customStyle="1" w:styleId="LegalNumPar">
    <w:name w:val="LegalNumPar"/>
    <w:basedOn w:val="Normal"/>
    <w:rsid w:val="00315FC0"/>
    <w:pPr>
      <w:numPr>
        <w:numId w:val="3"/>
      </w:numPr>
      <w:spacing w:after="160" w:line="259" w:lineRule="auto"/>
    </w:pPr>
    <w:rPr>
      <w:rFonts w:asciiTheme="minorHAnsi" w:eastAsiaTheme="minorHAnsi" w:hAnsiTheme="minorHAnsi" w:cstheme="minorBidi"/>
    </w:rPr>
  </w:style>
  <w:style w:type="paragraph" w:customStyle="1" w:styleId="LegalNumPar2">
    <w:name w:val="LegalNumPar2"/>
    <w:basedOn w:val="Normal"/>
    <w:rsid w:val="00315FC0"/>
    <w:pPr>
      <w:numPr>
        <w:ilvl w:val="1"/>
        <w:numId w:val="3"/>
      </w:numPr>
      <w:spacing w:after="160" w:line="259" w:lineRule="auto"/>
    </w:pPr>
    <w:rPr>
      <w:rFonts w:asciiTheme="minorHAnsi" w:eastAsiaTheme="minorHAnsi" w:hAnsiTheme="minorHAnsi" w:cstheme="minorBidi"/>
    </w:rPr>
  </w:style>
  <w:style w:type="paragraph" w:customStyle="1" w:styleId="LegalNumPar3">
    <w:name w:val="LegalNumPar3"/>
    <w:basedOn w:val="Normal"/>
    <w:rsid w:val="00315FC0"/>
    <w:pPr>
      <w:numPr>
        <w:ilvl w:val="2"/>
        <w:numId w:val="3"/>
      </w:numPr>
      <w:spacing w:after="160" w:line="259" w:lineRule="auto"/>
    </w:pPr>
    <w:rPr>
      <w:rFonts w:asciiTheme="minorHAnsi" w:eastAsiaTheme="minorHAnsi" w:hAnsiTheme="minorHAnsi" w:cstheme="minorBidi"/>
    </w:rPr>
  </w:style>
  <w:style w:type="table" w:styleId="TableGrid">
    <w:name w:val="Table Grid"/>
    <w:basedOn w:val="TableNormal"/>
    <w:uiPriority w:val="59"/>
    <w:rsid w:val="00315FC0"/>
    <w:rPr>
      <w:kern w:val="0"/>
    </w:rPr>
    <w:tblPr/>
  </w:style>
  <w:style w:type="paragraph" w:customStyle="1" w:styleId="xmsonormal">
    <w:name w:val="x_msonormal"/>
    <w:basedOn w:val="Normal"/>
    <w:rsid w:val="00315FC0"/>
    <w:pPr>
      <w:spacing w:after="0" w:line="240" w:lineRule="auto"/>
    </w:pPr>
    <w:rPr>
      <w:rFonts w:ascii="Times New Roman" w:eastAsiaTheme="minorHAnsi" w:hAnsi="Times New Roman" w:cs="Times New Roman"/>
      <w:sz w:val="24"/>
      <w:szCs w:val="24"/>
    </w:rPr>
  </w:style>
  <w:style w:type="paragraph" w:customStyle="1" w:styleId="paragraph">
    <w:name w:val="paragraph"/>
    <w:basedOn w:val="Normal"/>
    <w:rsid w:val="00315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15FC0"/>
  </w:style>
  <w:style w:type="paragraph" w:customStyle="1" w:styleId="Default">
    <w:name w:val="Default"/>
    <w:rsid w:val="00315FC0"/>
    <w:pPr>
      <w:autoSpaceDE w:val="0"/>
      <w:autoSpaceDN w:val="0"/>
      <w:adjustRightInd w:val="0"/>
    </w:pPr>
    <w:rPr>
      <w:rFonts w:ascii="Calibri" w:hAnsi="Calibri" w:cs="Calibri"/>
      <w:color w:val="000000"/>
      <w:kern w:val="0"/>
      <w:sz w:val="24"/>
      <w:szCs w:val="24"/>
    </w:rPr>
  </w:style>
  <w:style w:type="paragraph" w:styleId="PlainText">
    <w:name w:val="Plain Text"/>
    <w:basedOn w:val="Normal"/>
    <w:link w:val="PlainTextChar"/>
    <w:uiPriority w:val="99"/>
    <w:unhideWhenUsed/>
    <w:rsid w:val="00315FC0"/>
    <w:pPr>
      <w:spacing w:after="0" w:line="240" w:lineRule="auto"/>
    </w:pPr>
    <w:rPr>
      <w:rFonts w:eastAsiaTheme="minorHAnsi" w:cs="Calibri"/>
    </w:rPr>
  </w:style>
  <w:style w:type="character" w:customStyle="1" w:styleId="PlainTextChar">
    <w:name w:val="Plain Text Char"/>
    <w:basedOn w:val="DefaultParagraphFont"/>
    <w:link w:val="PlainText"/>
    <w:uiPriority w:val="99"/>
    <w:rsid w:val="00315FC0"/>
    <w:rPr>
      <w:rFonts w:ascii="Calibri" w:hAnsi="Calibri" w:cs="Calibri"/>
      <w:kern w:val="0"/>
    </w:rPr>
  </w:style>
  <w:style w:type="numbering" w:customStyle="1" w:styleId="NoList1">
    <w:name w:val="No List1"/>
    <w:next w:val="NoList"/>
    <w:uiPriority w:val="99"/>
    <w:semiHidden/>
    <w:unhideWhenUsed/>
    <w:rsid w:val="00315FC0"/>
  </w:style>
  <w:style w:type="paragraph" w:styleId="TOCHeading">
    <w:name w:val="TOC Heading"/>
    <w:basedOn w:val="Normal"/>
    <w:next w:val="Normal"/>
    <w:uiPriority w:val="39"/>
    <w:semiHidden/>
    <w:unhideWhenUsed/>
    <w:qFormat/>
    <w:rsid w:val="00315FC0"/>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315FC0"/>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315FC0"/>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315FC0"/>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315FC0"/>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315FC0"/>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315FC0"/>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315FC0"/>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315FC0"/>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315FC0"/>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315FC0"/>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315FC0"/>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HeaderSensitivity">
    <w:name w:val="Header Sensitivity"/>
    <w:basedOn w:val="Normal"/>
    <w:rsid w:val="00315FC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315FC0"/>
    <w:pPr>
      <w:spacing w:after="120" w:line="240" w:lineRule="auto"/>
      <w:jc w:val="right"/>
    </w:pPr>
    <w:rPr>
      <w:rFonts w:ascii="Times New Roman" w:hAnsi="Times New Roman" w:cs="Times New Roman"/>
      <w:sz w:val="28"/>
    </w:rPr>
  </w:style>
  <w:style w:type="paragraph" w:customStyle="1" w:styleId="FooterSensitivity">
    <w:name w:val="Footer Sensitivity"/>
    <w:basedOn w:val="Normal"/>
    <w:rsid w:val="00315FC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rsid w:val="00315FC0"/>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315FC0"/>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315FC0"/>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315FC0"/>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315FC0"/>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315FC0"/>
    <w:pPr>
      <w:spacing w:before="120" w:after="120" w:line="240" w:lineRule="auto"/>
    </w:pPr>
    <w:rPr>
      <w:rFonts w:ascii="Times New Roman" w:hAnsi="Times New Roman" w:cs="Times New Roman"/>
      <w:sz w:val="24"/>
    </w:rPr>
  </w:style>
  <w:style w:type="paragraph" w:customStyle="1" w:styleId="NormalRight">
    <w:name w:val="Normal Right"/>
    <w:basedOn w:val="Normal"/>
    <w:rsid w:val="00315FC0"/>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315FC0"/>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315FC0"/>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315FC0"/>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315FC0"/>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315FC0"/>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315FC0"/>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315FC0"/>
    <w:pPr>
      <w:numPr>
        <w:numId w:val="55"/>
      </w:numPr>
      <w:tabs>
        <w:tab w:val="clear" w:pos="850"/>
        <w:tab w:val="num" w:pos="3118"/>
      </w:tabs>
      <w:ind w:left="3118" w:hanging="567"/>
    </w:pPr>
  </w:style>
  <w:style w:type="paragraph" w:customStyle="1" w:styleId="Tiret1">
    <w:name w:val="Tiret 1"/>
    <w:basedOn w:val="Point1"/>
    <w:rsid w:val="00315FC0"/>
    <w:pPr>
      <w:numPr>
        <w:numId w:val="56"/>
      </w:numPr>
      <w:tabs>
        <w:tab w:val="clear" w:pos="1417"/>
        <w:tab w:val="num" w:pos="850"/>
      </w:tabs>
      <w:ind w:left="850" w:hanging="850"/>
    </w:pPr>
  </w:style>
  <w:style w:type="paragraph" w:customStyle="1" w:styleId="Tiret2">
    <w:name w:val="Tiret 2"/>
    <w:basedOn w:val="Point2"/>
    <w:rsid w:val="00315FC0"/>
    <w:pPr>
      <w:numPr>
        <w:numId w:val="57"/>
      </w:numPr>
      <w:tabs>
        <w:tab w:val="clear" w:pos="1984"/>
        <w:tab w:val="num" w:pos="850"/>
      </w:tabs>
      <w:ind w:left="850" w:hanging="850"/>
    </w:pPr>
  </w:style>
  <w:style w:type="paragraph" w:customStyle="1" w:styleId="Tiret3">
    <w:name w:val="Tiret 3"/>
    <w:basedOn w:val="Point3"/>
    <w:rsid w:val="00315FC0"/>
    <w:pPr>
      <w:numPr>
        <w:numId w:val="58"/>
      </w:numPr>
      <w:tabs>
        <w:tab w:val="clear" w:pos="2551"/>
        <w:tab w:val="num" w:pos="850"/>
      </w:tabs>
      <w:ind w:left="850" w:hanging="850"/>
    </w:pPr>
  </w:style>
  <w:style w:type="paragraph" w:customStyle="1" w:styleId="Tiret4">
    <w:name w:val="Tiret 4"/>
    <w:basedOn w:val="Point4"/>
    <w:rsid w:val="00315FC0"/>
    <w:pPr>
      <w:numPr>
        <w:numId w:val="59"/>
      </w:numPr>
      <w:tabs>
        <w:tab w:val="clear" w:pos="3118"/>
        <w:tab w:val="num" w:pos="850"/>
      </w:tabs>
      <w:ind w:left="850" w:hanging="850"/>
    </w:pPr>
  </w:style>
  <w:style w:type="paragraph" w:customStyle="1" w:styleId="PointDouble0">
    <w:name w:val="PointDouble 0"/>
    <w:basedOn w:val="Normal"/>
    <w:rsid w:val="00315FC0"/>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315FC0"/>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315FC0"/>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315FC0"/>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315FC0"/>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315FC0"/>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315FC0"/>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315FC0"/>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315FC0"/>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315FC0"/>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315FC0"/>
    <w:pPr>
      <w:numPr>
        <w:numId w:val="60"/>
      </w:numPr>
      <w:tabs>
        <w:tab w:val="clear" w:pos="850"/>
        <w:tab w:val="num" w:pos="1417"/>
      </w:tabs>
      <w:spacing w:before="120" w:after="120" w:line="240" w:lineRule="auto"/>
      <w:ind w:left="1417" w:hanging="567"/>
      <w:jc w:val="both"/>
    </w:pPr>
    <w:rPr>
      <w:rFonts w:ascii="Times New Roman" w:hAnsi="Times New Roman" w:cs="Times New Roman"/>
      <w:sz w:val="24"/>
    </w:rPr>
  </w:style>
  <w:style w:type="paragraph" w:customStyle="1" w:styleId="NumPar2">
    <w:name w:val="NumPar 2"/>
    <w:basedOn w:val="Normal"/>
    <w:next w:val="Text1"/>
    <w:rsid w:val="00315FC0"/>
    <w:pPr>
      <w:numPr>
        <w:ilvl w:val="1"/>
        <w:numId w:val="60"/>
      </w:numPr>
      <w:tabs>
        <w:tab w:val="clear" w:pos="850"/>
        <w:tab w:val="num" w:pos="1417"/>
      </w:tabs>
      <w:spacing w:before="120" w:after="120" w:line="240" w:lineRule="auto"/>
      <w:ind w:left="1417" w:hanging="567"/>
      <w:jc w:val="both"/>
    </w:pPr>
    <w:rPr>
      <w:rFonts w:ascii="Times New Roman" w:hAnsi="Times New Roman" w:cs="Times New Roman"/>
      <w:sz w:val="24"/>
    </w:rPr>
  </w:style>
  <w:style w:type="paragraph" w:customStyle="1" w:styleId="NumPar3">
    <w:name w:val="NumPar 3"/>
    <w:basedOn w:val="Normal"/>
    <w:next w:val="Text1"/>
    <w:rsid w:val="00315FC0"/>
    <w:pPr>
      <w:numPr>
        <w:ilvl w:val="2"/>
        <w:numId w:val="60"/>
      </w:numPr>
      <w:tabs>
        <w:tab w:val="clear" w:pos="850"/>
        <w:tab w:val="num" w:pos="1417"/>
      </w:tabs>
      <w:spacing w:before="120" w:after="120" w:line="240" w:lineRule="auto"/>
      <w:ind w:left="1417" w:hanging="567"/>
      <w:jc w:val="both"/>
    </w:pPr>
    <w:rPr>
      <w:rFonts w:ascii="Times New Roman" w:hAnsi="Times New Roman" w:cs="Times New Roman"/>
      <w:sz w:val="24"/>
    </w:rPr>
  </w:style>
  <w:style w:type="paragraph" w:customStyle="1" w:styleId="NumPar4">
    <w:name w:val="NumPar 4"/>
    <w:basedOn w:val="Normal"/>
    <w:next w:val="Text1"/>
    <w:rsid w:val="00315FC0"/>
    <w:pPr>
      <w:numPr>
        <w:ilvl w:val="3"/>
        <w:numId w:val="60"/>
      </w:numPr>
      <w:tabs>
        <w:tab w:val="clear" w:pos="850"/>
        <w:tab w:val="num" w:pos="1417"/>
      </w:tabs>
      <w:spacing w:before="120" w:after="120" w:line="240" w:lineRule="auto"/>
      <w:ind w:left="1417" w:hanging="567"/>
      <w:jc w:val="both"/>
    </w:pPr>
    <w:rPr>
      <w:rFonts w:ascii="Times New Roman" w:hAnsi="Times New Roman" w:cs="Times New Roman"/>
      <w:sz w:val="24"/>
    </w:rPr>
  </w:style>
  <w:style w:type="paragraph" w:customStyle="1" w:styleId="ManualNumPar1">
    <w:name w:val="Manual NumPar 1"/>
    <w:basedOn w:val="Normal"/>
    <w:next w:val="Text1"/>
    <w:rsid w:val="00315FC0"/>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315FC0"/>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315FC0"/>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315FC0"/>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315FC0"/>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315FC0"/>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315FC0"/>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315FC0"/>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315FC0"/>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315FC0"/>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315FC0"/>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315FC0"/>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315FC0"/>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sid w:val="00315FC0"/>
    <w:rPr>
      <w:color w:val="0000FF"/>
      <w:bdr w:val="none" w:sz="0" w:space="0" w:color="auto"/>
      <w:shd w:val="clear" w:color="auto" w:fill="auto"/>
    </w:rPr>
  </w:style>
  <w:style w:type="character" w:customStyle="1" w:styleId="Marker1">
    <w:name w:val="Marker1"/>
    <w:rsid w:val="00315FC0"/>
    <w:rPr>
      <w:color w:val="008000"/>
      <w:shd w:val="clear" w:color="auto" w:fill="auto"/>
    </w:rPr>
  </w:style>
  <w:style w:type="character" w:customStyle="1" w:styleId="Marker2">
    <w:name w:val="Marker2"/>
    <w:rsid w:val="00315FC0"/>
    <w:rPr>
      <w:color w:val="FF0000"/>
      <w:shd w:val="clear" w:color="auto" w:fill="auto"/>
    </w:rPr>
  </w:style>
  <w:style w:type="paragraph" w:customStyle="1" w:styleId="Point0number">
    <w:name w:val="Point 0 (number)"/>
    <w:basedOn w:val="Normal"/>
    <w:rsid w:val="00315FC0"/>
    <w:pPr>
      <w:numPr>
        <w:numId w:val="61"/>
      </w:numPr>
      <w:tabs>
        <w:tab w:val="clear" w:pos="850"/>
        <w:tab w:val="num" w:pos="360"/>
        <w:tab w:val="num" w:pos="2551"/>
      </w:tabs>
      <w:spacing w:before="120" w:after="120" w:line="240" w:lineRule="auto"/>
      <w:ind w:left="2551" w:hanging="567"/>
      <w:jc w:val="both"/>
    </w:pPr>
    <w:rPr>
      <w:rFonts w:ascii="Times New Roman" w:hAnsi="Times New Roman" w:cs="Times New Roman"/>
      <w:sz w:val="24"/>
    </w:rPr>
  </w:style>
  <w:style w:type="paragraph" w:customStyle="1" w:styleId="Point1number">
    <w:name w:val="Point 1 (number)"/>
    <w:basedOn w:val="Normal"/>
    <w:rsid w:val="00315FC0"/>
    <w:pPr>
      <w:numPr>
        <w:ilvl w:val="2"/>
        <w:numId w:val="61"/>
      </w:numPr>
      <w:tabs>
        <w:tab w:val="clear" w:pos="1417"/>
        <w:tab w:val="num" w:pos="360"/>
        <w:tab w:val="num" w:pos="2551"/>
      </w:tabs>
      <w:spacing w:before="120" w:after="120" w:line="240" w:lineRule="auto"/>
      <w:ind w:left="2551" w:firstLine="0"/>
      <w:jc w:val="both"/>
    </w:pPr>
    <w:rPr>
      <w:rFonts w:ascii="Times New Roman" w:hAnsi="Times New Roman" w:cs="Times New Roman"/>
      <w:sz w:val="24"/>
    </w:rPr>
  </w:style>
  <w:style w:type="paragraph" w:customStyle="1" w:styleId="Point2number">
    <w:name w:val="Point 2 (number)"/>
    <w:basedOn w:val="Normal"/>
    <w:rsid w:val="00315FC0"/>
    <w:pPr>
      <w:numPr>
        <w:ilvl w:val="4"/>
        <w:numId w:val="61"/>
      </w:numPr>
      <w:tabs>
        <w:tab w:val="clear" w:pos="1984"/>
        <w:tab w:val="num" w:pos="360"/>
        <w:tab w:val="num" w:pos="2551"/>
      </w:tabs>
      <w:spacing w:before="120" w:after="120" w:line="240" w:lineRule="auto"/>
      <w:ind w:left="2551" w:firstLine="0"/>
      <w:jc w:val="both"/>
    </w:pPr>
    <w:rPr>
      <w:rFonts w:ascii="Times New Roman" w:hAnsi="Times New Roman" w:cs="Times New Roman"/>
      <w:sz w:val="24"/>
    </w:rPr>
  </w:style>
  <w:style w:type="paragraph" w:customStyle="1" w:styleId="Point3number">
    <w:name w:val="Point 3 (number)"/>
    <w:basedOn w:val="Normal"/>
    <w:rsid w:val="00315FC0"/>
    <w:pPr>
      <w:numPr>
        <w:ilvl w:val="6"/>
        <w:numId w:val="61"/>
      </w:numPr>
      <w:tabs>
        <w:tab w:val="clear" w:pos="2551"/>
        <w:tab w:val="num" w:pos="360"/>
      </w:tabs>
      <w:spacing w:before="120" w:after="120" w:line="240" w:lineRule="auto"/>
      <w:ind w:left="0" w:firstLine="0"/>
      <w:jc w:val="both"/>
    </w:pPr>
    <w:rPr>
      <w:rFonts w:ascii="Times New Roman" w:hAnsi="Times New Roman" w:cs="Times New Roman"/>
      <w:sz w:val="24"/>
    </w:rPr>
  </w:style>
  <w:style w:type="paragraph" w:customStyle="1" w:styleId="Point0letter">
    <w:name w:val="Point 0 (letter)"/>
    <w:basedOn w:val="Normal"/>
    <w:rsid w:val="00315FC0"/>
    <w:pPr>
      <w:numPr>
        <w:ilvl w:val="1"/>
        <w:numId w:val="61"/>
      </w:numPr>
      <w:tabs>
        <w:tab w:val="clear" w:pos="850"/>
        <w:tab w:val="num" w:pos="360"/>
        <w:tab w:val="num" w:pos="2551"/>
      </w:tabs>
      <w:spacing w:before="120" w:after="120" w:line="240" w:lineRule="auto"/>
      <w:ind w:left="2551" w:hanging="567"/>
      <w:jc w:val="both"/>
    </w:pPr>
    <w:rPr>
      <w:rFonts w:ascii="Times New Roman" w:hAnsi="Times New Roman" w:cs="Times New Roman"/>
      <w:sz w:val="24"/>
    </w:rPr>
  </w:style>
  <w:style w:type="paragraph" w:customStyle="1" w:styleId="Point1letter">
    <w:name w:val="Point 1 (letter)"/>
    <w:basedOn w:val="Normal"/>
    <w:rsid w:val="00315FC0"/>
    <w:pPr>
      <w:numPr>
        <w:ilvl w:val="3"/>
        <w:numId w:val="61"/>
      </w:numPr>
      <w:tabs>
        <w:tab w:val="clear" w:pos="1417"/>
        <w:tab w:val="num" w:pos="360"/>
        <w:tab w:val="num" w:pos="2551"/>
      </w:tabs>
      <w:spacing w:before="120" w:after="120" w:line="240" w:lineRule="auto"/>
      <w:ind w:left="2551" w:firstLine="0"/>
      <w:jc w:val="both"/>
    </w:pPr>
    <w:rPr>
      <w:rFonts w:ascii="Times New Roman" w:hAnsi="Times New Roman" w:cs="Times New Roman"/>
      <w:sz w:val="24"/>
    </w:rPr>
  </w:style>
  <w:style w:type="paragraph" w:customStyle="1" w:styleId="Point2letter">
    <w:name w:val="Point 2 (letter)"/>
    <w:basedOn w:val="Normal"/>
    <w:rsid w:val="00315FC0"/>
    <w:pPr>
      <w:numPr>
        <w:ilvl w:val="5"/>
        <w:numId w:val="61"/>
      </w:numPr>
      <w:tabs>
        <w:tab w:val="clear" w:pos="1984"/>
        <w:tab w:val="num" w:pos="360"/>
        <w:tab w:val="num" w:pos="2551"/>
      </w:tabs>
      <w:spacing w:before="120" w:after="120" w:line="240" w:lineRule="auto"/>
      <w:ind w:left="2551" w:firstLine="0"/>
      <w:jc w:val="both"/>
    </w:pPr>
    <w:rPr>
      <w:rFonts w:ascii="Times New Roman" w:hAnsi="Times New Roman" w:cs="Times New Roman"/>
      <w:sz w:val="24"/>
    </w:rPr>
  </w:style>
  <w:style w:type="paragraph" w:customStyle="1" w:styleId="Point3letter">
    <w:name w:val="Point 3 (letter)"/>
    <w:basedOn w:val="Normal"/>
    <w:rsid w:val="00315FC0"/>
    <w:pPr>
      <w:numPr>
        <w:ilvl w:val="7"/>
        <w:numId w:val="61"/>
      </w:numPr>
      <w:tabs>
        <w:tab w:val="clear" w:pos="2551"/>
        <w:tab w:val="num" w:pos="360"/>
      </w:tabs>
      <w:spacing w:before="120" w:after="120" w:line="240" w:lineRule="auto"/>
      <w:ind w:left="0" w:firstLine="0"/>
      <w:jc w:val="both"/>
    </w:pPr>
    <w:rPr>
      <w:rFonts w:ascii="Times New Roman" w:hAnsi="Times New Roman" w:cs="Times New Roman"/>
      <w:sz w:val="24"/>
    </w:rPr>
  </w:style>
  <w:style w:type="paragraph" w:customStyle="1" w:styleId="Point4letter">
    <w:name w:val="Point 4 (letter)"/>
    <w:basedOn w:val="Normal"/>
    <w:rsid w:val="00315FC0"/>
    <w:pPr>
      <w:numPr>
        <w:ilvl w:val="8"/>
        <w:numId w:val="61"/>
      </w:numPr>
      <w:tabs>
        <w:tab w:val="clear" w:pos="3118"/>
        <w:tab w:val="num" w:pos="360"/>
        <w:tab w:val="num" w:pos="2551"/>
      </w:tabs>
      <w:spacing w:before="120" w:after="120" w:line="240" w:lineRule="auto"/>
      <w:ind w:left="2551" w:firstLine="0"/>
      <w:jc w:val="both"/>
    </w:pPr>
    <w:rPr>
      <w:rFonts w:ascii="Times New Roman" w:hAnsi="Times New Roman" w:cs="Times New Roman"/>
      <w:sz w:val="24"/>
    </w:rPr>
  </w:style>
  <w:style w:type="paragraph" w:customStyle="1" w:styleId="Bullet0">
    <w:name w:val="Bullet 0"/>
    <w:basedOn w:val="Normal"/>
    <w:rsid w:val="00315FC0"/>
    <w:pPr>
      <w:numPr>
        <w:numId w:val="62"/>
      </w:numPr>
      <w:tabs>
        <w:tab w:val="clear" w:pos="850"/>
        <w:tab w:val="num" w:pos="360"/>
        <w:tab w:val="num" w:pos="3118"/>
      </w:tabs>
      <w:spacing w:before="120" w:after="120" w:line="240" w:lineRule="auto"/>
      <w:ind w:left="3118" w:hanging="567"/>
      <w:jc w:val="both"/>
    </w:pPr>
    <w:rPr>
      <w:rFonts w:ascii="Times New Roman" w:hAnsi="Times New Roman" w:cs="Times New Roman"/>
      <w:sz w:val="24"/>
    </w:rPr>
  </w:style>
  <w:style w:type="paragraph" w:customStyle="1" w:styleId="Bullet1">
    <w:name w:val="Bullet 1"/>
    <w:basedOn w:val="Normal"/>
    <w:rsid w:val="00315FC0"/>
    <w:pPr>
      <w:numPr>
        <w:numId w:val="63"/>
      </w:numPr>
      <w:tabs>
        <w:tab w:val="clear" w:pos="1417"/>
        <w:tab w:val="num" w:pos="360"/>
        <w:tab w:val="num" w:pos="709"/>
      </w:tabs>
      <w:spacing w:before="120" w:after="120" w:line="240" w:lineRule="auto"/>
      <w:ind w:left="709" w:hanging="709"/>
      <w:jc w:val="both"/>
    </w:pPr>
    <w:rPr>
      <w:rFonts w:ascii="Times New Roman" w:hAnsi="Times New Roman" w:cs="Times New Roman"/>
      <w:sz w:val="24"/>
    </w:rPr>
  </w:style>
  <w:style w:type="paragraph" w:customStyle="1" w:styleId="Bullet2">
    <w:name w:val="Bullet 2"/>
    <w:basedOn w:val="Normal"/>
    <w:rsid w:val="00315FC0"/>
    <w:pPr>
      <w:numPr>
        <w:numId w:val="64"/>
      </w:numPr>
      <w:tabs>
        <w:tab w:val="clear" w:pos="1984"/>
        <w:tab w:val="num" w:pos="360"/>
        <w:tab w:val="num" w:pos="850"/>
      </w:tabs>
      <w:spacing w:before="120" w:after="120" w:line="240" w:lineRule="auto"/>
      <w:ind w:left="850" w:hanging="850"/>
      <w:jc w:val="both"/>
    </w:pPr>
    <w:rPr>
      <w:rFonts w:ascii="Times New Roman" w:hAnsi="Times New Roman" w:cs="Times New Roman"/>
      <w:sz w:val="24"/>
    </w:rPr>
  </w:style>
  <w:style w:type="paragraph" w:customStyle="1" w:styleId="Bullet3">
    <w:name w:val="Bullet 3"/>
    <w:basedOn w:val="Normal"/>
    <w:rsid w:val="00315FC0"/>
    <w:pPr>
      <w:numPr>
        <w:numId w:val="65"/>
      </w:numPr>
      <w:tabs>
        <w:tab w:val="clear" w:pos="2551"/>
        <w:tab w:val="num" w:pos="360"/>
      </w:tabs>
      <w:spacing w:before="120" w:after="120" w:line="240" w:lineRule="auto"/>
      <w:ind w:left="360" w:hanging="360"/>
      <w:jc w:val="both"/>
    </w:pPr>
    <w:rPr>
      <w:rFonts w:ascii="Times New Roman" w:hAnsi="Times New Roman" w:cs="Times New Roman"/>
      <w:sz w:val="24"/>
    </w:rPr>
  </w:style>
  <w:style w:type="paragraph" w:customStyle="1" w:styleId="Bullet4">
    <w:name w:val="Bullet 4"/>
    <w:basedOn w:val="Normal"/>
    <w:rsid w:val="00315FC0"/>
    <w:pPr>
      <w:numPr>
        <w:numId w:val="66"/>
      </w:numPr>
      <w:tabs>
        <w:tab w:val="clear" w:pos="3118"/>
        <w:tab w:val="num" w:pos="360"/>
        <w:tab w:val="num" w:pos="643"/>
      </w:tabs>
      <w:spacing w:before="120" w:after="120" w:line="240" w:lineRule="auto"/>
      <w:ind w:left="643" w:hanging="360"/>
      <w:jc w:val="both"/>
    </w:pPr>
    <w:rPr>
      <w:rFonts w:ascii="Times New Roman" w:hAnsi="Times New Roman" w:cs="Times New Roman"/>
      <w:sz w:val="24"/>
    </w:rPr>
  </w:style>
  <w:style w:type="paragraph" w:customStyle="1" w:styleId="Langue">
    <w:name w:val="Langue"/>
    <w:basedOn w:val="Normal"/>
    <w:next w:val="Rfrenceinterne"/>
    <w:rsid w:val="00315FC0"/>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315FC0"/>
    <w:pPr>
      <w:spacing w:after="0" w:line="240" w:lineRule="auto"/>
    </w:pPr>
    <w:rPr>
      <w:rFonts w:ascii="Arial" w:hAnsi="Arial" w:cs="Arial"/>
      <w:sz w:val="24"/>
    </w:rPr>
  </w:style>
  <w:style w:type="paragraph" w:customStyle="1" w:styleId="Emission">
    <w:name w:val="Emission"/>
    <w:basedOn w:val="Normal"/>
    <w:next w:val="Rfrenceinstitutionnelle"/>
    <w:rsid w:val="00315FC0"/>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315FC0"/>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rsid w:val="00315FC0"/>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rsid w:val="00315FC0"/>
    <w:pPr>
      <w:spacing w:after="0" w:line="240" w:lineRule="auto"/>
      <w:jc w:val="both"/>
    </w:pPr>
    <w:rPr>
      <w:rFonts w:ascii="Times New Roman" w:hAnsi="Times New Roman" w:cs="Times New Roman"/>
      <w:sz w:val="24"/>
    </w:rPr>
  </w:style>
  <w:style w:type="paragraph" w:customStyle="1" w:styleId="Disclaimer">
    <w:name w:val="Disclaimer"/>
    <w:basedOn w:val="Normal"/>
    <w:rsid w:val="00315FC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315FC0"/>
    <w:pPr>
      <w:spacing w:after="0"/>
      <w:ind w:left="5103"/>
    </w:pPr>
    <w:rPr>
      <w:rFonts w:ascii="Times New Roman" w:eastAsiaTheme="minorHAnsi" w:hAnsi="Times New Roman" w:cs="Times New Roman"/>
      <w:sz w:val="28"/>
    </w:rPr>
  </w:style>
  <w:style w:type="paragraph" w:customStyle="1" w:styleId="DateMarking">
    <w:name w:val="DateMarking"/>
    <w:basedOn w:val="Normal"/>
    <w:rsid w:val="00315FC0"/>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315FC0"/>
    <w:pPr>
      <w:spacing w:after="0"/>
      <w:ind w:left="5103"/>
    </w:pPr>
    <w:rPr>
      <w:rFonts w:ascii="Times New Roman" w:eastAsiaTheme="minorHAnsi" w:hAnsi="Times New Roman" w:cs="Times New Roman"/>
      <w:i/>
      <w:sz w:val="28"/>
    </w:rPr>
  </w:style>
  <w:style w:type="paragraph" w:customStyle="1" w:styleId="Annexetitreexpos">
    <w:name w:val="Annexe titre (exposé)"/>
    <w:basedOn w:val="Normal"/>
    <w:next w:val="Normal"/>
    <w:rsid w:val="00315FC0"/>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315FC0"/>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315FC0"/>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315FC0"/>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315FC0"/>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315FC0"/>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315FC0"/>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315FC0"/>
    <w:pPr>
      <w:numPr>
        <w:numId w:val="67"/>
      </w:numPr>
      <w:tabs>
        <w:tab w:val="clear" w:pos="709"/>
        <w:tab w:val="num" w:pos="360"/>
        <w:tab w:val="num" w:pos="926"/>
      </w:tabs>
      <w:spacing w:before="120" w:after="120" w:line="240" w:lineRule="auto"/>
      <w:ind w:left="926" w:hanging="360"/>
      <w:jc w:val="both"/>
    </w:pPr>
    <w:rPr>
      <w:rFonts w:ascii="Times New Roman" w:hAnsi="Times New Roman" w:cs="Times New Roman"/>
      <w:sz w:val="24"/>
    </w:rPr>
  </w:style>
  <w:style w:type="paragraph" w:customStyle="1" w:styleId="Corrigendum">
    <w:name w:val="Corrigendum"/>
    <w:basedOn w:val="Normal"/>
    <w:next w:val="Normal"/>
    <w:rsid w:val="00315FC0"/>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315FC0"/>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315FC0"/>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315FC0"/>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315FC0"/>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315FC0"/>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315FC0"/>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315FC0"/>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315FC0"/>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315FC0"/>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315FC0"/>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315FC0"/>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315FC0"/>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315FC0"/>
    <w:pPr>
      <w:spacing w:before="360" w:after="180" w:line="240" w:lineRule="auto"/>
      <w:jc w:val="center"/>
    </w:pPr>
    <w:rPr>
      <w:rFonts w:ascii="Times New Roman" w:hAnsi="Times New Roman" w:cs="Times New Roman"/>
      <w:b/>
      <w:sz w:val="24"/>
    </w:rPr>
  </w:style>
  <w:style w:type="character" w:customStyle="1" w:styleId="Added">
    <w:name w:val="Added"/>
    <w:rsid w:val="00315FC0"/>
    <w:rPr>
      <w:b/>
      <w:u w:val="single"/>
      <w:shd w:val="clear" w:color="auto" w:fill="auto"/>
    </w:rPr>
  </w:style>
  <w:style w:type="character" w:customStyle="1" w:styleId="Deleted">
    <w:name w:val="Deleted"/>
    <w:rsid w:val="00315FC0"/>
    <w:rPr>
      <w:strike/>
      <w:dstrike w:val="0"/>
      <w:shd w:val="clear" w:color="auto" w:fill="auto"/>
    </w:rPr>
  </w:style>
  <w:style w:type="paragraph" w:customStyle="1" w:styleId="Address">
    <w:name w:val="Address"/>
    <w:basedOn w:val="Normal"/>
    <w:next w:val="Normal"/>
    <w:rsid w:val="00315FC0"/>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315FC0"/>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315FC0"/>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315FC0"/>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315FC0"/>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315FC0"/>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315FC0"/>
  </w:style>
  <w:style w:type="paragraph" w:customStyle="1" w:styleId="RfrenceinterinstitutionnellePagedecouverture">
    <w:name w:val="Référence interinstitutionnelle (Page de couverture)"/>
    <w:basedOn w:val="Rfrenceinterinstitutionnelle"/>
    <w:next w:val="Confidentialit"/>
    <w:rsid w:val="00315FC0"/>
  </w:style>
  <w:style w:type="paragraph" w:customStyle="1" w:styleId="StatutPagedecouverture">
    <w:name w:val="Statut (Page de couverture)"/>
    <w:basedOn w:val="Statut"/>
    <w:next w:val="TypedudocumentPagedecouverture"/>
    <w:rsid w:val="00315FC0"/>
  </w:style>
  <w:style w:type="paragraph" w:customStyle="1" w:styleId="TypedudocumentPagedecouverture">
    <w:name w:val="Type du document (Page de couverture)"/>
    <w:basedOn w:val="Typedudocument"/>
    <w:next w:val="AccompagnantPagedecouverture"/>
    <w:rsid w:val="00315FC0"/>
  </w:style>
  <w:style w:type="paragraph" w:customStyle="1" w:styleId="Volume">
    <w:name w:val="Volume"/>
    <w:basedOn w:val="Normal"/>
    <w:next w:val="Confidentialit"/>
    <w:rsid w:val="00315FC0"/>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315FC0"/>
    <w:pPr>
      <w:spacing w:after="240"/>
    </w:pPr>
  </w:style>
  <w:style w:type="paragraph" w:customStyle="1" w:styleId="Accompagnant">
    <w:name w:val="Accompagnant"/>
    <w:basedOn w:val="Normal"/>
    <w:next w:val="Typeacteprincipal"/>
    <w:rsid w:val="00315FC0"/>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315FC0"/>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315FC0"/>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315FC0"/>
  </w:style>
  <w:style w:type="paragraph" w:customStyle="1" w:styleId="AccompagnantPagedecouverture">
    <w:name w:val="Accompagnant (Page de couverture)"/>
    <w:basedOn w:val="Accompagnant"/>
    <w:next w:val="TypeacteprincipalPagedecouverture"/>
    <w:rsid w:val="00315FC0"/>
  </w:style>
  <w:style w:type="paragraph" w:customStyle="1" w:styleId="TypeacteprincipalPagedecouverture">
    <w:name w:val="Type acte principal (Page de couverture)"/>
    <w:basedOn w:val="Typeacteprincipal"/>
    <w:next w:val="ObjetacteprincipalPagedecouverture"/>
    <w:rsid w:val="00315FC0"/>
  </w:style>
  <w:style w:type="paragraph" w:customStyle="1" w:styleId="ObjetacteprincipalPagedecouverture">
    <w:name w:val="Objet acte principal (Page de couverture)"/>
    <w:basedOn w:val="Objetacteprincipal"/>
    <w:next w:val="Rfrencecroise"/>
    <w:rsid w:val="00315FC0"/>
  </w:style>
  <w:style w:type="paragraph" w:customStyle="1" w:styleId="LanguesfaisantfoiPagedecouverture">
    <w:name w:val="Langues faisant foi (Page de couverture)"/>
    <w:basedOn w:val="Normal"/>
    <w:next w:val="Normal"/>
    <w:rsid w:val="00315FC0"/>
    <w:pPr>
      <w:spacing w:before="360" w:after="0" w:line="240" w:lineRule="auto"/>
      <w:jc w:val="center"/>
    </w:pPr>
    <w:rPr>
      <w:rFonts w:ascii="Times New Roman" w:hAnsi="Times New Roman" w:cs="Times New Roman"/>
      <w:sz w:val="24"/>
    </w:rPr>
  </w:style>
  <w:style w:type="paragraph" w:styleId="BalloonText">
    <w:name w:val="Balloon Text"/>
    <w:basedOn w:val="Normal"/>
    <w:link w:val="BalloonTextChar"/>
    <w:uiPriority w:val="99"/>
    <w:semiHidden/>
    <w:unhideWhenUsed/>
    <w:rsid w:val="00315FC0"/>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C0"/>
    <w:rPr>
      <w:rFonts w:ascii="Segoe UI" w:eastAsia="Calibri" w:hAnsi="Segoe UI" w:cs="Segoe UI"/>
      <w:kern w:val="0"/>
      <w:sz w:val="18"/>
      <w:szCs w:val="18"/>
    </w:rPr>
  </w:style>
  <w:style w:type="paragraph" w:styleId="ListBullet">
    <w:name w:val="List Bullet"/>
    <w:basedOn w:val="Normal"/>
    <w:uiPriority w:val="99"/>
    <w:semiHidden/>
    <w:unhideWhenUsed/>
    <w:rsid w:val="00315FC0"/>
    <w:pPr>
      <w:numPr>
        <w:numId w:val="68"/>
      </w:numPr>
      <w:tabs>
        <w:tab w:val="clear" w:pos="360"/>
      </w:tabs>
      <w:spacing w:before="120" w:after="120" w:line="240" w:lineRule="auto"/>
      <w:ind w:left="0" w:firstLine="0"/>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315FC0"/>
    <w:pPr>
      <w:numPr>
        <w:numId w:val="69"/>
      </w:numPr>
      <w:tabs>
        <w:tab w:val="clear" w:pos="643"/>
        <w:tab w:val="num" w:pos="360"/>
      </w:tabs>
      <w:spacing w:before="120" w:after="120" w:line="240" w:lineRule="auto"/>
      <w:ind w:left="720" w:firstLine="0"/>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315FC0"/>
    <w:pPr>
      <w:numPr>
        <w:numId w:val="70"/>
      </w:numPr>
      <w:tabs>
        <w:tab w:val="clear" w:pos="926"/>
        <w:tab w:val="num" w:pos="360"/>
      </w:tabs>
      <w:spacing w:before="120" w:after="120" w:line="240" w:lineRule="auto"/>
      <w:ind w:left="720" w:firstLine="0"/>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315FC0"/>
    <w:pPr>
      <w:numPr>
        <w:numId w:val="71"/>
      </w:numPr>
      <w:tabs>
        <w:tab w:val="num" w:pos="360"/>
      </w:tabs>
      <w:spacing w:before="120" w:after="120" w:line="240" w:lineRule="auto"/>
      <w:ind w:left="720" w:firstLine="0"/>
      <w:contextualSpacing/>
      <w:jc w:val="both"/>
    </w:pPr>
    <w:rPr>
      <w:rFonts w:ascii="Times New Roman" w:hAnsi="Times New Roman" w:cs="Times New Roman"/>
      <w:sz w:val="24"/>
    </w:rPr>
  </w:style>
  <w:style w:type="paragraph" w:customStyle="1" w:styleId="FooterCoverPage">
    <w:name w:val="Footer Cover Page"/>
    <w:basedOn w:val="Normal"/>
    <w:link w:val="FooterCoverPageChar"/>
    <w:rsid w:val="00315FC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sid w:val="00315FC0"/>
    <w:rPr>
      <w:rFonts w:ascii="Times New Roman" w:eastAsia="Calibri" w:hAnsi="Times New Roman" w:cs="Times New Roman"/>
      <w:kern w:val="0"/>
      <w:sz w:val="24"/>
    </w:rPr>
  </w:style>
  <w:style w:type="paragraph" w:customStyle="1" w:styleId="HeaderCoverPage">
    <w:name w:val="Header Cover Page"/>
    <w:basedOn w:val="Normal"/>
    <w:link w:val="HeaderCoverPageChar"/>
    <w:rsid w:val="00315FC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link w:val="HeaderCoverPage"/>
    <w:rsid w:val="00315FC0"/>
    <w:rPr>
      <w:rFonts w:ascii="Times New Roman" w:eastAsia="Calibri" w:hAnsi="Times New Roman" w:cs="Times New Roman"/>
      <w:kern w:val="0"/>
      <w:sz w:val="24"/>
    </w:rPr>
  </w:style>
  <w:style w:type="numbering" w:customStyle="1" w:styleId="NoList2">
    <w:name w:val="No List2"/>
    <w:next w:val="NoList"/>
    <w:uiPriority w:val="99"/>
    <w:semiHidden/>
    <w:unhideWhenUsed/>
    <w:rsid w:val="00315FC0"/>
  </w:style>
  <w:style w:type="paragraph" w:customStyle="1" w:styleId="Titreobjet">
    <w:name w:val="Titre objet"/>
    <w:basedOn w:val="Normal"/>
    <w:next w:val="IntrtEEE"/>
    <w:rsid w:val="00315FC0"/>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315FC0"/>
  </w:style>
  <w:style w:type="numbering" w:customStyle="1" w:styleId="NoList3">
    <w:name w:val="No List3"/>
    <w:next w:val="NoList"/>
    <w:uiPriority w:val="99"/>
    <w:semiHidden/>
    <w:unhideWhenUsed/>
    <w:rsid w:val="00315FC0"/>
  </w:style>
  <w:style w:type="character" w:customStyle="1" w:styleId="findhit">
    <w:name w:val="findhit"/>
    <w:basedOn w:val="DefaultParagraphFont"/>
    <w:rsid w:val="00315FC0"/>
  </w:style>
  <w:style w:type="numbering" w:customStyle="1" w:styleId="NoList4">
    <w:name w:val="No List4"/>
    <w:next w:val="NoList"/>
    <w:uiPriority w:val="99"/>
    <w:semiHidden/>
    <w:unhideWhenUsed/>
    <w:rsid w:val="00315FC0"/>
  </w:style>
  <w:style w:type="paragraph" w:customStyle="1" w:styleId="TechnicalBlock">
    <w:name w:val="Technical Block"/>
    <w:basedOn w:val="Normal"/>
    <w:link w:val="TechnicalBlockChar"/>
    <w:rsid w:val="00315FC0"/>
    <w:pPr>
      <w:spacing w:after="240" w:line="240" w:lineRule="auto"/>
      <w:jc w:val="center"/>
    </w:pPr>
  </w:style>
  <w:style w:type="character" w:customStyle="1" w:styleId="TechnicalBlockChar">
    <w:name w:val="Technical Block Char"/>
    <w:basedOn w:val="DefaultParagraphFont"/>
    <w:link w:val="TechnicalBlock"/>
    <w:rsid w:val="00315FC0"/>
    <w:rPr>
      <w:rFonts w:ascii="Calibri" w:eastAsia="Calibri" w:hAnsi="Calibri" w:cs="Myanmar Text"/>
      <w:kern w:val="0"/>
    </w:rPr>
  </w:style>
  <w:style w:type="paragraph" w:customStyle="1" w:styleId="EntText">
    <w:name w:val="EntText"/>
    <w:basedOn w:val="Normal"/>
    <w:rsid w:val="00315FC0"/>
    <w:pPr>
      <w:spacing w:before="120" w:after="120" w:line="360" w:lineRule="auto"/>
    </w:pPr>
    <w:rPr>
      <w:rFonts w:ascii="Times New Roman" w:eastAsiaTheme="minorHAnsi" w:hAnsi="Times New Roman" w:cs="Times New Roman"/>
      <w:sz w:val="24"/>
    </w:rPr>
  </w:style>
  <w:style w:type="paragraph" w:customStyle="1" w:styleId="Lignefinal">
    <w:name w:val="Ligne final"/>
    <w:basedOn w:val="Normal"/>
    <w:next w:val="Normal"/>
    <w:rsid w:val="00315FC0"/>
    <w:pPr>
      <w:pBdr>
        <w:bottom w:val="single" w:sz="4" w:space="0" w:color="000000"/>
      </w:pBdr>
      <w:spacing w:before="360" w:after="120" w:line="360" w:lineRule="auto"/>
      <w:ind w:left="3400" w:right="3400"/>
      <w:jc w:val="center"/>
    </w:pPr>
    <w:rPr>
      <w:rFonts w:ascii="Times New Roman" w:eastAsiaTheme="minorHAnsi" w:hAnsi="Times New Roman" w:cs="Times New Roman"/>
      <w:b/>
      <w:sz w:val="24"/>
    </w:rPr>
  </w:style>
  <w:style w:type="paragraph" w:customStyle="1" w:styleId="pj">
    <w:name w:val="p.j."/>
    <w:basedOn w:val="Normal"/>
    <w:link w:val="pjChar"/>
    <w:rsid w:val="00315FC0"/>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315FC0"/>
    <w:rPr>
      <w:rFonts w:ascii="Times New Roman" w:eastAsia="Calibri" w:hAnsi="Times New Roman" w:cs="Times New Roman"/>
      <w:kern w:val="0"/>
      <w:sz w:val="24"/>
    </w:rPr>
  </w:style>
  <w:style w:type="paragraph" w:customStyle="1" w:styleId="nbbordered">
    <w:name w:val="nb bordered"/>
    <w:basedOn w:val="Normal"/>
    <w:link w:val="nbborderedChar"/>
    <w:rsid w:val="00315FC0"/>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315FC0"/>
    <w:rPr>
      <w:rFonts w:ascii="Times New Roman" w:eastAsia="Calibri" w:hAnsi="Times New Roman" w:cs="Times New Roman"/>
      <w:b/>
      <w:kern w:val="0"/>
      <w:sz w:val="24"/>
    </w:rPr>
  </w:style>
  <w:style w:type="paragraph" w:customStyle="1" w:styleId="HeaderCouncil">
    <w:name w:val="Header Council"/>
    <w:basedOn w:val="Normal"/>
    <w:link w:val="HeaderCouncilChar"/>
    <w:rsid w:val="00315FC0"/>
    <w:pPr>
      <w:spacing w:after="0"/>
    </w:pPr>
    <w:rPr>
      <w:sz w:val="2"/>
    </w:rPr>
  </w:style>
  <w:style w:type="character" w:customStyle="1" w:styleId="HeaderCouncilChar">
    <w:name w:val="Header Council Char"/>
    <w:basedOn w:val="DefaultParagraphFont"/>
    <w:link w:val="HeaderCouncil"/>
    <w:rsid w:val="00315FC0"/>
    <w:rPr>
      <w:rFonts w:ascii="Calibri" w:eastAsia="Calibri" w:hAnsi="Calibri" w:cs="Myanmar Text"/>
      <w:kern w:val="0"/>
      <w:sz w:val="2"/>
    </w:rPr>
  </w:style>
  <w:style w:type="paragraph" w:customStyle="1" w:styleId="FooterText">
    <w:name w:val="Footer Text"/>
    <w:basedOn w:val="Normal"/>
    <w:rsid w:val="00315FC0"/>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15FC0"/>
    <w:rPr>
      <w:color w:val="808080"/>
    </w:rPr>
  </w:style>
  <w:style w:type="character" w:styleId="FollowedHyperlink">
    <w:name w:val="FollowedHyperlink"/>
    <w:basedOn w:val="DefaultParagraphFont"/>
    <w:uiPriority w:val="99"/>
    <w:semiHidden/>
    <w:unhideWhenUsed/>
    <w:rsid w:val="00315FC0"/>
    <w:rPr>
      <w:color w:val="800080" w:themeColor="followedHyperlink"/>
      <w:u w:val="single"/>
    </w:rPr>
  </w:style>
  <w:style w:type="character" w:customStyle="1" w:styleId="Mention1">
    <w:name w:val="Mention1"/>
    <w:basedOn w:val="DefaultParagraphFont"/>
    <w:uiPriority w:val="99"/>
    <w:unhideWhenUsed/>
    <w:rsid w:val="00315FC0"/>
    <w:rPr>
      <w:color w:val="2B579A"/>
      <w:shd w:val="clear" w:color="auto" w:fill="E1DFDD"/>
    </w:rPr>
  </w:style>
  <w:style w:type="character" w:customStyle="1" w:styleId="Mention20">
    <w:name w:val="Mention20"/>
    <w:basedOn w:val="DefaultParagraphFont"/>
    <w:uiPriority w:val="99"/>
    <w:unhideWhenUsed/>
    <w:rsid w:val="00315FC0"/>
    <w:rPr>
      <w:color w:val="2B579A"/>
      <w:shd w:val="clear" w:color="auto" w:fill="E1DFDD"/>
    </w:rPr>
  </w:style>
  <w:style w:type="character" w:customStyle="1" w:styleId="Mention2">
    <w:name w:val="Mention2"/>
    <w:basedOn w:val="DefaultParagraphFont"/>
    <w:uiPriority w:val="99"/>
    <w:unhideWhenUsed/>
    <w:rsid w:val="00315FC0"/>
    <w:rPr>
      <w:color w:val="2B579A"/>
      <w:shd w:val="clear" w:color="auto" w:fill="E1DFDD"/>
    </w:rPr>
  </w:style>
  <w:style w:type="character" w:customStyle="1" w:styleId="Mention3">
    <w:name w:val="Mention3"/>
    <w:basedOn w:val="DefaultParagraphFont"/>
    <w:uiPriority w:val="99"/>
    <w:unhideWhenUsed/>
    <w:rsid w:val="00315FC0"/>
    <w:rPr>
      <w:color w:val="2B579A"/>
      <w:shd w:val="clear" w:color="auto" w:fill="E1DFDD"/>
    </w:rPr>
  </w:style>
  <w:style w:type="character" w:customStyle="1" w:styleId="Mention30">
    <w:name w:val="Mention30"/>
    <w:basedOn w:val="DefaultParagraphFont"/>
    <w:uiPriority w:val="99"/>
    <w:unhideWhenUsed/>
    <w:rsid w:val="00315FC0"/>
    <w:rPr>
      <w:color w:val="2B579A"/>
      <w:shd w:val="clear" w:color="auto" w:fill="E1DFDD"/>
    </w:rPr>
  </w:style>
  <w:style w:type="character" w:customStyle="1" w:styleId="Mention4">
    <w:name w:val="Mention4"/>
    <w:basedOn w:val="DefaultParagraphFont"/>
    <w:uiPriority w:val="99"/>
    <w:unhideWhenUsed/>
    <w:rsid w:val="00315FC0"/>
    <w:rPr>
      <w:color w:val="2B579A"/>
      <w:shd w:val="clear" w:color="auto" w:fill="E1DFDD"/>
    </w:rPr>
  </w:style>
  <w:style w:type="character" w:customStyle="1" w:styleId="Mention10">
    <w:name w:val="Mention10"/>
    <w:basedOn w:val="DefaultParagraphFont"/>
    <w:uiPriority w:val="99"/>
    <w:unhideWhenUsed/>
    <w:rsid w:val="00315FC0"/>
    <w:rPr>
      <w:color w:val="2B579A"/>
      <w:shd w:val="clear" w:color="auto" w:fill="E6E6E6"/>
    </w:rPr>
  </w:style>
  <w:style w:type="character" w:customStyle="1" w:styleId="ui-provider">
    <w:name w:val="ui-provider"/>
    <w:basedOn w:val="DefaultParagraphFont"/>
    <w:rsid w:val="00315FC0"/>
  </w:style>
  <w:style w:type="character" w:customStyle="1" w:styleId="Mention100">
    <w:name w:val="Mention100"/>
    <w:basedOn w:val="DefaultParagraphFont"/>
    <w:uiPriority w:val="99"/>
    <w:unhideWhenUsed/>
    <w:rsid w:val="00315FC0"/>
    <w:rPr>
      <w:color w:val="2B579A"/>
      <w:shd w:val="clear" w:color="auto" w:fill="E6E6E6"/>
    </w:rPr>
  </w:style>
  <w:style w:type="character" w:customStyle="1" w:styleId="contentcontrolboundarysink">
    <w:name w:val="contentcontrolboundarysink"/>
    <w:basedOn w:val="DefaultParagraphFont"/>
    <w:rsid w:val="00315FC0"/>
  </w:style>
  <w:style w:type="character" w:customStyle="1" w:styleId="Mention5">
    <w:name w:val="Mention5"/>
    <w:basedOn w:val="DefaultParagraphFont"/>
    <w:uiPriority w:val="99"/>
    <w:unhideWhenUsed/>
    <w:rsid w:val="00315FC0"/>
    <w:rPr>
      <w:color w:val="2B579A"/>
      <w:shd w:val="clear" w:color="auto" w:fill="E1DFDD"/>
    </w:rPr>
  </w:style>
  <w:style w:type="character" w:customStyle="1" w:styleId="Mention50">
    <w:name w:val="Mention50"/>
    <w:basedOn w:val="DefaultParagraphFont"/>
    <w:uiPriority w:val="99"/>
    <w:unhideWhenUsed/>
    <w:rsid w:val="00315FC0"/>
    <w:rPr>
      <w:color w:val="2B579A"/>
      <w:shd w:val="clear" w:color="auto" w:fill="E1DFDD"/>
    </w:rPr>
  </w:style>
  <w:style w:type="character" w:customStyle="1" w:styleId="Mention6">
    <w:name w:val="Mention6"/>
    <w:basedOn w:val="DefaultParagraphFont"/>
    <w:uiPriority w:val="99"/>
    <w:unhideWhenUsed/>
    <w:rsid w:val="00315FC0"/>
    <w:rPr>
      <w:color w:val="2B579A"/>
      <w:shd w:val="clear" w:color="auto" w:fill="E1DFDD"/>
    </w:rPr>
  </w:style>
  <w:style w:type="character" w:customStyle="1" w:styleId="Mention7">
    <w:name w:val="Mention7"/>
    <w:basedOn w:val="DefaultParagraphFont"/>
    <w:uiPriority w:val="99"/>
    <w:unhideWhenUsed/>
    <w:rsid w:val="00315FC0"/>
    <w:rPr>
      <w:color w:val="2B579A"/>
      <w:shd w:val="clear" w:color="auto" w:fill="E6E6E6"/>
    </w:rPr>
  </w:style>
  <w:style w:type="character" w:customStyle="1" w:styleId="Mention8">
    <w:name w:val="Mention8"/>
    <w:basedOn w:val="DefaultParagraphFont"/>
    <w:uiPriority w:val="99"/>
    <w:unhideWhenUsed/>
    <w:rsid w:val="00315FC0"/>
    <w:rPr>
      <w:color w:val="2B579A"/>
      <w:shd w:val="clear" w:color="auto" w:fill="E1DFDD"/>
    </w:rPr>
  </w:style>
  <w:style w:type="character" w:customStyle="1" w:styleId="cf01">
    <w:name w:val="cf01"/>
    <w:basedOn w:val="DefaultParagraphFont"/>
    <w:rsid w:val="00315FC0"/>
    <w:rPr>
      <w:rFonts w:ascii="Segoe UI" w:hAnsi="Segoe UI" w:cs="Segoe UI" w:hint="default"/>
      <w:sz w:val="18"/>
      <w:szCs w:val="18"/>
    </w:rPr>
  </w:style>
  <w:style w:type="character" w:styleId="Strong">
    <w:name w:val="Strong"/>
    <w:basedOn w:val="DefaultParagraphFont"/>
    <w:uiPriority w:val="22"/>
    <w:qFormat/>
    <w:rsid w:val="00315FC0"/>
    <w:rPr>
      <w:b/>
      <w:bCs/>
    </w:rPr>
  </w:style>
  <w:style w:type="character" w:customStyle="1" w:styleId="Mention60">
    <w:name w:val="Mention60"/>
    <w:basedOn w:val="DefaultParagraphFont"/>
    <w:uiPriority w:val="99"/>
    <w:unhideWhenUsed/>
    <w:rsid w:val="00315FC0"/>
    <w:rPr>
      <w:color w:val="2B579A"/>
      <w:shd w:val="clear" w:color="auto" w:fill="E1DFDD"/>
    </w:rPr>
  </w:style>
  <w:style w:type="character" w:customStyle="1" w:styleId="cf21">
    <w:name w:val="cf21"/>
    <w:basedOn w:val="DefaultParagraphFont"/>
    <w:rsid w:val="00315FC0"/>
    <w:rPr>
      <w:rFonts w:ascii="Segoe UI" w:hAnsi="Segoe UI" w:cs="Segoe UI" w:hint="default"/>
      <w:color w:val="006100"/>
    </w:rPr>
  </w:style>
  <w:style w:type="paragraph" w:customStyle="1" w:styleId="Style1">
    <w:name w:val="Style1"/>
    <w:basedOn w:val="Normal"/>
    <w:link w:val="Style1Char"/>
    <w:qFormat/>
    <w:rsid w:val="00315FC0"/>
    <w:pPr>
      <w:spacing w:before="120" w:after="120"/>
    </w:pPr>
    <w:rPr>
      <w:rFonts w:ascii="Times New Roman" w:hAnsi="Times New Roman" w:cs="Times New Roman"/>
      <w:b/>
      <w:sz w:val="24"/>
      <w:szCs w:val="24"/>
    </w:rPr>
  </w:style>
  <w:style w:type="character" w:customStyle="1" w:styleId="Style1Char">
    <w:name w:val="Style1 Char"/>
    <w:basedOn w:val="DefaultParagraphFont"/>
    <w:link w:val="Style1"/>
    <w:rsid w:val="00315FC0"/>
    <w:rPr>
      <w:rFonts w:ascii="Times New Roman" w:eastAsia="Calibri" w:hAnsi="Times New Roman" w:cs="Times New Roman"/>
      <w:b/>
      <w:kern w:val="0"/>
      <w:sz w:val="24"/>
      <w:szCs w:val="24"/>
    </w:rPr>
  </w:style>
  <w:style w:type="character" w:customStyle="1" w:styleId="Mention9">
    <w:name w:val="Mention9"/>
    <w:basedOn w:val="DefaultParagraphFont"/>
    <w:uiPriority w:val="99"/>
    <w:unhideWhenUsed/>
    <w:rsid w:val="00315FC0"/>
    <w:rPr>
      <w:color w:val="2B579A"/>
      <w:shd w:val="clear" w:color="auto" w:fill="E1DFDD"/>
    </w:rPr>
  </w:style>
  <w:style w:type="character" w:customStyle="1" w:styleId="Mention11">
    <w:name w:val="Mention11"/>
    <w:basedOn w:val="DefaultParagraphFont"/>
    <w:uiPriority w:val="99"/>
    <w:unhideWhenUsed/>
    <w:rsid w:val="00315FC0"/>
    <w:rPr>
      <w:color w:val="2B579A"/>
      <w:shd w:val="clear" w:color="auto" w:fill="E1DFDD"/>
    </w:rPr>
  </w:style>
  <w:style w:type="character" w:customStyle="1" w:styleId="Mention12">
    <w:name w:val="Mention12"/>
    <w:basedOn w:val="DefaultParagraphFont"/>
    <w:uiPriority w:val="99"/>
    <w:unhideWhenUsed/>
    <w:rsid w:val="00315FC0"/>
    <w:rPr>
      <w:color w:val="2B579A"/>
      <w:shd w:val="clear" w:color="auto" w:fill="E1DFDD"/>
    </w:rPr>
  </w:style>
  <w:style w:type="character" w:customStyle="1" w:styleId="UnresolvedMention1">
    <w:name w:val="Unresolved Mention1"/>
    <w:basedOn w:val="DefaultParagraphFont"/>
    <w:uiPriority w:val="99"/>
    <w:semiHidden/>
    <w:unhideWhenUsed/>
    <w:rsid w:val="00315FC0"/>
    <w:rPr>
      <w:color w:val="605E5C"/>
      <w:shd w:val="clear" w:color="auto" w:fill="E1DFDD"/>
    </w:rPr>
  </w:style>
  <w:style w:type="character" w:customStyle="1" w:styleId="UnresolvedMention2">
    <w:name w:val="Unresolved Mention2"/>
    <w:basedOn w:val="DefaultParagraphFont"/>
    <w:uiPriority w:val="99"/>
    <w:semiHidden/>
    <w:unhideWhenUsed/>
    <w:rsid w:val="00315FC0"/>
    <w:rPr>
      <w:color w:val="605E5C"/>
      <w:shd w:val="clear" w:color="auto" w:fill="E1DFDD"/>
    </w:rPr>
  </w:style>
  <w:style w:type="character" w:customStyle="1" w:styleId="Mention13">
    <w:name w:val="Mention13"/>
    <w:basedOn w:val="DefaultParagraphFont"/>
    <w:uiPriority w:val="99"/>
    <w:unhideWhenUsed/>
    <w:rsid w:val="00315FC0"/>
    <w:rPr>
      <w:color w:val="2B579A"/>
      <w:shd w:val="clear" w:color="auto" w:fill="E1DFDD"/>
    </w:rPr>
  </w:style>
  <w:style w:type="character" w:customStyle="1" w:styleId="UnresolvedMention3">
    <w:name w:val="Unresolved Mention3"/>
    <w:basedOn w:val="DefaultParagraphFont"/>
    <w:uiPriority w:val="99"/>
    <w:semiHidden/>
    <w:unhideWhenUsed/>
    <w:rsid w:val="00315FC0"/>
    <w:rPr>
      <w:color w:val="605E5C"/>
      <w:shd w:val="clear" w:color="auto" w:fill="E1DFDD"/>
    </w:rPr>
  </w:style>
  <w:style w:type="character" w:customStyle="1" w:styleId="Mention14">
    <w:name w:val="Mention14"/>
    <w:basedOn w:val="DefaultParagraphFont"/>
    <w:uiPriority w:val="99"/>
    <w:unhideWhenUsed/>
    <w:rsid w:val="00315FC0"/>
    <w:rPr>
      <w:color w:val="2B579A"/>
      <w:shd w:val="clear" w:color="auto" w:fill="E1DFDD"/>
    </w:rPr>
  </w:style>
  <w:style w:type="paragraph" w:styleId="NormalWeb">
    <w:name w:val="Normal (Web)"/>
    <w:basedOn w:val="Normal"/>
    <w:uiPriority w:val="99"/>
    <w:semiHidden/>
    <w:unhideWhenUsed/>
    <w:rsid w:val="00315FC0"/>
    <w:rPr>
      <w:rFonts w:ascii="Times New Roman" w:hAnsi="Times New Roman" w:cs="Times New Roman"/>
      <w:sz w:val="24"/>
      <w:szCs w:val="24"/>
    </w:rPr>
  </w:style>
  <w:style w:type="paragraph" w:customStyle="1" w:styleId="P68B1DB1-Normal1">
    <w:name w:val="P68B1DB1-Normal1"/>
    <w:basedOn w:val="Normal"/>
    <w:rPr>
      <w:rFonts w:ascii="Times New Roman" w:hAnsi="Times New Roman" w:cs="Times New Roman"/>
      <w:b/>
    </w:rPr>
  </w:style>
  <w:style w:type="paragraph" w:customStyle="1" w:styleId="P68B1DB1-Normal2">
    <w:name w:val="P68B1DB1-Normal2"/>
    <w:basedOn w:val="Normal"/>
    <w:rPr>
      <w:rFonts w:ascii="Times New Roman" w:hAnsi="Times New Roman"/>
      <w:b/>
      <w:smallCaps/>
      <w:sz w:val="24"/>
    </w:rPr>
  </w:style>
  <w:style w:type="paragraph" w:customStyle="1" w:styleId="P68B1DB1-ListParagraph3">
    <w:name w:val="P68B1DB1-ListParagraph3"/>
    <w:basedOn w:val="ListParagraph"/>
    <w:rPr>
      <w:rFonts w:ascii="Times New Roman" w:hAnsi="Times New Roman"/>
      <w:b/>
      <w:sz w:val="24"/>
      <w:u w:val="single"/>
    </w:rPr>
  </w:style>
  <w:style w:type="paragraph" w:customStyle="1" w:styleId="P68B1DB1-ListParagraph4">
    <w:name w:val="P68B1DB1-ListParagraph4"/>
    <w:basedOn w:val="ListParagraph"/>
    <w:rPr>
      <w:rFonts w:ascii="Times New Roman" w:hAnsi="Times New Roman"/>
      <w:b/>
      <w:sz w:val="24"/>
    </w:rPr>
  </w:style>
  <w:style w:type="paragraph" w:customStyle="1" w:styleId="P68B1DB1-Normal5">
    <w:name w:val="P68B1DB1-Normal5"/>
    <w:basedOn w:val="Normal"/>
    <w:rPr>
      <w:rFonts w:ascii="Times New Roman" w:hAnsi="Times New Roman"/>
      <w:sz w:val="24"/>
    </w:rPr>
  </w:style>
  <w:style w:type="paragraph" w:customStyle="1" w:styleId="P68B1DB1-Normal6">
    <w:name w:val="P68B1DB1-Normal6"/>
    <w:basedOn w:val="Normal"/>
    <w:rPr>
      <w:rFonts w:ascii="Times New Roman" w:hAnsi="Times New Roman"/>
      <w:b/>
      <w:sz w:val="24"/>
      <w:u w:val="single"/>
    </w:rPr>
  </w:style>
  <w:style w:type="paragraph" w:customStyle="1" w:styleId="P68B1DB1-Normal7">
    <w:name w:val="P68B1DB1-Normal7"/>
    <w:basedOn w:val="Normal"/>
    <w:rPr>
      <w:rFonts w:ascii="Times New Roman" w:hAnsi="Times New Roman"/>
      <w:sz w:val="24"/>
      <w:szCs w:val="24"/>
    </w:rPr>
  </w:style>
  <w:style w:type="paragraph" w:customStyle="1" w:styleId="P68B1DB1-Normal8">
    <w:name w:val="P68B1DB1-Normal8"/>
    <w:basedOn w:val="Normal"/>
    <w:rPr>
      <w:sz w:val="24"/>
      <w:szCs w:val="24"/>
    </w:rPr>
  </w:style>
  <w:style w:type="paragraph" w:customStyle="1" w:styleId="P68B1DB1-Normal9">
    <w:name w:val="P68B1DB1-Normal9"/>
    <w:basedOn w:val="Normal"/>
    <w:rPr>
      <w:rFonts w:ascii="Cambria" w:hAnsi="Cambria"/>
      <w:color w:val="365F91"/>
      <w:sz w:val="24"/>
    </w:rPr>
  </w:style>
  <w:style w:type="paragraph" w:customStyle="1" w:styleId="P68B1DB1-Normal10">
    <w:name w:val="P68B1DB1-Normal10"/>
    <w:basedOn w:val="Normal"/>
    <w:rPr>
      <w:rFonts w:ascii="Times New Roman" w:hAnsi="Times New Roman"/>
      <w:b/>
      <w:sz w:val="18"/>
    </w:rPr>
  </w:style>
  <w:style w:type="paragraph" w:customStyle="1" w:styleId="P68B1DB1-Normal11">
    <w:name w:val="P68B1DB1-Normal11"/>
    <w:basedOn w:val="Normal"/>
    <w:rPr>
      <w:rFonts w:ascii="Times New Roman" w:hAnsi="Times New Roman"/>
      <w:sz w:val="18"/>
      <w:szCs w:val="18"/>
    </w:rPr>
  </w:style>
  <w:style w:type="paragraph" w:customStyle="1" w:styleId="P68B1DB1-Normal12">
    <w:name w:val="P68B1DB1-Normal12"/>
    <w:basedOn w:val="Normal"/>
    <w:rPr>
      <w:rFonts w:ascii="Times New Roman" w:hAnsi="Times New Roman" w:cs="Times New Roman"/>
      <w:color w:val="006100"/>
      <w:sz w:val="18"/>
      <w:szCs w:val="18"/>
    </w:rPr>
  </w:style>
  <w:style w:type="paragraph" w:customStyle="1" w:styleId="P68B1DB1-Normal13">
    <w:name w:val="P68B1DB1-Normal13"/>
    <w:basedOn w:val="Normal"/>
    <w:rPr>
      <w:rFonts w:ascii="Times New Roman" w:hAnsi="Times New Roman" w:cs="Times New Roman"/>
      <w:color w:val="006100"/>
      <w:sz w:val="18"/>
    </w:rPr>
  </w:style>
  <w:style w:type="paragraph" w:customStyle="1" w:styleId="P68B1DB1-Normal14">
    <w:name w:val="P68B1DB1-Normal14"/>
    <w:basedOn w:val="Normal"/>
    <w:rPr>
      <w:rFonts w:ascii="Times New Roman" w:hAnsi="Times New Roman" w:cs="Times New Roman"/>
      <w:b/>
      <w:sz w:val="18"/>
      <w:szCs w:val="18"/>
    </w:rPr>
  </w:style>
  <w:style w:type="paragraph" w:customStyle="1" w:styleId="P68B1DB1-Normal15">
    <w:name w:val="P68B1DB1-Normal15"/>
    <w:basedOn w:val="Normal"/>
    <w:rPr>
      <w:rFonts w:ascii="Times New Roman" w:hAnsi="Times New Roman" w:cs="Times New Roman"/>
      <w:sz w:val="18"/>
      <w:szCs w:val="18"/>
    </w:rPr>
  </w:style>
  <w:style w:type="paragraph" w:customStyle="1" w:styleId="P68B1DB1-Normal16">
    <w:name w:val="P68B1DB1-Normal16"/>
    <w:basedOn w:val="Normal"/>
    <w:rPr>
      <w:rFonts w:ascii="Times New Roman" w:hAnsi="Times New Roman"/>
      <w:b/>
      <w:sz w:val="24"/>
    </w:rPr>
  </w:style>
  <w:style w:type="paragraph" w:customStyle="1" w:styleId="P68B1DB1-Normal17">
    <w:name w:val="P68B1DB1-Normal17"/>
    <w:basedOn w:val="Normal"/>
    <w:rPr>
      <w:sz w:val="24"/>
    </w:rPr>
  </w:style>
  <w:style w:type="paragraph" w:customStyle="1" w:styleId="P68B1DB1-Normal18">
    <w:name w:val="P68B1DB1-Normal18"/>
    <w:basedOn w:val="Normal"/>
    <w:rPr>
      <w:b/>
      <w:sz w:val="18"/>
    </w:rPr>
  </w:style>
  <w:style w:type="paragraph" w:customStyle="1" w:styleId="P68B1DB1-ListParagraph19">
    <w:name w:val="P68B1DB1-ListParagraph19"/>
    <w:basedOn w:val="ListParagraph"/>
    <w:rPr>
      <w:rFonts w:ascii="Times New Roman" w:hAnsi="Times New Roman" w:cs="Times New Roman"/>
      <w:color w:val="006100"/>
      <w:sz w:val="18"/>
      <w:szCs w:val="18"/>
    </w:rPr>
  </w:style>
  <w:style w:type="paragraph" w:customStyle="1" w:styleId="P68B1DB1-Normal20">
    <w:name w:val="P68B1DB1-Normal20"/>
    <w:basedOn w:val="Normal"/>
    <w:rPr>
      <w:rFonts w:ascii="Times New Roman" w:hAnsi="Times New Roman"/>
      <w:b/>
      <w:sz w:val="24"/>
      <w:szCs w:val="24"/>
      <w:u w:val="single"/>
    </w:rPr>
  </w:style>
  <w:style w:type="paragraph" w:customStyle="1" w:styleId="P68B1DB1-LegalNumPar221">
    <w:name w:val="P68B1DB1-LegalNumPar221"/>
    <w:basedOn w:val="LegalNumPar2"/>
    <w:rPr>
      <w:rFonts w:ascii="Times New Roman" w:hAnsi="Times New Roman" w:cs="Times New Roman"/>
      <w:sz w:val="24"/>
      <w:szCs w:val="24"/>
    </w:rPr>
  </w:style>
  <w:style w:type="paragraph" w:customStyle="1" w:styleId="P68B1DB1-LegalNumPar22">
    <w:name w:val="P68B1DB1-LegalNumPar22"/>
    <w:basedOn w:val="LegalNumPar"/>
    <w:rPr>
      <w:rFonts w:ascii="Times New Roman" w:hAnsi="Times New Roman" w:cs="Times New Roman"/>
      <w:sz w:val="24"/>
      <w:szCs w:val="24"/>
    </w:rPr>
  </w:style>
  <w:style w:type="paragraph" w:customStyle="1" w:styleId="P68B1DB1-LegalNumPar23">
    <w:name w:val="P68B1DB1-LegalNumPar23"/>
    <w:basedOn w:val="LegalNumPar"/>
    <w:rPr>
      <w:sz w:val="24"/>
      <w:szCs w:val="24"/>
    </w:rPr>
  </w:style>
  <w:style w:type="paragraph" w:customStyle="1" w:styleId="P68B1DB1-Normal24">
    <w:name w:val="P68B1DB1-Normal24"/>
    <w:basedOn w:val="Normal"/>
    <w:rPr>
      <w:rFonts w:ascii="Times New Roman" w:eastAsia="Times New Roman" w:hAnsi="Times New Roman" w:cs="Times New Roman"/>
      <w:color w:val="006100"/>
      <w:sz w:val="18"/>
      <w:szCs w:val="18"/>
    </w:rPr>
  </w:style>
  <w:style w:type="paragraph" w:customStyle="1" w:styleId="P68B1DB1-Normal25">
    <w:name w:val="P68B1DB1-Normal25"/>
    <w:basedOn w:val="Normal"/>
    <w:rPr>
      <w:rFonts w:ascii="Times New Roman" w:hAnsi="Times New Roman" w:cs="Times New Roman"/>
      <w:b/>
      <w:sz w:val="24"/>
      <w:szCs w:val="24"/>
    </w:rPr>
  </w:style>
  <w:style w:type="paragraph" w:customStyle="1" w:styleId="P68B1DB1-Normal26">
    <w:name w:val="P68B1DB1-Normal26"/>
    <w:basedOn w:val="Normal"/>
    <w:rPr>
      <w:u w:val="single"/>
    </w:rPr>
  </w:style>
  <w:style w:type="paragraph" w:customStyle="1" w:styleId="P68B1DB1-Normal27">
    <w:name w:val="P68B1DB1-Normal27"/>
    <w:basedOn w:val="Normal"/>
    <w:rPr>
      <w:rFonts w:ascii="Times New Roman" w:hAnsi="Times New Roman" w:cs="Times New Roman"/>
      <w:color w:val="006100"/>
      <w:sz w:val="16"/>
      <w:szCs w:val="16"/>
    </w:rPr>
  </w:style>
  <w:style w:type="paragraph" w:customStyle="1" w:styleId="P68B1DB1-Normal28">
    <w:name w:val="P68B1DB1-Normal28"/>
    <w:basedOn w:val="Normal"/>
    <w:rPr>
      <w:rFonts w:ascii="Times New Roman" w:eastAsiaTheme="minorEastAsia" w:hAnsi="Times New Roman" w:cs="Times New Roman"/>
      <w:color w:val="006100"/>
      <w:sz w:val="18"/>
      <w:szCs w:val="18"/>
    </w:rPr>
  </w:style>
  <w:style w:type="paragraph" w:customStyle="1" w:styleId="P68B1DB1-Normal29">
    <w:name w:val="P68B1DB1-Normal29"/>
    <w:basedOn w:val="Normal"/>
    <w:rPr>
      <w:rFonts w:ascii="Times New Roman" w:eastAsiaTheme="minorEastAsia" w:hAnsi="Times New Roman" w:cs="Times New Roman"/>
      <w:sz w:val="18"/>
      <w:szCs w:val="18"/>
    </w:rPr>
  </w:style>
  <w:style w:type="paragraph" w:customStyle="1" w:styleId="P68B1DB1-ListParagraph30">
    <w:name w:val="P68B1DB1-ListParagraph30"/>
    <w:basedOn w:val="ListParagraph"/>
    <w:rPr>
      <w:rFonts w:ascii="Times New Roman" w:eastAsiaTheme="minorEastAsia" w:hAnsi="Times New Roman" w:cs="Times New Roman"/>
      <w:color w:val="006100"/>
      <w:sz w:val="18"/>
      <w:szCs w:val="18"/>
    </w:rPr>
  </w:style>
  <w:style w:type="paragraph" w:customStyle="1" w:styleId="P68B1DB1-Normal31">
    <w:name w:val="P68B1DB1-Normal31"/>
    <w:basedOn w:val="Normal"/>
    <w:rPr>
      <w:rFonts w:ascii="Times New Roman" w:hAnsi="Times New Roman" w:cs="Times New Roman"/>
      <w:sz w:val="24"/>
    </w:rPr>
  </w:style>
  <w:style w:type="paragraph" w:customStyle="1" w:styleId="P68B1DB1-ListParagraph32">
    <w:name w:val="P68B1DB1-ListParagraph32"/>
    <w:basedOn w:val="ListParagraph"/>
    <w:rPr>
      <w:rFonts w:ascii="Times New Roman" w:hAnsi="Times New Roman"/>
      <w:sz w:val="24"/>
    </w:rPr>
  </w:style>
  <w:style w:type="paragraph" w:customStyle="1" w:styleId="P68B1DB1-xmsonormal33">
    <w:name w:val="P68B1DB1-xmsonormal33"/>
    <w:basedOn w:val="xmsonormal"/>
    <w:rPr>
      <w:color w:val="006100"/>
      <w:sz w:val="18"/>
      <w:szCs w:val="18"/>
    </w:rPr>
  </w:style>
  <w:style w:type="paragraph" w:customStyle="1" w:styleId="P68B1DB1-Normal34">
    <w:name w:val="P68B1DB1-Normal34"/>
    <w:basedOn w:val="Normal"/>
    <w:rPr>
      <w:sz w:val="18"/>
    </w:rPr>
  </w:style>
  <w:style w:type="paragraph" w:customStyle="1" w:styleId="P68B1DB1-paragraph35">
    <w:name w:val="P68B1DB1-paragraph35"/>
    <w:basedOn w:val="paragraph"/>
    <w:rPr>
      <w:color w:val="006100"/>
      <w:sz w:val="18"/>
      <w:szCs w:val="18"/>
    </w:rPr>
  </w:style>
  <w:style w:type="paragraph" w:customStyle="1" w:styleId="P68B1DB1-Normal36">
    <w:name w:val="P68B1DB1-Normal36"/>
    <w:basedOn w:val="Normal"/>
    <w:rPr>
      <w:rFonts w:ascii="Cambria" w:hAnsi="Cambria"/>
      <w:color w:val="365F91" w:themeColor="accent1" w:themeShade="BF"/>
      <w:sz w:val="24"/>
      <w:szCs w:val="24"/>
    </w:rPr>
  </w:style>
  <w:style w:type="paragraph" w:customStyle="1" w:styleId="P68B1DB1-paragraph37">
    <w:name w:val="P68B1DB1-paragraph37"/>
    <w:basedOn w:val="paragraph"/>
    <w:rPr>
      <w:rFonts w:eastAsiaTheme="minorEastAsia"/>
      <w:color w:val="006100"/>
      <w:sz w:val="18"/>
      <w:szCs w:val="18"/>
    </w:rPr>
  </w:style>
  <w:style w:type="paragraph" w:customStyle="1" w:styleId="P68B1DB1-paragraph38">
    <w:name w:val="P68B1DB1-paragraph38"/>
    <w:basedOn w:val="paragraph"/>
    <w:rPr>
      <w:rFonts w:eastAsia="Calibri"/>
      <w:color w:val="006100"/>
      <w:sz w:val="18"/>
      <w:szCs w:val="18"/>
    </w:rPr>
  </w:style>
  <w:style w:type="paragraph" w:customStyle="1" w:styleId="P68B1DB1-Default39">
    <w:name w:val="P68B1DB1-Default39"/>
    <w:basedOn w:val="Default"/>
    <w:rPr>
      <w:rFonts w:ascii="Times New Roman" w:hAnsi="Times New Roman"/>
    </w:rPr>
  </w:style>
  <w:style w:type="paragraph" w:customStyle="1" w:styleId="P68B1DB1-Normal40">
    <w:name w:val="P68B1DB1-Normal40"/>
    <w:basedOn w:val="Normal"/>
    <w:rPr>
      <w:rFonts w:ascii="Times New Roman" w:hAnsi="Times New Roman"/>
      <w:b/>
      <w:sz w:val="18"/>
      <w:szCs w:val="18"/>
    </w:rPr>
  </w:style>
  <w:style w:type="paragraph" w:customStyle="1" w:styleId="P68B1DB1-ListParagraph41">
    <w:name w:val="P68B1DB1-ListParagraph41"/>
    <w:basedOn w:val="ListParagraph"/>
    <w:rPr>
      <w:rFonts w:ascii="Times New Roman" w:hAnsi="Times New Roman" w:cs="Times New Roman"/>
      <w:sz w:val="18"/>
      <w:szCs w:val="18"/>
    </w:rPr>
  </w:style>
  <w:style w:type="paragraph" w:customStyle="1" w:styleId="P68B1DB1-Normal42">
    <w:name w:val="P68B1DB1-Normal42"/>
    <w:basedOn w:val="Normal"/>
    <w:rPr>
      <w:rFonts w:ascii="Times New Roman" w:hAnsi="Times New Roman"/>
      <w:color w:val="000000" w:themeColor="text1"/>
      <w:sz w:val="24"/>
    </w:rPr>
  </w:style>
  <w:style w:type="paragraph" w:customStyle="1" w:styleId="P68B1DB1-Normal43">
    <w:name w:val="P68B1DB1-Normal43"/>
    <w:basedOn w:val="Normal"/>
    <w:rPr>
      <w:rFonts w:ascii="Times New Roman" w:hAnsi="Times New Roman" w:cs="Times New Roman"/>
      <w:color w:val="006100"/>
      <w:sz w:val="17"/>
      <w:szCs w:val="17"/>
    </w:rPr>
  </w:style>
  <w:style w:type="paragraph" w:customStyle="1" w:styleId="P68B1DB1-LegalNumPar44">
    <w:name w:val="P68B1DB1-LegalNumPar44"/>
    <w:basedOn w:val="LegalNumPar"/>
    <w:rPr>
      <w:sz w:val="24"/>
    </w:rPr>
  </w:style>
  <w:style w:type="paragraph" w:customStyle="1" w:styleId="P68B1DB1-ListParagraph45">
    <w:name w:val="P68B1DB1-ListParagraph45"/>
    <w:basedOn w:val="ListParagraph"/>
    <w:rPr>
      <w:rFonts w:ascii="Times New Roman" w:hAnsi="Times New Roman"/>
      <w:sz w:val="24"/>
      <w:szCs w:val="24"/>
    </w:rPr>
  </w:style>
  <w:style w:type="paragraph" w:customStyle="1" w:styleId="P68B1DB1-Normal46">
    <w:name w:val="P68B1DB1-Normal46"/>
    <w:basedOn w:val="Normal"/>
    <w:rPr>
      <w:rFonts w:ascii="Times New Roman" w:hAnsi="Times New Roman"/>
      <w:b/>
      <w:sz w:val="24"/>
      <w:szCs w:val="24"/>
    </w:rPr>
  </w:style>
  <w:style w:type="paragraph" w:customStyle="1" w:styleId="P68B1DB1-Normal47">
    <w:name w:val="P68B1DB1-Normal47"/>
    <w:basedOn w:val="Normal"/>
    <w:rPr>
      <w:rFonts w:ascii="Times New Roman" w:hAnsi="Times New Roman"/>
      <w:b/>
    </w:rPr>
  </w:style>
  <w:style w:type="paragraph" w:customStyle="1" w:styleId="P68B1DB1-Normal48">
    <w:name w:val="P68B1DB1-Normal48"/>
    <w:basedOn w:val="Normal"/>
    <w:rPr>
      <w:rFonts w:ascii="Times New Roman" w:hAnsi="Times New Roman"/>
    </w:rPr>
  </w:style>
  <w:style w:type="paragraph" w:customStyle="1" w:styleId="P68B1DB1-Normal49">
    <w:name w:val="P68B1DB1-Normal49"/>
    <w:basedOn w:val="Normal"/>
    <w:rPr>
      <w:sz w:val="18"/>
      <w:szCs w:val="18"/>
    </w:rPr>
  </w:style>
  <w:style w:type="paragraph" w:customStyle="1" w:styleId="P68B1DB1-ListParagraph50">
    <w:name w:val="P68B1DB1-ListParagraph50"/>
    <w:basedOn w:val="ListParagraph"/>
    <w:rPr>
      <w:rFonts w:ascii="Times New Roman" w:hAnsi="Times New Roman" w:cs="Times New Roman"/>
      <w:color w:val="006100"/>
      <w:sz w:val="18"/>
    </w:rPr>
  </w:style>
  <w:style w:type="paragraph" w:customStyle="1" w:styleId="P68B1DB1-ListParagraph51">
    <w:name w:val="P68B1DB1-ListParagraph51"/>
    <w:basedOn w:val="ListParagraph"/>
    <w:rPr>
      <w:rFonts w:ascii="Times New Roman" w:eastAsia="Times New Roman" w:hAnsi="Times New Roman" w:cs="Times New Roman"/>
      <w:color w:val="006100"/>
      <w:sz w:val="18"/>
      <w:szCs w:val="18"/>
    </w:rPr>
  </w:style>
  <w:style w:type="paragraph" w:customStyle="1" w:styleId="P68B1DB1-Normal52">
    <w:name w:val="P68B1DB1-Normal52"/>
    <w:basedOn w:val="Normal"/>
    <w:rPr>
      <w:rFonts w:ascii="Times New Roman" w:hAnsi="Times New Roman"/>
      <w:sz w:val="18"/>
    </w:rPr>
  </w:style>
  <w:style w:type="paragraph" w:customStyle="1" w:styleId="P68B1DB1-Normal53">
    <w:name w:val="P68B1DB1-Normal53"/>
    <w:basedOn w:val="Normal"/>
    <w:rPr>
      <w:rFonts w:ascii="Times New Roman" w:hAnsi="Times New Roman"/>
      <w:sz w:val="20"/>
    </w:rPr>
  </w:style>
  <w:style w:type="paragraph" w:customStyle="1" w:styleId="P68B1DB1-Normal54">
    <w:name w:val="P68B1DB1-Normal54"/>
    <w:basedOn w:val="Normal"/>
    <w:rPr>
      <w:rFonts w:ascii="Times New Roman" w:eastAsia="Times New Roman" w:hAnsi="Times New Roman" w:cs="Times New Roman"/>
      <w:sz w:val="18"/>
      <w:szCs w:val="18"/>
    </w:rPr>
  </w:style>
  <w:style w:type="paragraph" w:customStyle="1" w:styleId="P68B1DB1-Normal55">
    <w:name w:val="P68B1DB1-Normal55"/>
    <w:basedOn w:val="Normal"/>
    <w:rPr>
      <w:rFonts w:ascii="Times New Roman" w:eastAsia="Times New Roman" w:hAnsi="Times New Roman"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08401">
      <w:bodyDiv w:val="1"/>
      <w:marLeft w:val="0"/>
      <w:marRight w:val="0"/>
      <w:marTop w:val="0"/>
      <w:marBottom w:val="0"/>
      <w:divBdr>
        <w:top w:val="none" w:sz="0" w:space="0" w:color="auto"/>
        <w:left w:val="none" w:sz="0" w:space="0" w:color="auto"/>
        <w:bottom w:val="none" w:sz="0" w:space="0" w:color="auto"/>
        <w:right w:val="none" w:sz="0" w:space="0" w:color="auto"/>
      </w:divBdr>
      <w:divsChild>
        <w:div w:id="1649213464">
          <w:marLeft w:val="0"/>
          <w:marRight w:val="0"/>
          <w:marTop w:val="0"/>
          <w:marBottom w:val="0"/>
          <w:divBdr>
            <w:top w:val="none" w:sz="0" w:space="0" w:color="auto"/>
            <w:left w:val="none" w:sz="0" w:space="0" w:color="auto"/>
            <w:bottom w:val="none" w:sz="0" w:space="0" w:color="auto"/>
            <w:right w:val="none" w:sz="0" w:space="0" w:color="auto"/>
          </w:divBdr>
        </w:div>
        <w:div w:id="443381185">
          <w:marLeft w:val="0"/>
          <w:marRight w:val="0"/>
          <w:marTop w:val="0"/>
          <w:marBottom w:val="0"/>
          <w:divBdr>
            <w:top w:val="none" w:sz="0" w:space="0" w:color="auto"/>
            <w:left w:val="none" w:sz="0" w:space="0" w:color="auto"/>
            <w:bottom w:val="none" w:sz="0" w:space="0" w:color="auto"/>
            <w:right w:val="none" w:sz="0" w:space="0" w:color="auto"/>
          </w:divBdr>
        </w:div>
      </w:divsChild>
    </w:div>
    <w:div w:id="1709066701">
      <w:bodyDiv w:val="1"/>
      <w:marLeft w:val="0"/>
      <w:marRight w:val="0"/>
      <w:marTop w:val="0"/>
      <w:marBottom w:val="0"/>
      <w:divBdr>
        <w:top w:val="none" w:sz="0" w:space="0" w:color="auto"/>
        <w:left w:val="none" w:sz="0" w:space="0" w:color="auto"/>
        <w:bottom w:val="none" w:sz="0" w:space="0" w:color="auto"/>
        <w:right w:val="none" w:sz="0" w:space="0" w:color="auto"/>
      </w:divBdr>
      <w:divsChild>
        <w:div w:id="1447844076">
          <w:marLeft w:val="0"/>
          <w:marRight w:val="0"/>
          <w:marTop w:val="0"/>
          <w:marBottom w:val="0"/>
          <w:divBdr>
            <w:top w:val="none" w:sz="0" w:space="0" w:color="auto"/>
            <w:left w:val="none" w:sz="0" w:space="0" w:color="auto"/>
            <w:bottom w:val="none" w:sz="0" w:space="0" w:color="auto"/>
            <w:right w:val="none" w:sz="0" w:space="0" w:color="auto"/>
          </w:divBdr>
        </w:div>
        <w:div w:id="61412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99" Type="http://schemas.openxmlformats.org/officeDocument/2006/relationships/footer" Target="footer144.xml"/><Relationship Id="rId21" Type="http://schemas.openxmlformats.org/officeDocument/2006/relationships/footer" Target="footer5.xml"/><Relationship Id="rId63" Type="http://schemas.openxmlformats.org/officeDocument/2006/relationships/footer" Target="footer26.xml"/><Relationship Id="rId159" Type="http://schemas.openxmlformats.org/officeDocument/2006/relationships/footer" Target="footer74.xml"/><Relationship Id="rId324" Type="http://schemas.openxmlformats.org/officeDocument/2006/relationships/header" Target="header157.xml"/><Relationship Id="rId366" Type="http://schemas.openxmlformats.org/officeDocument/2006/relationships/footer" Target="footer177.xml"/><Relationship Id="rId170" Type="http://schemas.openxmlformats.org/officeDocument/2006/relationships/header" Target="header80.xml"/><Relationship Id="rId191" Type="http://schemas.openxmlformats.org/officeDocument/2006/relationships/footer" Target="footer90.xml"/><Relationship Id="rId205" Type="http://schemas.openxmlformats.org/officeDocument/2006/relationships/footer" Target="footer97.xml"/><Relationship Id="rId226" Type="http://schemas.openxmlformats.org/officeDocument/2006/relationships/header" Target="header108.xml"/><Relationship Id="rId247" Type="http://schemas.openxmlformats.org/officeDocument/2006/relationships/footer" Target="footer118.xml"/><Relationship Id="rId107" Type="http://schemas.openxmlformats.org/officeDocument/2006/relationships/footer" Target="footer48.xml"/><Relationship Id="rId268" Type="http://schemas.openxmlformats.org/officeDocument/2006/relationships/header" Target="header129.xml"/><Relationship Id="rId289" Type="http://schemas.openxmlformats.org/officeDocument/2006/relationships/header" Target="header140.xml"/><Relationship Id="rId11" Type="http://schemas.openxmlformats.org/officeDocument/2006/relationships/image" Target="media/image1.emf"/><Relationship Id="rId32" Type="http://schemas.openxmlformats.org/officeDocument/2006/relationships/header" Target="header11.xml"/><Relationship Id="rId53" Type="http://schemas.openxmlformats.org/officeDocument/2006/relationships/footer" Target="foot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footer" Target="footer69.xml"/><Relationship Id="rId314" Type="http://schemas.openxmlformats.org/officeDocument/2006/relationships/footer" Target="footer151.xml"/><Relationship Id="rId335" Type="http://schemas.openxmlformats.org/officeDocument/2006/relationships/footer" Target="footer162.xml"/><Relationship Id="rId356" Type="http://schemas.openxmlformats.org/officeDocument/2006/relationships/header" Target="header173.xml"/><Relationship Id="rId377" Type="http://schemas.openxmlformats.org/officeDocument/2006/relationships/footer" Target="footer183.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footer" Target="footer85.xml"/><Relationship Id="rId216" Type="http://schemas.openxmlformats.org/officeDocument/2006/relationships/footer" Target="footer102.xml"/><Relationship Id="rId237" Type="http://schemas.openxmlformats.org/officeDocument/2006/relationships/footer" Target="footer113.xml"/><Relationship Id="rId258" Type="http://schemas.openxmlformats.org/officeDocument/2006/relationships/footer" Target="footer123.xml"/><Relationship Id="rId279" Type="http://schemas.openxmlformats.org/officeDocument/2006/relationships/footer" Target="footer134.xml"/><Relationship Id="rId22" Type="http://schemas.openxmlformats.org/officeDocument/2006/relationships/header" Target="header6.xml"/><Relationship Id="rId43" Type="http://schemas.openxmlformats.org/officeDocument/2006/relationships/footer" Target="footer16.xml"/><Relationship Id="rId64" Type="http://schemas.openxmlformats.org/officeDocument/2006/relationships/header" Target="header27.xml"/><Relationship Id="rId118" Type="http://schemas.openxmlformats.org/officeDocument/2006/relationships/footer" Target="footer53.xml"/><Relationship Id="rId139" Type="http://schemas.openxmlformats.org/officeDocument/2006/relationships/header" Target="header65.xml"/><Relationship Id="rId290" Type="http://schemas.openxmlformats.org/officeDocument/2006/relationships/footer" Target="footer139.xml"/><Relationship Id="rId304" Type="http://schemas.openxmlformats.org/officeDocument/2006/relationships/header" Target="header147.xml"/><Relationship Id="rId325" Type="http://schemas.openxmlformats.org/officeDocument/2006/relationships/header" Target="header158.xml"/><Relationship Id="rId346" Type="http://schemas.openxmlformats.org/officeDocument/2006/relationships/header" Target="header168.xml"/><Relationship Id="rId367" Type="http://schemas.openxmlformats.org/officeDocument/2006/relationships/footer" Target="footer178.xml"/><Relationship Id="rId388" Type="http://schemas.openxmlformats.org/officeDocument/2006/relationships/header" Target="header189.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header" Target="header98.xml"/><Relationship Id="rId227" Type="http://schemas.openxmlformats.org/officeDocument/2006/relationships/footer" Target="footer108.xml"/><Relationship Id="rId248" Type="http://schemas.openxmlformats.org/officeDocument/2006/relationships/header" Target="header119.xml"/><Relationship Id="rId269" Type="http://schemas.openxmlformats.org/officeDocument/2006/relationships/header" Target="header130.xml"/><Relationship Id="rId12" Type="http://schemas.openxmlformats.org/officeDocument/2006/relationships/header" Target="header1.xml"/><Relationship Id="rId33" Type="http://schemas.openxmlformats.org/officeDocument/2006/relationships/header" Target="header12.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header" Target="header135.xml"/><Relationship Id="rId315" Type="http://schemas.openxmlformats.org/officeDocument/2006/relationships/footer" Target="footer152.xml"/><Relationship Id="rId336" Type="http://schemas.openxmlformats.org/officeDocument/2006/relationships/header" Target="header163.xml"/><Relationship Id="rId357" Type="http://schemas.openxmlformats.org/officeDocument/2006/relationships/footer" Target="footer173.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header" Target="header86.xml"/><Relationship Id="rId217" Type="http://schemas.openxmlformats.org/officeDocument/2006/relationships/footer" Target="footer103.xml"/><Relationship Id="rId378" Type="http://schemas.openxmlformats.org/officeDocument/2006/relationships/header" Target="header184.xml"/><Relationship Id="rId6" Type="http://schemas.openxmlformats.org/officeDocument/2006/relationships/styles" Target="styles.xml"/><Relationship Id="rId238" Type="http://schemas.openxmlformats.org/officeDocument/2006/relationships/header" Target="header114.xml"/><Relationship Id="rId259" Type="http://schemas.openxmlformats.org/officeDocument/2006/relationships/footer" Target="footer124.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footer" Target="footer129.xml"/><Relationship Id="rId291" Type="http://schemas.openxmlformats.org/officeDocument/2006/relationships/footer" Target="footer140.xml"/><Relationship Id="rId305" Type="http://schemas.openxmlformats.org/officeDocument/2006/relationships/footer" Target="footer147.xml"/><Relationship Id="rId326" Type="http://schemas.openxmlformats.org/officeDocument/2006/relationships/footer" Target="footer157.xml"/><Relationship Id="rId347" Type="http://schemas.openxmlformats.org/officeDocument/2006/relationships/footer" Target="footer168.xml"/><Relationship Id="rId44" Type="http://schemas.openxmlformats.org/officeDocument/2006/relationships/header" Target="header17.xml"/><Relationship Id="rId65" Type="http://schemas.openxmlformats.org/officeDocument/2006/relationships/header" Target="header28.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368" Type="http://schemas.openxmlformats.org/officeDocument/2006/relationships/header" Target="header179.xml"/><Relationship Id="rId389" Type="http://schemas.openxmlformats.org/officeDocument/2006/relationships/footer" Target="footer189.xml"/><Relationship Id="rId172" Type="http://schemas.openxmlformats.org/officeDocument/2006/relationships/header" Target="header81.xml"/><Relationship Id="rId193" Type="http://schemas.openxmlformats.org/officeDocument/2006/relationships/footer" Target="footer91.xml"/><Relationship Id="rId207" Type="http://schemas.openxmlformats.org/officeDocument/2006/relationships/footer" Target="footer98.xml"/><Relationship Id="rId228" Type="http://schemas.openxmlformats.org/officeDocument/2006/relationships/header" Target="header109.xml"/><Relationship Id="rId249" Type="http://schemas.openxmlformats.org/officeDocument/2006/relationships/footer" Target="footer119.xml"/><Relationship Id="rId13" Type="http://schemas.openxmlformats.org/officeDocument/2006/relationships/header" Target="header2.xml"/><Relationship Id="rId109" Type="http://schemas.openxmlformats.org/officeDocument/2006/relationships/footer" Target="footer49.xml"/><Relationship Id="rId260" Type="http://schemas.openxmlformats.org/officeDocument/2006/relationships/header" Target="header125.xml"/><Relationship Id="rId281" Type="http://schemas.openxmlformats.org/officeDocument/2006/relationships/header" Target="header136.xml"/><Relationship Id="rId316" Type="http://schemas.openxmlformats.org/officeDocument/2006/relationships/header" Target="header153.xml"/><Relationship Id="rId337" Type="http://schemas.openxmlformats.org/officeDocument/2006/relationships/header" Target="header164.xml"/><Relationship Id="rId34" Type="http://schemas.openxmlformats.org/officeDocument/2006/relationships/footer" Target="footer11.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footer" Target="footer43.xml"/><Relationship Id="rId120" Type="http://schemas.openxmlformats.org/officeDocument/2006/relationships/header" Target="header55.xml"/><Relationship Id="rId141" Type="http://schemas.openxmlformats.org/officeDocument/2006/relationships/footer" Target="footer65.xml"/><Relationship Id="rId358" Type="http://schemas.openxmlformats.org/officeDocument/2006/relationships/header" Target="header174.xml"/><Relationship Id="rId379" Type="http://schemas.openxmlformats.org/officeDocument/2006/relationships/header" Target="header185.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header" Target="header104.xml"/><Relationship Id="rId239" Type="http://schemas.openxmlformats.org/officeDocument/2006/relationships/header" Target="header115.xml"/><Relationship Id="rId390" Type="http://schemas.openxmlformats.org/officeDocument/2006/relationships/header" Target="header190.xml"/><Relationship Id="rId250" Type="http://schemas.openxmlformats.org/officeDocument/2006/relationships/header" Target="header120.xml"/><Relationship Id="rId271" Type="http://schemas.openxmlformats.org/officeDocument/2006/relationships/footer" Target="footer130.xml"/><Relationship Id="rId292" Type="http://schemas.openxmlformats.org/officeDocument/2006/relationships/header" Target="header141.xml"/><Relationship Id="rId306" Type="http://schemas.openxmlformats.org/officeDocument/2006/relationships/header" Target="header148.xml"/><Relationship Id="rId24" Type="http://schemas.openxmlformats.org/officeDocument/2006/relationships/header" Target="header7.xml"/><Relationship Id="rId45" Type="http://schemas.openxmlformats.org/officeDocument/2006/relationships/header" Target="header18.xml"/><Relationship Id="rId66" Type="http://schemas.openxmlformats.org/officeDocument/2006/relationships/footer" Target="footer27.xml"/><Relationship Id="rId87" Type="http://schemas.openxmlformats.org/officeDocument/2006/relationships/footer" Target="footer38.xml"/><Relationship Id="rId110" Type="http://schemas.openxmlformats.org/officeDocument/2006/relationships/header" Target="header50.xml"/><Relationship Id="rId131" Type="http://schemas.openxmlformats.org/officeDocument/2006/relationships/footer" Target="footer60.xml"/><Relationship Id="rId327" Type="http://schemas.openxmlformats.org/officeDocument/2006/relationships/footer" Target="footer158.xml"/><Relationship Id="rId348" Type="http://schemas.openxmlformats.org/officeDocument/2006/relationships/header" Target="header169.xml"/><Relationship Id="rId369" Type="http://schemas.openxmlformats.org/officeDocument/2006/relationships/footer" Target="footer179.xml"/><Relationship Id="rId152" Type="http://schemas.openxmlformats.org/officeDocument/2006/relationships/footer" Target="footer70.xml"/><Relationship Id="rId173" Type="http://schemas.openxmlformats.org/officeDocument/2006/relationships/header" Target="header82.xml"/><Relationship Id="rId194" Type="http://schemas.openxmlformats.org/officeDocument/2006/relationships/header" Target="header92.xml"/><Relationship Id="rId208" Type="http://schemas.openxmlformats.org/officeDocument/2006/relationships/header" Target="header99.xml"/><Relationship Id="rId229" Type="http://schemas.openxmlformats.org/officeDocument/2006/relationships/header" Target="header110.xml"/><Relationship Id="rId380" Type="http://schemas.openxmlformats.org/officeDocument/2006/relationships/footer" Target="footer184.xml"/><Relationship Id="rId240" Type="http://schemas.openxmlformats.org/officeDocument/2006/relationships/footer" Target="footer114.xml"/><Relationship Id="rId261" Type="http://schemas.openxmlformats.org/officeDocument/2006/relationships/footer" Target="foot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header" Target="header23.xml"/><Relationship Id="rId77" Type="http://schemas.openxmlformats.org/officeDocument/2006/relationships/header" Target="header34.xml"/><Relationship Id="rId100" Type="http://schemas.openxmlformats.org/officeDocument/2006/relationships/footer" Target="footer44.xml"/><Relationship Id="rId282" Type="http://schemas.openxmlformats.org/officeDocument/2006/relationships/footer" Target="footer135.xml"/><Relationship Id="rId317" Type="http://schemas.openxmlformats.org/officeDocument/2006/relationships/footer" Target="footer153.xml"/><Relationship Id="rId338" Type="http://schemas.openxmlformats.org/officeDocument/2006/relationships/footer" Target="footer163.xml"/><Relationship Id="rId359" Type="http://schemas.openxmlformats.org/officeDocument/2006/relationships/header" Target="header175.xml"/><Relationship Id="rId8" Type="http://schemas.openxmlformats.org/officeDocument/2006/relationships/webSettings" Target="webSettings.xml"/><Relationship Id="rId98" Type="http://schemas.openxmlformats.org/officeDocument/2006/relationships/header" Target="header44.xml"/><Relationship Id="rId121" Type="http://schemas.openxmlformats.org/officeDocument/2006/relationships/footer" Target="footer55.xml"/><Relationship Id="rId142" Type="http://schemas.openxmlformats.org/officeDocument/2006/relationships/header" Target="header66.xml"/><Relationship Id="rId163" Type="http://schemas.openxmlformats.org/officeDocument/2006/relationships/footer" Target="footer76.xml"/><Relationship Id="rId184" Type="http://schemas.openxmlformats.org/officeDocument/2006/relationships/header" Target="header87.xml"/><Relationship Id="rId219" Type="http://schemas.openxmlformats.org/officeDocument/2006/relationships/footer" Target="footer104.xml"/><Relationship Id="rId370" Type="http://schemas.openxmlformats.org/officeDocument/2006/relationships/header" Target="header180.xml"/><Relationship Id="rId391" Type="http://schemas.openxmlformats.org/officeDocument/2006/relationships/footer" Target="footer190.xml"/><Relationship Id="rId230" Type="http://schemas.openxmlformats.org/officeDocument/2006/relationships/footer" Target="footer109.xml"/><Relationship Id="rId251" Type="http://schemas.openxmlformats.org/officeDocument/2006/relationships/header" Target="header121.xml"/><Relationship Id="rId25" Type="http://schemas.openxmlformats.org/officeDocument/2006/relationships/header" Target="header8.xml"/><Relationship Id="rId46" Type="http://schemas.openxmlformats.org/officeDocument/2006/relationships/footer" Target="footer17.xml"/><Relationship Id="rId67" Type="http://schemas.openxmlformats.org/officeDocument/2006/relationships/footer" Target="footer28.xml"/><Relationship Id="rId272" Type="http://schemas.openxmlformats.org/officeDocument/2006/relationships/header" Target="header131.xml"/><Relationship Id="rId293" Type="http://schemas.openxmlformats.org/officeDocument/2006/relationships/footer" Target="footer141.xml"/><Relationship Id="rId307" Type="http://schemas.openxmlformats.org/officeDocument/2006/relationships/header" Target="header149.xml"/><Relationship Id="rId328" Type="http://schemas.openxmlformats.org/officeDocument/2006/relationships/header" Target="header159.xml"/><Relationship Id="rId349" Type="http://schemas.openxmlformats.org/officeDocument/2006/relationships/header" Target="header170.xml"/><Relationship Id="rId88" Type="http://schemas.openxmlformats.org/officeDocument/2006/relationships/header" Target="header39.xml"/><Relationship Id="rId111" Type="http://schemas.openxmlformats.org/officeDocument/2006/relationships/header" Target="header51.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footer" Target="footer81.xml"/><Relationship Id="rId195" Type="http://schemas.openxmlformats.org/officeDocument/2006/relationships/header" Target="header93.xml"/><Relationship Id="rId209" Type="http://schemas.openxmlformats.org/officeDocument/2006/relationships/header" Target="header100.xml"/><Relationship Id="rId360" Type="http://schemas.openxmlformats.org/officeDocument/2006/relationships/footer" Target="footer174.xml"/><Relationship Id="rId381" Type="http://schemas.openxmlformats.org/officeDocument/2006/relationships/footer" Target="footer185.xml"/><Relationship Id="rId220" Type="http://schemas.openxmlformats.org/officeDocument/2006/relationships/header" Target="header105.xml"/><Relationship Id="rId241" Type="http://schemas.openxmlformats.org/officeDocument/2006/relationships/footer" Target="footer115.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262" Type="http://schemas.openxmlformats.org/officeDocument/2006/relationships/header" Target="header126.xml"/><Relationship Id="rId283" Type="http://schemas.openxmlformats.org/officeDocument/2006/relationships/footer" Target="footer136.xml"/><Relationship Id="rId318" Type="http://schemas.openxmlformats.org/officeDocument/2006/relationships/header" Target="header154.xml"/><Relationship Id="rId339" Type="http://schemas.openxmlformats.org/officeDocument/2006/relationships/footer" Target="footer164.xml"/><Relationship Id="rId78" Type="http://schemas.openxmlformats.org/officeDocument/2006/relationships/footer" Target="footer33.xml"/><Relationship Id="rId99" Type="http://schemas.openxmlformats.org/officeDocument/2006/relationships/header" Target="header45.xml"/><Relationship Id="rId101" Type="http://schemas.openxmlformats.org/officeDocument/2006/relationships/footer" Target="footer45.xml"/><Relationship Id="rId122" Type="http://schemas.openxmlformats.org/officeDocument/2006/relationships/header" Target="header56.xml"/><Relationship Id="rId143" Type="http://schemas.openxmlformats.org/officeDocument/2006/relationships/footer" Target="footer66.xml"/><Relationship Id="rId164" Type="http://schemas.openxmlformats.org/officeDocument/2006/relationships/header" Target="header77.xml"/><Relationship Id="rId185" Type="http://schemas.openxmlformats.org/officeDocument/2006/relationships/header" Target="header88.xml"/><Relationship Id="rId350" Type="http://schemas.openxmlformats.org/officeDocument/2006/relationships/footer" Target="footer169.xml"/><Relationship Id="rId371" Type="http://schemas.openxmlformats.org/officeDocument/2006/relationships/header" Target="header181.xml"/><Relationship Id="rId9" Type="http://schemas.openxmlformats.org/officeDocument/2006/relationships/footnotes" Target="footnotes.xml"/><Relationship Id="rId210" Type="http://schemas.openxmlformats.org/officeDocument/2006/relationships/footer" Target="footer99.xml"/><Relationship Id="rId392" Type="http://schemas.openxmlformats.org/officeDocument/2006/relationships/fontTable" Target="fontTable.xml"/><Relationship Id="rId26" Type="http://schemas.openxmlformats.org/officeDocument/2006/relationships/footer" Target="footer7.xml"/><Relationship Id="rId231" Type="http://schemas.openxmlformats.org/officeDocument/2006/relationships/footer" Target="footer110.xml"/><Relationship Id="rId252" Type="http://schemas.openxmlformats.org/officeDocument/2006/relationships/footer" Target="footer120.xml"/><Relationship Id="rId273" Type="http://schemas.openxmlformats.org/officeDocument/2006/relationships/footer" Target="footer131.xml"/><Relationship Id="rId294" Type="http://schemas.openxmlformats.org/officeDocument/2006/relationships/header" Target="header142.xml"/><Relationship Id="rId308" Type="http://schemas.openxmlformats.org/officeDocument/2006/relationships/footer" Target="footer148.xml"/><Relationship Id="rId329" Type="http://schemas.openxmlformats.org/officeDocument/2006/relationships/footer" Target="footer159.xml"/><Relationship Id="rId47" Type="http://schemas.openxmlformats.org/officeDocument/2006/relationships/footer" Target="footer18.xml"/><Relationship Id="rId68" Type="http://schemas.openxmlformats.org/officeDocument/2006/relationships/header" Target="header29.xml"/><Relationship Id="rId89" Type="http://schemas.openxmlformats.org/officeDocument/2006/relationships/footer" Target="footer39.xml"/><Relationship Id="rId112" Type="http://schemas.openxmlformats.org/officeDocument/2006/relationships/footer" Target="footer50.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footer" Target="footer82.xml"/><Relationship Id="rId340" Type="http://schemas.openxmlformats.org/officeDocument/2006/relationships/header" Target="header165.xml"/><Relationship Id="rId361" Type="http://schemas.openxmlformats.org/officeDocument/2006/relationships/footer" Target="footer175.xml"/><Relationship Id="rId196" Type="http://schemas.openxmlformats.org/officeDocument/2006/relationships/footer" Target="footer92.xml"/><Relationship Id="rId200" Type="http://schemas.openxmlformats.org/officeDocument/2006/relationships/header" Target="header95.xml"/><Relationship Id="rId382" Type="http://schemas.openxmlformats.org/officeDocument/2006/relationships/header" Target="header186.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header" Target="header116.xml"/><Relationship Id="rId263" Type="http://schemas.openxmlformats.org/officeDocument/2006/relationships/header" Target="header127.xml"/><Relationship Id="rId284" Type="http://schemas.openxmlformats.org/officeDocument/2006/relationships/header" Target="header137.xml"/><Relationship Id="rId319" Type="http://schemas.openxmlformats.org/officeDocument/2006/relationships/header" Target="header155.xml"/><Relationship Id="rId37" Type="http://schemas.openxmlformats.org/officeDocument/2006/relationships/footer" Target="footer13.xml"/><Relationship Id="rId58" Type="http://schemas.openxmlformats.org/officeDocument/2006/relationships/header" Target="header24.xml"/><Relationship Id="rId79" Type="http://schemas.openxmlformats.org/officeDocument/2006/relationships/footer" Target="footer34.xml"/><Relationship Id="rId102" Type="http://schemas.openxmlformats.org/officeDocument/2006/relationships/header" Target="header46.xml"/><Relationship Id="rId123" Type="http://schemas.openxmlformats.org/officeDocument/2006/relationships/header" Target="header57.xml"/><Relationship Id="rId144" Type="http://schemas.openxmlformats.org/officeDocument/2006/relationships/header" Target="header67.xml"/><Relationship Id="rId330" Type="http://schemas.openxmlformats.org/officeDocument/2006/relationships/header" Target="header160.xml"/><Relationship Id="rId90" Type="http://schemas.openxmlformats.org/officeDocument/2006/relationships/header" Target="header40.xml"/><Relationship Id="rId165" Type="http://schemas.openxmlformats.org/officeDocument/2006/relationships/header" Target="header78.xml"/><Relationship Id="rId186" Type="http://schemas.openxmlformats.org/officeDocument/2006/relationships/footer" Target="footer87.xml"/><Relationship Id="rId351" Type="http://schemas.openxmlformats.org/officeDocument/2006/relationships/footer" Target="footer170.xml"/><Relationship Id="rId372" Type="http://schemas.openxmlformats.org/officeDocument/2006/relationships/footer" Target="footer180.xml"/><Relationship Id="rId393" Type="http://schemas.openxmlformats.org/officeDocument/2006/relationships/theme" Target="theme/theme1.xml"/><Relationship Id="rId211" Type="http://schemas.openxmlformats.org/officeDocument/2006/relationships/footer" Target="footer100.xml"/><Relationship Id="rId232" Type="http://schemas.openxmlformats.org/officeDocument/2006/relationships/header" Target="header111.xml"/><Relationship Id="rId253" Type="http://schemas.openxmlformats.org/officeDocument/2006/relationships/footer" Target="footer121.xml"/><Relationship Id="rId274" Type="http://schemas.openxmlformats.org/officeDocument/2006/relationships/header" Target="header132.xml"/><Relationship Id="rId295" Type="http://schemas.openxmlformats.org/officeDocument/2006/relationships/header" Target="header143.xml"/><Relationship Id="rId309" Type="http://schemas.openxmlformats.org/officeDocument/2006/relationships/footer" Target="footer149.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footer" Target="footer154.xml"/><Relationship Id="rId80" Type="http://schemas.openxmlformats.org/officeDocument/2006/relationships/header" Target="header35.xml"/><Relationship Id="rId155" Type="http://schemas.openxmlformats.org/officeDocument/2006/relationships/footer" Target="footer72.xml"/><Relationship Id="rId176" Type="http://schemas.openxmlformats.org/officeDocument/2006/relationships/header" Target="header83.xml"/><Relationship Id="rId197" Type="http://schemas.openxmlformats.org/officeDocument/2006/relationships/footer" Target="footer93.xml"/><Relationship Id="rId341" Type="http://schemas.openxmlformats.org/officeDocument/2006/relationships/footer" Target="footer165.xml"/><Relationship Id="rId362" Type="http://schemas.openxmlformats.org/officeDocument/2006/relationships/header" Target="header176.xml"/><Relationship Id="rId383" Type="http://schemas.openxmlformats.org/officeDocument/2006/relationships/footer" Target="footer186.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footer" Target="footer126.xml"/><Relationship Id="rId285" Type="http://schemas.openxmlformats.org/officeDocument/2006/relationships/footer" Target="footer137.xml"/><Relationship Id="rId17" Type="http://schemas.openxmlformats.org/officeDocument/2006/relationships/footer" Target="footer3.xml"/><Relationship Id="rId38" Type="http://schemas.openxmlformats.org/officeDocument/2006/relationships/header" Target="header14.xml"/><Relationship Id="rId59" Type="http://schemas.openxmlformats.org/officeDocument/2006/relationships/header" Target="header25.xml"/><Relationship Id="rId103" Type="http://schemas.openxmlformats.org/officeDocument/2006/relationships/footer" Target="footer46.xml"/><Relationship Id="rId124" Type="http://schemas.openxmlformats.org/officeDocument/2006/relationships/footer" Target="footer56.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footer" Target="footer77.xml"/><Relationship Id="rId187" Type="http://schemas.openxmlformats.org/officeDocument/2006/relationships/footer" Target="footer88.xml"/><Relationship Id="rId331" Type="http://schemas.openxmlformats.org/officeDocument/2006/relationships/header" Target="header161.xml"/><Relationship Id="rId352" Type="http://schemas.openxmlformats.org/officeDocument/2006/relationships/header" Target="header171.xml"/><Relationship Id="rId373" Type="http://schemas.openxmlformats.org/officeDocument/2006/relationships/footer" Target="footer181.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footer" Target="footer111.xml"/><Relationship Id="rId254" Type="http://schemas.openxmlformats.org/officeDocument/2006/relationships/header" Target="header122.xml"/><Relationship Id="rId28" Type="http://schemas.openxmlformats.org/officeDocument/2006/relationships/header" Target="header9.xml"/><Relationship Id="rId49" Type="http://schemas.openxmlformats.org/officeDocument/2006/relationships/footer" Target="footer19.xml"/><Relationship Id="rId114" Type="http://schemas.openxmlformats.org/officeDocument/2006/relationships/header" Target="header52.xml"/><Relationship Id="rId275" Type="http://schemas.openxmlformats.org/officeDocument/2006/relationships/header" Target="header133.xml"/><Relationship Id="rId296" Type="http://schemas.openxmlformats.org/officeDocument/2006/relationships/footer" Target="footer142.xml"/><Relationship Id="rId300" Type="http://schemas.openxmlformats.org/officeDocument/2006/relationships/header" Target="header145.xml"/><Relationship Id="rId60" Type="http://schemas.openxmlformats.org/officeDocument/2006/relationships/footer" Target="footer24.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5.xml"/><Relationship Id="rId342" Type="http://schemas.openxmlformats.org/officeDocument/2006/relationships/header" Target="header166.xml"/><Relationship Id="rId363" Type="http://schemas.openxmlformats.org/officeDocument/2006/relationships/footer" Target="footer176.xml"/><Relationship Id="rId384" Type="http://schemas.openxmlformats.org/officeDocument/2006/relationships/header" Target="header187.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18" Type="http://schemas.openxmlformats.org/officeDocument/2006/relationships/header" Target="header4.xml"/><Relationship Id="rId39" Type="http://schemas.openxmlformats.org/officeDocument/2006/relationships/header" Target="header15.xml"/><Relationship Id="rId265" Type="http://schemas.openxmlformats.org/officeDocument/2006/relationships/footer" Target="footer127.xml"/><Relationship Id="rId286" Type="http://schemas.openxmlformats.org/officeDocument/2006/relationships/header" Target="header138.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header" Target="header89.xml"/><Relationship Id="rId311" Type="http://schemas.openxmlformats.org/officeDocument/2006/relationships/footer" Target="footer150.xml"/><Relationship Id="rId332" Type="http://schemas.openxmlformats.org/officeDocument/2006/relationships/footer" Target="footer160.xml"/><Relationship Id="rId353" Type="http://schemas.openxmlformats.org/officeDocument/2006/relationships/footer" Target="footer171.xml"/><Relationship Id="rId374" Type="http://schemas.openxmlformats.org/officeDocument/2006/relationships/header" Target="header182.xml"/><Relationship Id="rId71" Type="http://schemas.openxmlformats.org/officeDocument/2006/relationships/header" Target="header31.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footer" Target="footer132.xml"/><Relationship Id="rId297" Type="http://schemas.openxmlformats.org/officeDocument/2006/relationships/footer" Target="footer143.xml"/><Relationship Id="rId40" Type="http://schemas.openxmlformats.org/officeDocument/2006/relationships/footer" Target="footer14.xml"/><Relationship Id="rId115" Type="http://schemas.openxmlformats.org/officeDocument/2006/relationships/footer" Target="footer52.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6.xml"/><Relationship Id="rId322" Type="http://schemas.openxmlformats.org/officeDocument/2006/relationships/header" Target="header156.xml"/><Relationship Id="rId343" Type="http://schemas.openxmlformats.org/officeDocument/2006/relationships/header" Target="header167.xml"/><Relationship Id="rId364" Type="http://schemas.openxmlformats.org/officeDocument/2006/relationships/header" Target="header177.xml"/><Relationship Id="rId61" Type="http://schemas.openxmlformats.org/officeDocument/2006/relationships/footer" Target="footer25.xml"/><Relationship Id="rId82" Type="http://schemas.openxmlformats.org/officeDocument/2006/relationships/header" Target="header36.xml"/><Relationship Id="rId199" Type="http://schemas.openxmlformats.org/officeDocument/2006/relationships/footer" Target="footer94.xml"/><Relationship Id="rId203" Type="http://schemas.openxmlformats.org/officeDocument/2006/relationships/header" Target="header97.xml"/><Relationship Id="rId385" Type="http://schemas.openxmlformats.org/officeDocument/2006/relationships/footer" Target="footer187.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header" Target="header118.xml"/><Relationship Id="rId266" Type="http://schemas.openxmlformats.org/officeDocument/2006/relationships/header" Target="header128.xml"/><Relationship Id="rId287" Type="http://schemas.openxmlformats.org/officeDocument/2006/relationships/footer" Target="footer138.xml"/><Relationship Id="rId30" Type="http://schemas.openxmlformats.org/officeDocument/2006/relationships/header" Target="header10.xml"/><Relationship Id="rId105" Type="http://schemas.openxmlformats.org/officeDocument/2006/relationships/header" Target="header48.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header" Target="header151.xml"/><Relationship Id="rId333" Type="http://schemas.openxmlformats.org/officeDocument/2006/relationships/footer" Target="footer161.xml"/><Relationship Id="rId354" Type="http://schemas.openxmlformats.org/officeDocument/2006/relationships/header" Target="header172.xml"/><Relationship Id="rId51" Type="http://schemas.openxmlformats.org/officeDocument/2006/relationships/header" Target="header21.xml"/><Relationship Id="rId72" Type="http://schemas.openxmlformats.org/officeDocument/2006/relationships/footer" Target="footer30.xml"/><Relationship Id="rId93" Type="http://schemas.openxmlformats.org/officeDocument/2006/relationships/footer" Target="footer41.xml"/><Relationship Id="rId189" Type="http://schemas.openxmlformats.org/officeDocument/2006/relationships/footer" Target="footer89.xml"/><Relationship Id="rId375" Type="http://schemas.openxmlformats.org/officeDocument/2006/relationships/footer" Target="footer182.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footer" Target="footer112.xml"/><Relationship Id="rId256" Type="http://schemas.openxmlformats.org/officeDocument/2006/relationships/header" Target="header123.xml"/><Relationship Id="rId277" Type="http://schemas.openxmlformats.org/officeDocument/2006/relationships/footer" Target="footer133.xml"/><Relationship Id="rId298" Type="http://schemas.openxmlformats.org/officeDocument/2006/relationships/header" Target="header144.xml"/><Relationship Id="rId116" Type="http://schemas.openxmlformats.org/officeDocument/2006/relationships/header" Target="header53.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footer" Target="footer145.xml"/><Relationship Id="rId323" Type="http://schemas.openxmlformats.org/officeDocument/2006/relationships/footer" Target="footer156.xml"/><Relationship Id="rId344" Type="http://schemas.openxmlformats.org/officeDocument/2006/relationships/footer" Target="footer166.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header" Target="header26.xml"/><Relationship Id="rId83" Type="http://schemas.openxmlformats.org/officeDocument/2006/relationships/footer" Target="footer36.xml"/><Relationship Id="rId179" Type="http://schemas.openxmlformats.org/officeDocument/2006/relationships/header" Target="header85.xml"/><Relationship Id="rId365" Type="http://schemas.openxmlformats.org/officeDocument/2006/relationships/header" Target="header178.xml"/><Relationship Id="rId386" Type="http://schemas.openxmlformats.org/officeDocument/2006/relationships/header" Target="header188.xml"/><Relationship Id="rId190" Type="http://schemas.openxmlformats.org/officeDocument/2006/relationships/header" Target="header90.xml"/><Relationship Id="rId204" Type="http://schemas.openxmlformats.org/officeDocument/2006/relationships/footer" Target="footer96.xml"/><Relationship Id="rId225" Type="http://schemas.openxmlformats.org/officeDocument/2006/relationships/footer" Target="footer107.xml"/><Relationship Id="rId246" Type="http://schemas.openxmlformats.org/officeDocument/2006/relationships/footer" Target="footer117.xml"/><Relationship Id="rId267" Type="http://schemas.openxmlformats.org/officeDocument/2006/relationships/footer" Target="footer128.xml"/><Relationship Id="rId288" Type="http://schemas.openxmlformats.org/officeDocument/2006/relationships/header" Target="header139.xml"/><Relationship Id="rId106" Type="http://schemas.openxmlformats.org/officeDocument/2006/relationships/footer" Target="footer47.xml"/><Relationship Id="rId127" Type="http://schemas.openxmlformats.org/officeDocument/2006/relationships/footer" Target="footer58.xml"/><Relationship Id="rId313" Type="http://schemas.openxmlformats.org/officeDocument/2006/relationships/header" Target="header152.xml"/><Relationship Id="rId10" Type="http://schemas.openxmlformats.org/officeDocument/2006/relationships/endnotes" Target="endnotes.xml"/><Relationship Id="rId31" Type="http://schemas.openxmlformats.org/officeDocument/2006/relationships/footer" Target="footer10.xml"/><Relationship Id="rId52" Type="http://schemas.openxmlformats.org/officeDocument/2006/relationships/footer" Target="footer20.xml"/><Relationship Id="rId73" Type="http://schemas.openxmlformats.org/officeDocument/2006/relationships/footer" Target="footer31.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footer" Target="footer79.xml"/><Relationship Id="rId334" Type="http://schemas.openxmlformats.org/officeDocument/2006/relationships/header" Target="header162.xml"/><Relationship Id="rId355" Type="http://schemas.openxmlformats.org/officeDocument/2006/relationships/footer" Target="footer172.xml"/><Relationship Id="rId376" Type="http://schemas.openxmlformats.org/officeDocument/2006/relationships/header" Target="header183.xml"/><Relationship Id="rId4" Type="http://schemas.openxmlformats.org/officeDocument/2006/relationships/customXml" Target="../customXml/item4.xml"/><Relationship Id="rId180" Type="http://schemas.openxmlformats.org/officeDocument/2006/relationships/footer" Target="footer84.xml"/><Relationship Id="rId215" Type="http://schemas.openxmlformats.org/officeDocument/2006/relationships/header" Target="header103.xml"/><Relationship Id="rId236" Type="http://schemas.openxmlformats.org/officeDocument/2006/relationships/header" Target="header113.xml"/><Relationship Id="rId257" Type="http://schemas.openxmlformats.org/officeDocument/2006/relationships/header" Target="header124.xml"/><Relationship Id="rId278" Type="http://schemas.openxmlformats.org/officeDocument/2006/relationships/header" Target="header134.xml"/><Relationship Id="rId303" Type="http://schemas.openxmlformats.org/officeDocument/2006/relationships/footer" Target="footer146.xml"/><Relationship Id="rId42" Type="http://schemas.openxmlformats.org/officeDocument/2006/relationships/header" Target="header16.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footer" Target="footer167.xml"/><Relationship Id="rId387" Type="http://schemas.openxmlformats.org/officeDocument/2006/relationships/footer" Target="footer18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02581D1E5194BB751F4A1219E22A7" ma:contentTypeVersion="12" ma:contentTypeDescription="Create a new document." ma:contentTypeScope="" ma:versionID="d9b7d57450f332ce735573dc697b2014">
  <xsd:schema xmlns:xsd="http://www.w3.org/2001/XMLSchema" xmlns:xs="http://www.w3.org/2001/XMLSchema" xmlns:p="http://schemas.microsoft.com/office/2006/metadata/properties" xmlns:ns2="f7c5e3fa-378b-48b1-a129-e33a73f99ee9" xmlns:ns3="098ed42e-6899-48a5-86ec-62908de97b08" targetNamespace="http://schemas.microsoft.com/office/2006/metadata/properties" ma:root="true" ma:fieldsID="96d3753016178fcd323a6766205d5db4" ns2:_="" ns3:_="">
    <xsd:import namespace="f7c5e3fa-378b-48b1-a129-e33a73f99ee9"/>
    <xsd:import namespace="098ed42e-6899-48a5-86ec-62908de97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e3fa-378b-48b1-a129-e33a73f9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ed42e-6899-48a5-86ec-62908de97b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5B24-04F2-4700-A697-047B9B5096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0BF6FA-CB29-4A1D-B79A-171AA92B63E6}">
  <ds:schemaRefs>
    <ds:schemaRef ds:uri="http://schemas.microsoft.com/sharepoint/v3/contenttype/forms"/>
  </ds:schemaRefs>
</ds:datastoreItem>
</file>

<file path=customXml/itemProps3.xml><?xml version="1.0" encoding="utf-8"?>
<ds:datastoreItem xmlns:ds="http://schemas.openxmlformats.org/officeDocument/2006/customXml" ds:itemID="{DD94FBAD-0C52-4F15-AE15-7A349A96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e3fa-378b-48b1-a129-e33a73f99ee9"/>
    <ds:schemaRef ds:uri="098ed42e-6899-48a5-86ec-62908de9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100C4-881C-412B-8E02-66D0811D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8</Pages>
  <Words>77221</Words>
  <Characters>440165</Characters>
  <Application>Microsoft Office Word</Application>
  <DocSecurity>0</DocSecurity>
  <Lines>3668</Lines>
  <Paragraphs>1032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154</cp:revision>
  <dcterms:created xsi:type="dcterms:W3CDTF">2025-11-11T19:23:00Z</dcterms:created>
  <dcterms:modified xsi:type="dcterms:W3CDTF">2025-11-28T07:45:00Z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2025-09-16T13:18:21Z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874ec571-f68a-45c9-9cce-f76682f8d6ea</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0x01010046802581D1E5194BB751F4A1219E22A7</vt:lpwstr>
  </property>
  <property fmtid="{D5CDD505-2E9C-101B-9397-08002B2CF9AE}" pid="11" name="MediaServiceImageTags">
    <vt:lpwstr/>
  </property>
  <property fmtid="{D5CDD505-2E9C-101B-9397-08002B2CF9AE}" pid="12" name="Level of sensitivity">
    <vt:lpwstr>Standard treatment</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DocStatus">
    <vt:lpwstr>Green</vt:lpwstr>
  </property>
  <property fmtid="{D5CDD505-2E9C-101B-9397-08002B2CF9AE}" pid="19" name="CPTemplateID">
    <vt:lpwstr>CP-036</vt:lpwstr>
  </property>
  <property fmtid="{D5CDD505-2E9C-101B-9397-08002B2CF9AE}" pid="20" name="Last edited using">
    <vt:lpwstr>LW 9.2, Build 20250828</vt:lpwstr>
  </property>
  <property fmtid="{D5CDD505-2E9C-101B-9397-08002B2CF9AE}" pid="21" name="Created using">
    <vt:lpwstr>LW 9.2, Build 20250828</vt:lpwstr>
  </property>
</Properties>
</file>